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差旅报销管理制度</w:t>
      </w:r>
    </w:p>
    <w:p>
      <w:r>
        <w:t>一、适用范围：全体员工因公出差发生的交通、住宿、餐饮费用。</w:t>
      </w:r>
    </w:p>
    <w:p>
      <w:r>
        <w:t>二、报销标准：一线城市住宿上限 500 元/晚，二线城市 350 元/晚；高铁二等座实报实销。</w:t>
      </w:r>
    </w:p>
    <w:p>
      <w:r>
        <w:t>三、审批流程：出差前在 OA 提交申请，报销单由部门经理审批后 5 个工作日内打款。</w:t>
      </w:r>
    </w:p>
    <w:p>
      <w:r>
        <w:t>四、发票要求：必须提供增值税普通发票或专用发票，无发票不予报销。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