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779D" w14:textId="77777777" w:rsidR="00C0230C" w:rsidRDefault="00000000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ascii="仿宋_GB2312" w:eastAsia="仿宋_GB2312" w:cs="仿宋_GB2312" w:hint="eastAsia"/>
          <w:b/>
          <w:bCs/>
          <w:sz w:val="28"/>
          <w:szCs w:val="28"/>
        </w:rPr>
        <w:t>课程编号：</w:t>
      </w:r>
    </w:p>
    <w:p w14:paraId="6542A1A4" w14:textId="77777777" w:rsidR="00C0230C" w:rsidRDefault="00C0230C">
      <w:pPr>
        <w:jc w:val="center"/>
        <w:rPr>
          <w:rFonts w:ascii="仿宋_GB2312" w:eastAsia="仿宋_GB2312" w:cs="仿宋_GB2312"/>
          <w:b/>
          <w:bCs/>
          <w:sz w:val="72"/>
          <w:szCs w:val="72"/>
        </w:rPr>
      </w:pPr>
    </w:p>
    <w:p w14:paraId="788C1B2A" w14:textId="77777777" w:rsidR="00587730" w:rsidRDefault="00587730">
      <w:pPr>
        <w:jc w:val="center"/>
        <w:rPr>
          <w:rFonts w:ascii="仿宋_GB2312" w:eastAsia="仿宋_GB2312" w:cs="仿宋_GB2312" w:hint="eastAsia"/>
          <w:b/>
          <w:bCs/>
          <w:sz w:val="72"/>
          <w:szCs w:val="72"/>
        </w:rPr>
      </w:pPr>
    </w:p>
    <w:p w14:paraId="03FA990C" w14:textId="77777777" w:rsidR="00587730" w:rsidRDefault="00587730" w:rsidP="00587730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ascii="仿宋_GB2312" w:eastAsia="仿宋_GB2312" w:cs="仿宋_GB2312" w:hint="eastAsia"/>
          <w:b/>
          <w:bCs/>
          <w:sz w:val="72"/>
          <w:szCs w:val="72"/>
        </w:rPr>
        <w:t>《开源创新思维》</w:t>
      </w:r>
    </w:p>
    <w:p w14:paraId="3FCE00C1" w14:textId="77777777" w:rsidR="00587730" w:rsidRDefault="00587730" w:rsidP="00587730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ascii="仿宋_GB2312" w:eastAsia="仿宋_GB2312" w:cs="仿宋_GB2312" w:hint="eastAsia"/>
          <w:b/>
          <w:bCs/>
          <w:sz w:val="72"/>
          <w:szCs w:val="72"/>
        </w:rPr>
        <w:t>平时作业报告</w:t>
      </w:r>
    </w:p>
    <w:p w14:paraId="51D56696" w14:textId="77777777" w:rsidR="00C0230C" w:rsidRPr="00587730" w:rsidRDefault="00C0230C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02CD77FD" w14:textId="27EB66F4" w:rsidR="00C0230C" w:rsidRDefault="00C0230C">
      <w:pPr>
        <w:jc w:val="center"/>
        <w:rPr>
          <w:rFonts w:ascii="宋体"/>
          <w:noProof/>
          <w:sz w:val="28"/>
          <w:szCs w:val="28"/>
        </w:rPr>
      </w:pPr>
    </w:p>
    <w:p w14:paraId="0B57D63C" w14:textId="77777777" w:rsidR="00587730" w:rsidRDefault="00587730">
      <w:pPr>
        <w:jc w:val="center"/>
        <w:rPr>
          <w:rFonts w:ascii="宋体"/>
          <w:noProof/>
          <w:sz w:val="28"/>
          <w:szCs w:val="28"/>
        </w:rPr>
      </w:pPr>
    </w:p>
    <w:p w14:paraId="5955C7C0" w14:textId="77777777" w:rsidR="00587730" w:rsidRDefault="00587730">
      <w:pPr>
        <w:jc w:val="center"/>
        <w:rPr>
          <w:rFonts w:ascii="宋体" w:hint="eastAsia"/>
          <w:noProof/>
          <w:sz w:val="28"/>
          <w:szCs w:val="28"/>
        </w:rPr>
      </w:pPr>
    </w:p>
    <w:p w14:paraId="7C341258" w14:textId="77777777" w:rsidR="00587730" w:rsidRDefault="00587730">
      <w:pPr>
        <w:jc w:val="center"/>
        <w:rPr>
          <w:rFonts w:ascii="宋体"/>
          <w:noProof/>
          <w:sz w:val="28"/>
          <w:szCs w:val="28"/>
        </w:rPr>
      </w:pPr>
    </w:p>
    <w:p w14:paraId="39B8092F" w14:textId="77777777" w:rsidR="00587730" w:rsidRDefault="00587730">
      <w:pPr>
        <w:jc w:val="center"/>
        <w:rPr>
          <w:rFonts w:ascii="宋体" w:hint="eastAsia"/>
          <w:sz w:val="28"/>
          <w:szCs w:val="28"/>
        </w:rPr>
      </w:pPr>
    </w:p>
    <w:p w14:paraId="1F80E32E" w14:textId="77777777" w:rsidR="00C0230C" w:rsidRDefault="00C0230C">
      <w:pPr>
        <w:rPr>
          <w:rFonts w:ascii="仿宋_GB2312" w:eastAsia="仿宋_GB2312"/>
        </w:rPr>
      </w:pPr>
    </w:p>
    <w:p w14:paraId="2E980D04" w14:textId="77777777" w:rsidR="00C0230C" w:rsidRDefault="00C0230C">
      <w:pPr>
        <w:rPr>
          <w:rFonts w:ascii="仿宋_GB2312" w:eastAsia="仿宋_GB2312"/>
        </w:rPr>
      </w:pPr>
    </w:p>
    <w:p w14:paraId="1762BD11" w14:textId="77777777" w:rsidR="00587730" w:rsidRDefault="00587730">
      <w:pPr>
        <w:rPr>
          <w:rFonts w:ascii="仿宋_GB2312" w:eastAsia="仿宋_GB2312" w:hint="eastAsia"/>
        </w:rPr>
      </w:pPr>
    </w:p>
    <w:p w14:paraId="1A3830DE" w14:textId="77777777" w:rsidR="00C0230C" w:rsidRDefault="00C0230C">
      <w:pPr>
        <w:rPr>
          <w:rFonts w:ascii="仿宋_GB2312" w:eastAsia="仿宋_GB2312"/>
        </w:rPr>
      </w:pPr>
    </w:p>
    <w:tbl>
      <w:tblPr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1"/>
        <w:gridCol w:w="1594"/>
        <w:gridCol w:w="56"/>
        <w:gridCol w:w="2145"/>
        <w:gridCol w:w="2183"/>
      </w:tblGrid>
      <w:tr w:rsidR="00C0230C" w14:paraId="26C8CF84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78B76307" w14:textId="77777777" w:rsidR="00C0230C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2E5EEE18" w14:textId="63C6EF69" w:rsidR="00C0230C" w:rsidRDefault="0058773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eastAsia="仿宋_GB2312" w:hint="eastAsia"/>
                <w:color w:val="000000"/>
                <w:sz w:val="24"/>
              </w:rPr>
              <w:t>童天瑜</w:t>
            </w:r>
          </w:p>
        </w:tc>
        <w:tc>
          <w:tcPr>
            <w:tcW w:w="2201" w:type="dxa"/>
            <w:gridSpan w:val="2"/>
            <w:vAlign w:val="center"/>
          </w:tcPr>
          <w:p w14:paraId="0AE0CD96" w14:textId="77777777" w:rsidR="00C0230C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eastAsia="仿宋" w:hAnsi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仿宋" w:eastAsia="仿宋" w:hAnsi="仿宋" w:cs="仿宋" w:hint="eastAsia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6D3BB62D" w14:textId="7C00BE39" w:rsidR="00C0230C" w:rsidRDefault="002B1DF8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eastAsia="仿宋_GB2312"/>
                <w:color w:val="000000"/>
                <w:sz w:val="24"/>
              </w:rPr>
              <w:t>F</w:t>
            </w:r>
            <w:r>
              <w:rPr>
                <w:rFonts w:eastAsia="仿宋_GB2312" w:hint="eastAsia"/>
                <w:color w:val="000000"/>
                <w:sz w:val="24"/>
              </w:rPr>
              <w:t>25015439</w:t>
            </w:r>
          </w:p>
        </w:tc>
      </w:tr>
      <w:tr w:rsidR="00C0230C" w14:paraId="4EFA9924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00CDB57A" w14:textId="77777777" w:rsidR="00C0230C" w:rsidRDefault="00000000">
            <w:pPr>
              <w:wordWrap w:val="0"/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6EB7B779" w14:textId="0250701F" w:rsidR="00C0230C" w:rsidRDefault="002B1DF8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eastAsia="仿宋_GB2312" w:hint="eastAsia"/>
                <w:color w:val="000000"/>
                <w:sz w:val="24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190698F8" w14:textId="77777777" w:rsidR="00C0230C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2D27126D" w14:textId="5C97F94D" w:rsidR="00C0230C" w:rsidRDefault="0058773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祝欣蓉</w:t>
            </w:r>
          </w:p>
        </w:tc>
      </w:tr>
      <w:tr w:rsidR="00C0230C" w14:paraId="4BC7538B" w14:textId="77777777">
        <w:trPr>
          <w:trHeight w:val="453"/>
          <w:jc w:val="center"/>
        </w:trPr>
        <w:tc>
          <w:tcPr>
            <w:tcW w:w="1961" w:type="dxa"/>
            <w:vAlign w:val="center"/>
          </w:tcPr>
          <w:p w14:paraId="7ED1E718" w14:textId="77777777" w:rsidR="00C0230C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559B8EEF" w14:textId="77777777" w:rsidR="00C0230C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587730">
              <w:rPr>
                <w:rFonts w:ascii="仿宋" w:eastAsia="仿宋" w:hAnsi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 w:rsidRPr="00587730">
              <w:rPr>
                <w:rFonts w:ascii="仿宋" w:eastAsia="仿宋" w:hAnsi="仿宋" w:cs="仿宋" w:hint="eastAsia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25</w:t>
            </w:r>
            <w:r w:rsidRPr="00587730">
              <w:rPr>
                <w:rFonts w:ascii="仿宋" w:eastAsia="仿宋" w:hAnsi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 w:rsidRPr="00587730">
              <w:rPr>
                <w:rFonts w:ascii="仿宋" w:eastAsia="仿宋" w:hAnsi="仿宋" w:cs="仿宋" w:hint="eastAsia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26秋季学</w:t>
            </w:r>
            <w:r w:rsidRPr="00587730">
              <w:rPr>
                <w:rFonts w:ascii="仿宋" w:eastAsia="仿宋" w:hAnsi="仿宋" w:cs="仿宋" w:hint="eastAsia"/>
                <w:b/>
                <w:bCs/>
                <w:spacing w:val="-5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:rsidR="00C0230C" w14:paraId="7ED34204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38DCEAD7" w14:textId="77777777" w:rsidR="00C0230C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0E2A10CD" w14:textId="7F1E6802" w:rsidR="00C0230C" w:rsidRDefault="0058773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587730">
              <w:rPr>
                <w:rFonts w:ascii="仿宋" w:eastAsia="仿宋" w:hAnsi="仿宋" w:cs="仿宋" w:hint="eastAsia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第1周</w:t>
            </w:r>
            <w:r w:rsidRPr="00587730">
              <w:rPr>
                <w:rFonts w:ascii="仿宋" w:eastAsia="仿宋" w:hAnsi="仿宋" w:cs="仿宋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——</w:t>
            </w:r>
            <w:r w:rsidRPr="00587730">
              <w:rPr>
                <w:rFonts w:ascii="仿宋" w:eastAsia="仿宋" w:hAnsi="仿宋" w:cs="仿宋" w:hint="eastAsia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第16</w:t>
            </w:r>
            <w:r w:rsidRPr="00587730">
              <w:rPr>
                <w:rFonts w:ascii="仿宋" w:eastAsia="仿宋" w:hAnsi="仿宋" w:cs="仿宋" w:hint="eastAsia"/>
                <w:b/>
                <w:bCs/>
                <w:spacing w:val="1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:rsidR="00C0230C" w14:paraId="2F947FA4" w14:textId="77777777">
        <w:trPr>
          <w:trHeight w:val="453"/>
          <w:jc w:val="center"/>
        </w:trPr>
        <w:tc>
          <w:tcPr>
            <w:tcW w:w="1961" w:type="dxa"/>
            <w:vAlign w:val="center"/>
          </w:tcPr>
          <w:p w14:paraId="0998807A" w14:textId="77777777" w:rsidR="00C0230C" w:rsidRDefault="00000000">
            <w:pPr>
              <w:wordWrap w:val="0"/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3A8586E3" w14:textId="77777777" w:rsidR="00C0230C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eastAsia="仿宋_GB2312"/>
                <w:color w:val="000000"/>
                <w:sz w:val="24"/>
              </w:rPr>
              <w:t>2026</w:t>
            </w:r>
            <w:r>
              <w:rPr>
                <w:rFonts w:eastAsia="仿宋_GB2312"/>
                <w:color w:val="000000"/>
                <w:sz w:val="24"/>
              </w:rPr>
              <w:t>年</w:t>
            </w:r>
            <w:r>
              <w:rPr>
                <w:rFonts w:eastAsia="仿宋_GB2312"/>
                <w:color w:val="000000"/>
                <w:sz w:val="24"/>
              </w:rPr>
              <w:t>10</w:t>
            </w:r>
            <w:r>
              <w:rPr>
                <w:rFonts w:eastAsia="仿宋_GB2312"/>
                <w:color w:val="000000"/>
                <w:sz w:val="24"/>
              </w:rPr>
              <w:t>月</w:t>
            </w:r>
            <w:r>
              <w:rPr>
                <w:rFonts w:eastAsia="仿宋_GB2312"/>
                <w:color w:val="000000"/>
                <w:sz w:val="24"/>
              </w:rPr>
              <w:t>29</w:t>
            </w:r>
            <w:r>
              <w:rPr>
                <w:rFonts w:eastAsia="仿宋_GB2312"/>
                <w:color w:val="000000"/>
                <w:sz w:val="24"/>
              </w:rPr>
              <w:t>日</w:t>
            </w:r>
          </w:p>
        </w:tc>
      </w:tr>
      <w:tr w:rsidR="00C0230C" w14:paraId="606CF62D" w14:textId="77777777">
        <w:trPr>
          <w:cantSplit/>
          <w:trHeight w:val="432"/>
          <w:jc w:val="center"/>
        </w:trPr>
        <w:tc>
          <w:tcPr>
            <w:tcW w:w="1961" w:type="dxa"/>
            <w:vMerge w:val="restart"/>
            <w:vAlign w:val="center"/>
          </w:tcPr>
          <w:p w14:paraId="6EF193DC" w14:textId="77777777" w:rsidR="00C0230C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C26498" w14:textId="77777777" w:rsidR="00C0230C" w:rsidRDefault="00C0230C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7099F6DA" w14:textId="77777777" w:rsidR="00C0230C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5DA00F04" w14:textId="3611C0EE" w:rsidR="00C0230C" w:rsidRDefault="0058773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祝欣蓉</w:t>
            </w:r>
          </w:p>
        </w:tc>
      </w:tr>
      <w:tr w:rsidR="00C0230C" w14:paraId="21F5A49B" w14:textId="77777777">
        <w:trPr>
          <w:cantSplit/>
          <w:trHeight w:val="432"/>
          <w:jc w:val="center"/>
        </w:trPr>
        <w:tc>
          <w:tcPr>
            <w:tcW w:w="1961" w:type="dxa"/>
            <w:vMerge/>
            <w:vAlign w:val="center"/>
          </w:tcPr>
          <w:p w14:paraId="4F2D0180" w14:textId="77777777" w:rsidR="00C0230C" w:rsidRDefault="00C0230C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/>
            <w:vAlign w:val="center"/>
          </w:tcPr>
          <w:p w14:paraId="0C9F6D96" w14:textId="77777777" w:rsidR="00C0230C" w:rsidRDefault="00C0230C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B3BBE0D" w14:textId="77777777" w:rsidR="00C0230C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1DF6D928" w14:textId="77777777" w:rsidR="00C0230C" w:rsidRDefault="00C0230C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</w:tr>
    </w:tbl>
    <w:p w14:paraId="67B89650" w14:textId="77777777" w:rsidR="00C0230C" w:rsidRDefault="00C0230C">
      <w:pPr>
        <w:widowControl/>
        <w:jc w:val="center"/>
        <w:rPr>
          <w:rFonts w:ascii="仿宋_GB2312" w:eastAsia="仿宋_GB2312" w:hAnsi="宋体" w:hint="eastAsia"/>
          <w:b/>
          <w:bCs/>
          <w:sz w:val="28"/>
          <w:szCs w:val="28"/>
        </w:rPr>
      </w:pPr>
    </w:p>
    <w:p w14:paraId="076CC70D" w14:textId="3C6DD956" w:rsidR="00587730" w:rsidRPr="00587730" w:rsidRDefault="00587730" w:rsidP="00587730">
      <w:pPr>
        <w:widowControl/>
        <w:jc w:val="center"/>
        <w:rPr>
          <w:rFonts w:ascii="仿宋_GB2312" w:eastAsia="仿宋_GB2312" w:hAnsi="宋体" w:cs="仿宋_GB2312" w:hint="eastAsia"/>
          <w:b/>
          <w:bCs/>
          <w:sz w:val="28"/>
          <w:szCs w:val="28"/>
        </w:rPr>
      </w:pPr>
      <w:r>
        <w:rPr>
          <w:rFonts w:ascii="仿宋_GB2312" w:eastAsia="仿宋_GB2312" w:hAnsi="宋体" w:cs="仿宋_GB2312" w:hint="eastAsia"/>
          <w:b/>
          <w:bCs/>
          <w:sz w:val="28"/>
          <w:szCs w:val="28"/>
        </w:rPr>
        <w:t>上海杉达学院</w:t>
      </w:r>
    </w:p>
    <w:p w14:paraId="46D82EBB" w14:textId="77777777" w:rsidR="00C0230C" w:rsidRDefault="00000000">
      <w:pPr>
        <w:keepNext/>
        <w:pageBreakBefore/>
        <w:snapToGrid w:val="0"/>
        <w:spacing w:before="160" w:after="80" w:line="300" w:lineRule="auto"/>
        <w:jc w:val="left"/>
      </w:pPr>
      <w:r>
        <w:rPr>
          <w:rFonts w:eastAsia="仿宋_GB2312"/>
          <w:b/>
          <w:color w:val="000000"/>
          <w:sz w:val="24"/>
        </w:rPr>
        <w:lastRenderedPageBreak/>
        <w:t>1</w:t>
      </w:r>
      <w:r>
        <w:rPr>
          <w:rFonts w:eastAsia="仿宋_GB2312"/>
          <w:b/>
          <w:color w:val="000000"/>
          <w:sz w:val="24"/>
        </w:rPr>
        <w:t>、检测项目介绍</w:t>
      </w:r>
    </w:p>
    <w:p w14:paraId="6E85A415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1.1 </w:t>
      </w:r>
      <w:r>
        <w:rPr>
          <w:b/>
          <w:color w:val="000000"/>
        </w:rPr>
        <w:t>项目概况</w:t>
      </w:r>
    </w:p>
    <w:p w14:paraId="17F4A5E7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本次检测选取</w:t>
      </w:r>
      <w:r>
        <w:rPr>
          <w:color w:val="000000"/>
        </w:rPr>
        <w:t xml:space="preserve"> Apache </w:t>
      </w:r>
      <w:r>
        <w:rPr>
          <w:color w:val="000000"/>
        </w:rPr>
        <w:t>软件基金会旗下的</w:t>
      </w:r>
      <w:r>
        <w:rPr>
          <w:color w:val="000000"/>
        </w:rPr>
        <w:t xml:space="preserve"> Apache Commons Codec</w:t>
      </w:r>
      <w:r>
        <w:rPr>
          <w:color w:val="000000"/>
        </w:rPr>
        <w:t>（简称</w:t>
      </w:r>
      <w:r>
        <w:rPr>
          <w:color w:val="000000"/>
        </w:rPr>
        <w:t xml:space="preserve"> Commons Codec</w:t>
      </w:r>
      <w:r>
        <w:rPr>
          <w:color w:val="000000"/>
        </w:rPr>
        <w:t>），版本</w:t>
      </w:r>
      <w:r>
        <w:rPr>
          <w:color w:val="000000"/>
        </w:rPr>
        <w:t xml:space="preserve"> 1.18.0</w:t>
      </w:r>
      <w:r>
        <w:rPr>
          <w:color w:val="000000"/>
        </w:rPr>
        <w:t>，</w:t>
      </w:r>
      <w:r>
        <w:rPr>
          <w:color w:val="000000"/>
        </w:rPr>
        <w:t xml:space="preserve">Maven </w:t>
      </w:r>
      <w:r>
        <w:rPr>
          <w:color w:val="000000"/>
        </w:rPr>
        <w:t>坐标为</w:t>
      </w:r>
      <w:r>
        <w:rPr>
          <w:color w:val="000000"/>
        </w:rPr>
        <w:t xml:space="preserve"> commons-codec:commons-codec</w:t>
      </w:r>
      <w:r>
        <w:rPr>
          <w:color w:val="000000"/>
        </w:rPr>
        <w:t>。项目</w:t>
      </w:r>
      <w:r>
        <w:rPr>
          <w:color w:val="000000"/>
        </w:rPr>
        <w:t xml:space="preserve"> 2002 </w:t>
      </w:r>
      <w:r>
        <w:rPr>
          <w:color w:val="000000"/>
        </w:rPr>
        <w:t>年源于</w:t>
      </w:r>
      <w:r>
        <w:rPr>
          <w:color w:val="000000"/>
        </w:rPr>
        <w:t xml:space="preserve"> Apache Jakarta</w:t>
      </w:r>
      <w:r>
        <w:rPr>
          <w:color w:val="000000"/>
        </w:rPr>
        <w:t>，现为</w:t>
      </w:r>
      <w:r>
        <w:rPr>
          <w:color w:val="000000"/>
        </w:rPr>
        <w:t xml:space="preserve"> Commons </w:t>
      </w:r>
      <w:r>
        <w:rPr>
          <w:color w:val="000000"/>
        </w:rPr>
        <w:t>的独立组件，提供</w:t>
      </w:r>
      <w:r>
        <w:rPr>
          <w:color w:val="000000"/>
        </w:rPr>
        <w:t xml:space="preserve"> Base16/Base32/Base64/Hex </w:t>
      </w:r>
      <w:r>
        <w:rPr>
          <w:color w:val="000000"/>
        </w:rPr>
        <w:t>编解码、</w:t>
      </w:r>
      <w:r>
        <w:rPr>
          <w:color w:val="000000"/>
        </w:rPr>
        <w:t xml:space="preserve">MD5 </w:t>
      </w:r>
      <w:r>
        <w:rPr>
          <w:color w:val="000000"/>
        </w:rPr>
        <w:t>与</w:t>
      </w:r>
      <w:r>
        <w:rPr>
          <w:color w:val="000000"/>
        </w:rPr>
        <w:t xml:space="preserve"> SHA </w:t>
      </w:r>
      <w:r>
        <w:rPr>
          <w:color w:val="000000"/>
        </w:rPr>
        <w:t>系列摘要、</w:t>
      </w:r>
      <w:r>
        <w:rPr>
          <w:color w:val="000000"/>
        </w:rPr>
        <w:t xml:space="preserve">Unix crypt </w:t>
      </w:r>
      <w:r>
        <w:rPr>
          <w:color w:val="000000"/>
        </w:rPr>
        <w:t>口令散列，以及</w:t>
      </w:r>
      <w:r>
        <w:rPr>
          <w:color w:val="000000"/>
        </w:rPr>
        <w:t xml:space="preserve"> Metaphone</w:t>
      </w:r>
      <w:r>
        <w:rPr>
          <w:color w:val="000000"/>
        </w:rPr>
        <w:t>、</w:t>
      </w:r>
      <w:r>
        <w:rPr>
          <w:color w:val="000000"/>
        </w:rPr>
        <w:t xml:space="preserve">Soundex </w:t>
      </w:r>
      <w:r>
        <w:rPr>
          <w:color w:val="000000"/>
        </w:rPr>
        <w:t>等语音编码实现，被</w:t>
      </w:r>
      <w:r>
        <w:rPr>
          <w:color w:val="000000"/>
        </w:rPr>
        <w:t xml:space="preserve"> Apache HttpClient</w:t>
      </w:r>
      <w:r>
        <w:rPr>
          <w:color w:val="000000"/>
        </w:rPr>
        <w:t>、</w:t>
      </w:r>
      <w:r>
        <w:rPr>
          <w:color w:val="000000"/>
        </w:rPr>
        <w:t xml:space="preserve">POI </w:t>
      </w:r>
      <w:r>
        <w:rPr>
          <w:color w:val="000000"/>
        </w:rPr>
        <w:t>等组件间接依赖。检测对象为官方源码包</w:t>
      </w:r>
      <w:r>
        <w:rPr>
          <w:color w:val="000000"/>
        </w:rPr>
        <w:t xml:space="preserve"> commons-codec-1.18.0-src.tar.gz</w:t>
      </w:r>
      <w:r>
        <w:rPr>
          <w:color w:val="000000"/>
        </w:rPr>
        <w:t>（</w:t>
      </w:r>
      <w:r>
        <w:rPr>
          <w:color w:val="000000"/>
        </w:rPr>
        <w:t>452 KB</w:t>
      </w:r>
      <w:r>
        <w:rPr>
          <w:color w:val="000000"/>
        </w:rPr>
        <w:t>），解压后共</w:t>
      </w:r>
      <w:r>
        <w:rPr>
          <w:color w:val="000000"/>
        </w:rPr>
        <w:t xml:space="preserve"> 317 </w:t>
      </w:r>
      <w:r>
        <w:rPr>
          <w:color w:val="000000"/>
        </w:rPr>
        <w:t>个文件、</w:t>
      </w:r>
      <w:r>
        <w:rPr>
          <w:color w:val="000000"/>
        </w:rPr>
        <w:t>2.24 MB</w:t>
      </w:r>
      <w:r>
        <w:rPr>
          <w:color w:val="000000"/>
        </w:rPr>
        <w:t>，其中</w:t>
      </w:r>
      <w:r>
        <w:rPr>
          <w:color w:val="000000"/>
        </w:rPr>
        <w:t xml:space="preserve"> Java </w:t>
      </w:r>
      <w:r>
        <w:rPr>
          <w:color w:val="000000"/>
        </w:rPr>
        <w:t>源文件</w:t>
      </w:r>
      <w:r>
        <w:rPr>
          <w:color w:val="000000"/>
        </w:rPr>
        <w:t xml:space="preserve"> 156 </w:t>
      </w:r>
      <w:r>
        <w:rPr>
          <w:color w:val="000000"/>
        </w:rPr>
        <w:t>个（主代码</w:t>
      </w:r>
      <w:r>
        <w:rPr>
          <w:color w:val="000000"/>
        </w:rPr>
        <w:t xml:space="preserve"> 80 </w:t>
      </w:r>
      <w:r>
        <w:rPr>
          <w:color w:val="000000"/>
        </w:rPr>
        <w:t>个文件</w:t>
      </w:r>
      <w:r>
        <w:rPr>
          <w:color w:val="000000"/>
        </w:rPr>
        <w:t xml:space="preserve"> 23 362 </w:t>
      </w:r>
      <w:r>
        <w:rPr>
          <w:color w:val="000000"/>
        </w:rPr>
        <w:t>行，测试代码</w:t>
      </w:r>
      <w:r>
        <w:rPr>
          <w:color w:val="000000"/>
        </w:rPr>
        <w:t xml:space="preserve"> 76 </w:t>
      </w:r>
      <w:r>
        <w:rPr>
          <w:color w:val="000000"/>
        </w:rPr>
        <w:t>个文件</w:t>
      </w:r>
      <w:r>
        <w:rPr>
          <w:color w:val="000000"/>
        </w:rPr>
        <w:t xml:space="preserve"> 20 746 </w:t>
      </w:r>
      <w:r>
        <w:rPr>
          <w:color w:val="000000"/>
        </w:rPr>
        <w:t>行），另含</w:t>
      </w:r>
      <w:r>
        <w:rPr>
          <w:color w:val="000000"/>
        </w:rPr>
        <w:t xml:space="preserve"> XML</w:t>
      </w:r>
      <w:r>
        <w:rPr>
          <w:color w:val="000000"/>
        </w:rPr>
        <w:t>、</w:t>
      </w:r>
      <w:r>
        <w:rPr>
          <w:color w:val="000000"/>
        </w:rPr>
        <w:t xml:space="preserve">Markdown </w:t>
      </w:r>
      <w:r>
        <w:rPr>
          <w:color w:val="000000"/>
        </w:rPr>
        <w:t>与测试用二进制资源。</w:t>
      </w:r>
    </w:p>
    <w:p w14:paraId="1F8D5487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1.2 </w:t>
      </w:r>
      <w:r>
        <w:rPr>
          <w:b/>
          <w:color w:val="000000"/>
        </w:rPr>
        <w:t>选取理由与许可证结构</w:t>
      </w:r>
    </w:p>
    <w:p w14:paraId="0BF08F12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选取该项目有三点考虑：一是规模适中，</w:t>
      </w:r>
      <w:r>
        <w:rPr>
          <w:color w:val="000000"/>
        </w:rPr>
        <w:t xml:space="preserve">317 </w:t>
      </w:r>
      <w:r>
        <w:rPr>
          <w:color w:val="000000"/>
        </w:rPr>
        <w:t>个文件在单机上不到一分钟即可扫完，便于重复实验与复核；二是工程规范，所有</w:t>
      </w:r>
      <w:r>
        <w:rPr>
          <w:color w:val="000000"/>
        </w:rPr>
        <w:t xml:space="preserve"> Java </w:t>
      </w:r>
      <w:r>
        <w:rPr>
          <w:color w:val="000000"/>
        </w:rPr>
        <w:t>文件均带</w:t>
      </w:r>
      <w:r>
        <w:rPr>
          <w:color w:val="000000"/>
        </w:rPr>
        <w:t xml:space="preserve"> ASF </w:t>
      </w:r>
      <w:r>
        <w:rPr>
          <w:color w:val="000000"/>
        </w:rPr>
        <w:t>标准许可头，</w:t>
      </w:r>
      <w:r>
        <w:rPr>
          <w:color w:val="000000"/>
        </w:rPr>
        <w:t xml:space="preserve">pom.xml </w:t>
      </w:r>
      <w:r>
        <w:rPr>
          <w:color w:val="000000"/>
        </w:rPr>
        <w:t>通过</w:t>
      </w:r>
      <w:r>
        <w:rPr>
          <w:color w:val="000000"/>
        </w:rPr>
        <w:t xml:space="preserve"> checkstyle-header </w:t>
      </w:r>
      <w:r>
        <w:rPr>
          <w:color w:val="000000"/>
        </w:rPr>
        <w:t>与默认构建目标</w:t>
      </w:r>
      <w:r>
        <w:rPr>
          <w:color w:val="000000"/>
        </w:rPr>
        <w:t xml:space="preserve"> apache-rat:check </w:t>
      </w:r>
      <w:r>
        <w:rPr>
          <w:color w:val="000000"/>
        </w:rPr>
        <w:t>强制校验许可头，可作为检验工具识别率的</w:t>
      </w:r>
      <w:r>
        <w:rPr>
          <w:color w:val="000000"/>
        </w:rPr>
        <w:t>“</w:t>
      </w:r>
      <w:r>
        <w:rPr>
          <w:color w:val="000000"/>
        </w:rPr>
        <w:t>规范样本</w:t>
      </w:r>
      <w:r>
        <w:rPr>
          <w:color w:val="000000"/>
        </w:rPr>
        <w:t>”</w:t>
      </w:r>
      <w:r>
        <w:rPr>
          <w:color w:val="000000"/>
        </w:rPr>
        <w:t>；三是代码中确实嵌入了非</w:t>
      </w:r>
      <w:r>
        <w:rPr>
          <w:color w:val="000000"/>
        </w:rPr>
        <w:t xml:space="preserve"> Apache </w:t>
      </w:r>
      <w:r>
        <w:rPr>
          <w:color w:val="000000"/>
        </w:rPr>
        <w:t>条款的第三方实现，可检验工具对复合许可、公共领域与版权归属的识别能力。</w:t>
      </w:r>
    </w:p>
    <w:p w14:paraId="26AD58B8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根目录</w:t>
      </w:r>
      <w:r>
        <w:rPr>
          <w:color w:val="000000"/>
        </w:rPr>
        <w:t xml:space="preserve"> LICENSE.txt </w:t>
      </w:r>
      <w:r>
        <w:rPr>
          <w:color w:val="000000"/>
        </w:rPr>
        <w:t>为</w:t>
      </w:r>
      <w:r>
        <w:rPr>
          <w:color w:val="000000"/>
        </w:rPr>
        <w:t xml:space="preserve"> Apache License 2.0 </w:t>
      </w:r>
      <w:r>
        <w:rPr>
          <w:color w:val="000000"/>
        </w:rPr>
        <w:t>全文，</w:t>
      </w:r>
      <w:r>
        <w:rPr>
          <w:color w:val="000000"/>
        </w:rPr>
        <w:t xml:space="preserve">NOTICE.txt </w:t>
      </w:r>
      <w:r>
        <w:rPr>
          <w:color w:val="000000"/>
        </w:rPr>
        <w:t>声明</w:t>
      </w:r>
      <w:r>
        <w:rPr>
          <w:color w:val="000000"/>
        </w:rPr>
        <w:t>“Apache Commons Codec, Copyright 2002-2025 The Apache Software Foundation”</w:t>
      </w:r>
      <w:r>
        <w:rPr>
          <w:color w:val="000000"/>
        </w:rPr>
        <w:t>。</w:t>
      </w:r>
      <w:r>
        <w:rPr>
          <w:color w:val="000000"/>
        </w:rPr>
        <w:t xml:space="preserve">pom.xml </w:t>
      </w:r>
      <w:r>
        <w:rPr>
          <w:color w:val="000000"/>
        </w:rPr>
        <w:t>中的测试依赖为</w:t>
      </w:r>
      <w:r>
        <w:rPr>
          <w:color w:val="000000"/>
        </w:rPr>
        <w:t xml:space="preserve"> commons-lang3 3.17.0</w:t>
      </w:r>
      <w:r>
        <w:rPr>
          <w:color w:val="000000"/>
        </w:rPr>
        <w:t>、</w:t>
      </w:r>
      <w:r>
        <w:rPr>
          <w:color w:val="000000"/>
        </w:rPr>
        <w:t xml:space="preserve">commons-io 2.18.0 </w:t>
      </w:r>
      <w:r>
        <w:rPr>
          <w:color w:val="000000"/>
        </w:rPr>
        <w:t>与</w:t>
      </w:r>
      <w:r>
        <w:rPr>
          <w:color w:val="000000"/>
        </w:rPr>
        <w:t xml:space="preserve"> JUnit Jupiter</w:t>
      </w:r>
      <w:r>
        <w:rPr>
          <w:color w:val="000000"/>
        </w:rPr>
        <w:t>（</w:t>
      </w:r>
      <w:r>
        <w:rPr>
          <w:color w:val="000000"/>
        </w:rPr>
        <w:t>EPL-2.0</w:t>
      </w:r>
      <w:r>
        <w:rPr>
          <w:color w:val="000000"/>
        </w:rPr>
        <w:t>），均为</w:t>
      </w:r>
      <w:r>
        <w:rPr>
          <w:color w:val="000000"/>
        </w:rPr>
        <w:t xml:space="preserve"> test </w:t>
      </w:r>
      <w:r>
        <w:rPr>
          <w:color w:val="000000"/>
        </w:rPr>
        <w:t>作用域。</w:t>
      </w:r>
    </w:p>
    <w:p w14:paraId="633140A4" w14:textId="77777777" w:rsidR="00C0230C" w:rsidRDefault="00000000">
      <w:pPr>
        <w:keepNext/>
        <w:snapToGrid w:val="0"/>
        <w:spacing w:before="160" w:after="80" w:line="300" w:lineRule="auto"/>
        <w:jc w:val="left"/>
      </w:pPr>
      <w:r>
        <w:rPr>
          <w:rFonts w:eastAsia="仿宋_GB2312"/>
          <w:b/>
          <w:color w:val="000000"/>
          <w:sz w:val="24"/>
        </w:rPr>
        <w:t>2</w:t>
      </w:r>
      <w:r>
        <w:rPr>
          <w:rFonts w:eastAsia="仿宋_GB2312"/>
          <w:b/>
          <w:color w:val="000000"/>
          <w:sz w:val="24"/>
        </w:rPr>
        <w:t>、检测工具与安装过程</w:t>
      </w:r>
    </w:p>
    <w:p w14:paraId="7389BD73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2.1 </w:t>
      </w:r>
      <w:r>
        <w:rPr>
          <w:b/>
          <w:color w:val="000000"/>
        </w:rPr>
        <w:t>工具选型</w:t>
      </w:r>
    </w:p>
    <w:p w14:paraId="0635D7DF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在给定的</w:t>
      </w:r>
      <w:r>
        <w:rPr>
          <w:color w:val="000000"/>
        </w:rPr>
        <w:t xml:space="preserve"> 33 </w:t>
      </w:r>
      <w:r>
        <w:rPr>
          <w:color w:val="000000"/>
        </w:rPr>
        <w:t>款工具中选用</w:t>
      </w:r>
      <w:r>
        <w:rPr>
          <w:color w:val="000000"/>
        </w:rPr>
        <w:t xml:space="preserve"> ScanCode Toolkit 32.5.0</w:t>
      </w:r>
      <w:r>
        <w:rPr>
          <w:color w:val="000000"/>
        </w:rPr>
        <w:t>。它由</w:t>
      </w:r>
      <w:r>
        <w:rPr>
          <w:color w:val="000000"/>
        </w:rPr>
        <w:t xml:space="preserve"> AboutCode </w:t>
      </w:r>
      <w:r>
        <w:rPr>
          <w:color w:val="000000"/>
        </w:rPr>
        <w:t>社区维护、采用</w:t>
      </w:r>
      <w:r>
        <w:rPr>
          <w:color w:val="000000"/>
        </w:rPr>
        <w:t xml:space="preserve"> Apache-2.0 </w:t>
      </w:r>
      <w:r>
        <w:rPr>
          <w:color w:val="000000"/>
        </w:rPr>
        <w:t>许可，命令行单机运行，可一次完成许可证、版权、包清单与文件信息四类扫描，输出</w:t>
      </w:r>
      <w:r>
        <w:rPr>
          <w:color w:val="000000"/>
        </w:rPr>
        <w:t xml:space="preserve"> JSON</w:t>
      </w:r>
      <w:r>
        <w:rPr>
          <w:color w:val="000000"/>
        </w:rPr>
        <w:t>、</w:t>
      </w:r>
      <w:r>
        <w:rPr>
          <w:color w:val="000000"/>
        </w:rPr>
        <w:t>HTML</w:t>
      </w:r>
      <w:r>
        <w:rPr>
          <w:color w:val="000000"/>
        </w:rPr>
        <w:t>、</w:t>
      </w:r>
      <w:r>
        <w:rPr>
          <w:color w:val="000000"/>
        </w:rPr>
        <w:t xml:space="preserve">CSV </w:t>
      </w:r>
      <w:r>
        <w:rPr>
          <w:color w:val="000000"/>
        </w:rPr>
        <w:t>与</w:t>
      </w:r>
      <w:r>
        <w:rPr>
          <w:color w:val="000000"/>
        </w:rPr>
        <w:t xml:space="preserve"> SPDX</w:t>
      </w:r>
      <w:r>
        <w:rPr>
          <w:color w:val="000000"/>
        </w:rPr>
        <w:t>，每条匹配都给出路径、起止行号、命中规则与置信分，便于取证式分析。相较之下，</w:t>
      </w:r>
      <w:r>
        <w:rPr>
          <w:color w:val="000000"/>
        </w:rPr>
        <w:t xml:space="preserve">Apache RAT </w:t>
      </w:r>
      <w:r>
        <w:rPr>
          <w:color w:val="000000"/>
        </w:rPr>
        <w:t>只判断文件是否带许可头、不识别许可证内容；</w:t>
      </w:r>
      <w:r>
        <w:rPr>
          <w:color w:val="000000"/>
        </w:rPr>
        <w:t xml:space="preserve">FOSSology </w:t>
      </w:r>
      <w:r>
        <w:rPr>
          <w:color w:val="000000"/>
        </w:rPr>
        <w:t>需</w:t>
      </w:r>
      <w:r>
        <w:rPr>
          <w:color w:val="000000"/>
        </w:rPr>
        <w:t xml:space="preserve"> PostgreSQL </w:t>
      </w:r>
      <w:r>
        <w:rPr>
          <w:color w:val="000000"/>
        </w:rPr>
        <w:t>与</w:t>
      </w:r>
      <w:r>
        <w:rPr>
          <w:color w:val="000000"/>
        </w:rPr>
        <w:t xml:space="preserve"> Web </w:t>
      </w:r>
      <w:r>
        <w:rPr>
          <w:color w:val="000000"/>
        </w:rPr>
        <w:t>服务，部署成本高；</w:t>
      </w:r>
      <w:r>
        <w:rPr>
          <w:color w:val="000000"/>
        </w:rPr>
        <w:t xml:space="preserve">ORT </w:t>
      </w:r>
      <w:r>
        <w:rPr>
          <w:color w:val="000000"/>
        </w:rPr>
        <w:t>覆盖依赖解析到策略判定的全流程，但依赖</w:t>
      </w:r>
      <w:r>
        <w:rPr>
          <w:color w:val="000000"/>
        </w:rPr>
        <w:t xml:space="preserve"> Java </w:t>
      </w:r>
      <w:r>
        <w:rPr>
          <w:color w:val="000000"/>
        </w:rPr>
        <w:t>环境与大量联网下载。就作业规模与可复现性而言，</w:t>
      </w:r>
      <w:r>
        <w:rPr>
          <w:color w:val="000000"/>
        </w:rPr>
        <w:t xml:space="preserve">ScanCode </w:t>
      </w:r>
      <w:r>
        <w:rPr>
          <w:color w:val="000000"/>
        </w:rPr>
        <w:t>性价比最高。</w:t>
      </w:r>
    </w:p>
    <w:p w14:paraId="5AA7397C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2.2 </w:t>
      </w:r>
      <w:r>
        <w:rPr>
          <w:b/>
          <w:color w:val="000000"/>
        </w:rPr>
        <w:t>安装过程</w:t>
      </w:r>
    </w:p>
    <w:p w14:paraId="5C554215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）环境准备：</w:t>
      </w:r>
      <w:r>
        <w:rPr>
          <w:color w:val="000000"/>
        </w:rPr>
        <w:t>Windows 11 x64 + Python 3.12.14</w:t>
      </w:r>
      <w:r>
        <w:rPr>
          <w:color w:val="000000"/>
        </w:rPr>
        <w:t>，在作业目录执行</w:t>
      </w:r>
      <w:r>
        <w:rPr>
          <w:color w:val="000000"/>
        </w:rPr>
        <w:t xml:space="preserve"> python -m venv venv </w:t>
      </w:r>
      <w:r>
        <w:rPr>
          <w:color w:val="000000"/>
        </w:rPr>
        <w:t>建立独立虚拟环境，避免污染系统解释器。</w:t>
      </w:r>
    </w:p>
    <w:p w14:paraId="4DD4F905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）安装：</w:t>
      </w:r>
      <w:r>
        <w:rPr>
          <w:color w:val="000000"/>
        </w:rPr>
        <w:t>venv\Scripts\python.exe -m pip install scancode-toolkit==32.5.0</w:t>
      </w:r>
      <w:r>
        <w:rPr>
          <w:color w:val="000000"/>
        </w:rPr>
        <w:t>。该版本为</w:t>
      </w:r>
      <w:r>
        <w:rPr>
          <w:color w:val="000000"/>
        </w:rPr>
        <w:t xml:space="preserve"> Python ≥3.10 </w:t>
      </w:r>
      <w:r>
        <w:rPr>
          <w:color w:val="000000"/>
        </w:rPr>
        <w:t>提供</w:t>
      </w:r>
      <w:r>
        <w:rPr>
          <w:color w:val="000000"/>
        </w:rPr>
        <w:t xml:space="preserve"> cp312 </w:t>
      </w:r>
      <w:r>
        <w:rPr>
          <w:color w:val="000000"/>
        </w:rPr>
        <w:t>预编译</w:t>
      </w:r>
      <w:r>
        <w:rPr>
          <w:color w:val="000000"/>
        </w:rPr>
        <w:t xml:space="preserve"> wheel</w:t>
      </w:r>
      <w:r>
        <w:rPr>
          <w:color w:val="000000"/>
        </w:rPr>
        <w:t>（</w:t>
      </w:r>
      <w:r>
        <w:rPr>
          <w:color w:val="000000"/>
        </w:rPr>
        <w:t>120.4 MB</w:t>
      </w:r>
      <w:r>
        <w:rPr>
          <w:color w:val="000000"/>
        </w:rPr>
        <w:t>），连同</w:t>
      </w:r>
      <w:r>
        <w:rPr>
          <w:color w:val="000000"/>
        </w:rPr>
        <w:t xml:space="preserve"> pluggy</w:t>
      </w:r>
      <w:r>
        <w:rPr>
          <w:color w:val="000000"/>
        </w:rPr>
        <w:t>、</w:t>
      </w:r>
      <w:r>
        <w:rPr>
          <w:color w:val="000000"/>
        </w:rPr>
        <w:t xml:space="preserve">typecode </w:t>
      </w:r>
      <w:r>
        <w:rPr>
          <w:color w:val="000000"/>
        </w:rPr>
        <w:t>等</w:t>
      </w:r>
      <w:r>
        <w:rPr>
          <w:color w:val="000000"/>
        </w:rPr>
        <w:t xml:space="preserve"> 60 </w:t>
      </w:r>
      <w:r>
        <w:rPr>
          <w:color w:val="000000"/>
        </w:rPr>
        <w:t>余个依赖一次装齐。</w:t>
      </w:r>
    </w:p>
    <w:p w14:paraId="7E62030A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）验证：</w:t>
      </w:r>
      <w:r>
        <w:rPr>
          <w:color w:val="000000"/>
        </w:rPr>
        <w:t xml:space="preserve">scancode --version </w:t>
      </w:r>
      <w:r>
        <w:rPr>
          <w:color w:val="000000"/>
        </w:rPr>
        <w:t>应输出</w:t>
      </w:r>
      <w:r>
        <w:rPr>
          <w:color w:val="000000"/>
        </w:rPr>
        <w:t xml:space="preserve"> ScanCode version 32.5.0</w:t>
      </w:r>
      <w:r>
        <w:rPr>
          <w:color w:val="000000"/>
        </w:rPr>
        <w:t>、</w:t>
      </w:r>
      <w:r>
        <w:rPr>
          <w:color w:val="000000"/>
        </w:rPr>
        <w:t>Output Format 4.1.0</w:t>
      </w:r>
      <w:r>
        <w:rPr>
          <w:color w:val="000000"/>
        </w:rPr>
        <w:t>、</w:t>
      </w:r>
      <w:r>
        <w:rPr>
          <w:color w:val="000000"/>
        </w:rPr>
        <w:t xml:space="preserve">SPDX License List 3.27 </w:t>
      </w:r>
      <w:r>
        <w:rPr>
          <w:color w:val="000000"/>
        </w:rPr>
        <w:t>三行信息。</w:t>
      </w:r>
    </w:p>
    <w:p w14:paraId="111B88C0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lastRenderedPageBreak/>
        <w:t xml:space="preserve">2.3 </w:t>
      </w:r>
      <w:r>
        <w:rPr>
          <w:b/>
          <w:color w:val="000000"/>
        </w:rPr>
        <w:t>安装中遇到的问题及解决</w:t>
      </w:r>
    </w:p>
    <w:p w14:paraId="6859F9CD" w14:textId="77777777" w:rsidR="00C0230C" w:rsidRDefault="00000000">
      <w:pPr>
        <w:keepNext/>
        <w:snapToGrid w:val="0"/>
        <w:spacing w:before="80" w:after="40"/>
        <w:jc w:val="center"/>
      </w:pPr>
      <w:r>
        <w:rPr>
          <w:b/>
          <w:color w:val="000000"/>
          <w:sz w:val="18"/>
        </w:rPr>
        <w:t>表</w:t>
      </w:r>
      <w:r>
        <w:rPr>
          <w:b/>
          <w:color w:val="000000"/>
          <w:sz w:val="18"/>
        </w:rPr>
        <w:t xml:space="preserve"> 1  </w:t>
      </w:r>
      <w:r>
        <w:rPr>
          <w:b/>
          <w:color w:val="000000"/>
          <w:sz w:val="18"/>
        </w:rPr>
        <w:t>安装与运行问题记录</w:t>
      </w:r>
    </w:p>
    <w:tbl>
      <w:tblPr>
        <w:tblW w:w="83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948"/>
        <w:gridCol w:w="2551"/>
        <w:gridCol w:w="2126"/>
      </w:tblGrid>
      <w:tr w:rsidR="00C0230C" w14:paraId="0C69C904" w14:textId="77777777">
        <w:trPr>
          <w:cantSplit/>
          <w:tblHeader/>
          <w:jc w:val="center"/>
        </w:trPr>
        <w:tc>
          <w:tcPr>
            <w:tcW w:w="680" w:type="dxa"/>
            <w:shd w:val="clear" w:color="auto" w:fill="EDEDED"/>
          </w:tcPr>
          <w:p w14:paraId="5ED11552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序号</w:t>
            </w:r>
          </w:p>
        </w:tc>
        <w:tc>
          <w:tcPr>
            <w:tcW w:w="2948" w:type="dxa"/>
            <w:shd w:val="clear" w:color="auto" w:fill="EDEDED"/>
          </w:tcPr>
          <w:p w14:paraId="162BE18E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问题现象</w:t>
            </w:r>
          </w:p>
        </w:tc>
        <w:tc>
          <w:tcPr>
            <w:tcW w:w="2551" w:type="dxa"/>
            <w:shd w:val="clear" w:color="auto" w:fill="EDEDED"/>
          </w:tcPr>
          <w:p w14:paraId="2C78B43E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原因分析</w:t>
            </w:r>
          </w:p>
        </w:tc>
        <w:tc>
          <w:tcPr>
            <w:tcW w:w="2126" w:type="dxa"/>
            <w:shd w:val="clear" w:color="auto" w:fill="EDEDED"/>
          </w:tcPr>
          <w:p w14:paraId="2DA77615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解决办法</w:t>
            </w:r>
          </w:p>
        </w:tc>
      </w:tr>
      <w:tr w:rsidR="00C0230C" w14:paraId="6484C3CA" w14:textId="77777777">
        <w:trPr>
          <w:cantSplit/>
          <w:jc w:val="center"/>
        </w:trPr>
        <w:tc>
          <w:tcPr>
            <w:tcW w:w="680" w:type="dxa"/>
          </w:tcPr>
          <w:p w14:paraId="51515992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948" w:type="dxa"/>
          </w:tcPr>
          <w:p w14:paraId="38E61BF1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运行</w:t>
            </w:r>
            <w:r>
              <w:rPr>
                <w:color w:val="000000"/>
                <w:sz w:val="18"/>
              </w:rPr>
              <w:t xml:space="preserve"> scancode --version </w:t>
            </w:r>
            <w:r>
              <w:rPr>
                <w:color w:val="000000"/>
                <w:sz w:val="18"/>
              </w:rPr>
              <w:t>抛出</w:t>
            </w:r>
            <w:r>
              <w:rPr>
                <w:color w:val="000000"/>
                <w:sz w:val="18"/>
              </w:rPr>
              <w:t xml:space="preserve"> ValueError: did not find any 'pre_scan' hooks</w:t>
            </w:r>
          </w:p>
        </w:tc>
        <w:tc>
          <w:tcPr>
            <w:tcW w:w="2551" w:type="dxa"/>
          </w:tcPr>
          <w:p w14:paraId="6ECAC796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 xml:space="preserve">pip </w:t>
            </w:r>
            <w:r>
              <w:rPr>
                <w:color w:val="000000"/>
                <w:sz w:val="18"/>
              </w:rPr>
              <w:t>解析到</w:t>
            </w:r>
            <w:r>
              <w:rPr>
                <w:color w:val="000000"/>
                <w:sz w:val="18"/>
              </w:rPr>
              <w:t xml:space="preserve"> pluggy 1.7.0</w:t>
            </w:r>
            <w:r>
              <w:rPr>
                <w:color w:val="000000"/>
                <w:sz w:val="18"/>
              </w:rPr>
              <w:t>，而</w:t>
            </w:r>
            <w:r>
              <w:rPr>
                <w:color w:val="000000"/>
                <w:sz w:val="18"/>
              </w:rPr>
              <w:t xml:space="preserve"> plugincode 32.0.0 </w:t>
            </w:r>
            <w:r>
              <w:rPr>
                <w:color w:val="000000"/>
                <w:sz w:val="18"/>
              </w:rPr>
              <w:t>依赖</w:t>
            </w:r>
            <w:r>
              <w:rPr>
                <w:color w:val="000000"/>
                <w:sz w:val="18"/>
              </w:rPr>
              <w:t xml:space="preserve"> pluggy 1.x </w:t>
            </w:r>
            <w:r>
              <w:rPr>
                <w:color w:val="000000"/>
                <w:sz w:val="18"/>
              </w:rPr>
              <w:t>早期的类级</w:t>
            </w:r>
            <w:r>
              <w:rPr>
                <w:color w:val="000000"/>
                <w:sz w:val="18"/>
              </w:rPr>
              <w:t xml:space="preserve"> hookspec </w:t>
            </w:r>
            <w:r>
              <w:rPr>
                <w:color w:val="000000"/>
                <w:sz w:val="18"/>
              </w:rPr>
              <w:t>注册行为</w:t>
            </w:r>
          </w:p>
        </w:tc>
        <w:tc>
          <w:tcPr>
            <w:tcW w:w="2126" w:type="dxa"/>
          </w:tcPr>
          <w:p w14:paraId="7457B9EE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执行</w:t>
            </w:r>
            <w:r>
              <w:rPr>
                <w:color w:val="000000"/>
                <w:sz w:val="18"/>
              </w:rPr>
              <w:t xml:space="preserve"> pip install pluggy==1.6.0 </w:t>
            </w:r>
            <w:r>
              <w:rPr>
                <w:color w:val="000000"/>
                <w:sz w:val="18"/>
              </w:rPr>
              <w:t>降级后恢复</w:t>
            </w:r>
          </w:p>
        </w:tc>
      </w:tr>
      <w:tr w:rsidR="00C0230C" w14:paraId="02337B91" w14:textId="77777777">
        <w:trPr>
          <w:cantSplit/>
          <w:jc w:val="center"/>
        </w:trPr>
        <w:tc>
          <w:tcPr>
            <w:tcW w:w="680" w:type="dxa"/>
          </w:tcPr>
          <w:p w14:paraId="5457FE9D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948" w:type="dxa"/>
          </w:tcPr>
          <w:p w14:paraId="4ECFABE5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控制台中文乱码，写文件报</w:t>
            </w:r>
            <w:r>
              <w:rPr>
                <w:color w:val="000000"/>
                <w:sz w:val="18"/>
              </w:rPr>
              <w:t xml:space="preserve"> UnicodeEncodeError: 'gbk' codec can't encode</w:t>
            </w:r>
          </w:p>
        </w:tc>
        <w:tc>
          <w:tcPr>
            <w:tcW w:w="2551" w:type="dxa"/>
          </w:tcPr>
          <w:p w14:paraId="10024863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 xml:space="preserve">Windows </w:t>
            </w:r>
            <w:r>
              <w:rPr>
                <w:color w:val="000000"/>
                <w:sz w:val="18"/>
              </w:rPr>
              <w:t>控制台默认</w:t>
            </w:r>
            <w:r>
              <w:rPr>
                <w:color w:val="000000"/>
                <w:sz w:val="18"/>
              </w:rPr>
              <w:t xml:space="preserve"> GBK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 xml:space="preserve">Python </w:t>
            </w:r>
            <w:r>
              <w:rPr>
                <w:color w:val="000000"/>
                <w:sz w:val="18"/>
              </w:rPr>
              <w:t>按系统编码写标准输出</w:t>
            </w:r>
          </w:p>
        </w:tc>
        <w:tc>
          <w:tcPr>
            <w:tcW w:w="2126" w:type="dxa"/>
          </w:tcPr>
          <w:p w14:paraId="429FA96C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命令行</w:t>
            </w:r>
            <w:r>
              <w:rPr>
                <w:color w:val="000000"/>
                <w:sz w:val="18"/>
              </w:rPr>
              <w:t xml:space="preserve"> chcp 65001</w:t>
            </w:r>
            <w:r>
              <w:rPr>
                <w:color w:val="000000"/>
                <w:sz w:val="18"/>
              </w:rPr>
              <w:t>，脚本统一以</w:t>
            </w:r>
            <w:r>
              <w:rPr>
                <w:color w:val="000000"/>
                <w:sz w:val="18"/>
              </w:rPr>
              <w:t xml:space="preserve"> UTF-8 </w:t>
            </w:r>
            <w:r>
              <w:rPr>
                <w:color w:val="000000"/>
                <w:sz w:val="18"/>
              </w:rPr>
              <w:t>读写</w:t>
            </w:r>
          </w:p>
        </w:tc>
      </w:tr>
      <w:tr w:rsidR="00C0230C" w14:paraId="6848670C" w14:textId="77777777">
        <w:trPr>
          <w:cantSplit/>
          <w:jc w:val="center"/>
        </w:trPr>
        <w:tc>
          <w:tcPr>
            <w:tcW w:w="680" w:type="dxa"/>
          </w:tcPr>
          <w:p w14:paraId="0C18094D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948" w:type="dxa"/>
          </w:tcPr>
          <w:p w14:paraId="1129751E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 xml:space="preserve">120 MB wheel </w:t>
            </w:r>
            <w:r>
              <w:rPr>
                <w:color w:val="000000"/>
                <w:sz w:val="18"/>
              </w:rPr>
              <w:t>下载中断，解压报</w:t>
            </w:r>
            <w:r>
              <w:rPr>
                <w:color w:val="000000"/>
                <w:sz w:val="18"/>
              </w:rPr>
              <w:t xml:space="preserve"> EOFError: Compressed file ended before the end-of-stream marker</w:t>
            </w:r>
          </w:p>
        </w:tc>
        <w:tc>
          <w:tcPr>
            <w:tcW w:w="2551" w:type="dxa"/>
          </w:tcPr>
          <w:p w14:paraId="7E7EB576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下载超时导致压缩包被截断</w:t>
            </w:r>
          </w:p>
        </w:tc>
        <w:tc>
          <w:tcPr>
            <w:tcW w:w="2126" w:type="dxa"/>
          </w:tcPr>
          <w:p w14:paraId="5E045BF3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改用后台下载并按字节数校验完整性，失败时加</w:t>
            </w:r>
            <w:r>
              <w:rPr>
                <w:color w:val="000000"/>
                <w:sz w:val="18"/>
              </w:rPr>
              <w:t xml:space="preserve"> --no-cache-dir </w:t>
            </w:r>
            <w:r>
              <w:rPr>
                <w:color w:val="000000"/>
                <w:sz w:val="18"/>
              </w:rPr>
              <w:t>重装</w:t>
            </w:r>
          </w:p>
        </w:tc>
      </w:tr>
      <w:tr w:rsidR="00C0230C" w14:paraId="5C0074E4" w14:textId="77777777">
        <w:trPr>
          <w:cantSplit/>
          <w:jc w:val="center"/>
        </w:trPr>
        <w:tc>
          <w:tcPr>
            <w:tcW w:w="680" w:type="dxa"/>
          </w:tcPr>
          <w:p w14:paraId="3CA6152C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948" w:type="dxa"/>
          </w:tcPr>
          <w:p w14:paraId="4A86FC58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 xml:space="preserve">--csv </w:t>
            </w:r>
            <w:r>
              <w:rPr>
                <w:color w:val="000000"/>
                <w:sz w:val="18"/>
              </w:rPr>
              <w:t>输出</w:t>
            </w:r>
            <w:r>
              <w:rPr>
                <w:color w:val="000000"/>
                <w:sz w:val="18"/>
              </w:rPr>
              <w:t xml:space="preserve"> DEPRECATION WARNING</w:t>
            </w:r>
            <w:r>
              <w:rPr>
                <w:color w:val="000000"/>
                <w:sz w:val="18"/>
              </w:rPr>
              <w:t>；每次启动约有</w:t>
            </w:r>
            <w:r>
              <w:rPr>
                <w:color w:val="000000"/>
                <w:sz w:val="18"/>
              </w:rPr>
              <w:t xml:space="preserve"> 2 s </w:t>
            </w:r>
            <w:r>
              <w:rPr>
                <w:color w:val="000000"/>
                <w:sz w:val="18"/>
              </w:rPr>
              <w:t>的</w:t>
            </w:r>
            <w:r>
              <w:rPr>
                <w:color w:val="000000"/>
                <w:sz w:val="18"/>
              </w:rPr>
              <w:t xml:space="preserve"> Setup plugins </w:t>
            </w:r>
            <w:r>
              <w:rPr>
                <w:color w:val="000000"/>
                <w:sz w:val="18"/>
              </w:rPr>
              <w:t>停顿</w:t>
            </w:r>
          </w:p>
        </w:tc>
        <w:tc>
          <w:tcPr>
            <w:tcW w:w="2551" w:type="dxa"/>
          </w:tcPr>
          <w:p w14:paraId="378BA11F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旧</w:t>
            </w:r>
            <w:r>
              <w:rPr>
                <w:color w:val="000000"/>
                <w:sz w:val="18"/>
              </w:rPr>
              <w:t xml:space="preserve"> CSV </w:t>
            </w:r>
            <w:r>
              <w:rPr>
                <w:color w:val="000000"/>
                <w:sz w:val="18"/>
              </w:rPr>
              <w:t>插件将被新表格输出替代；启动需加载插件与内置规则库</w:t>
            </w:r>
          </w:p>
        </w:tc>
        <w:tc>
          <w:tcPr>
            <w:tcW w:w="2126" w:type="dxa"/>
          </w:tcPr>
          <w:p w14:paraId="02B10459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主结果取</w:t>
            </w:r>
            <w:r>
              <w:rPr>
                <w:color w:val="000000"/>
                <w:sz w:val="18"/>
              </w:rPr>
              <w:t xml:space="preserve"> JSON/HTML/SPDX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 xml:space="preserve">CSV </w:t>
            </w:r>
            <w:r>
              <w:rPr>
                <w:color w:val="000000"/>
                <w:sz w:val="18"/>
              </w:rPr>
              <w:t>仅作辅助；启动开销属正常</w:t>
            </w:r>
          </w:p>
        </w:tc>
      </w:tr>
    </w:tbl>
    <w:p w14:paraId="18912F44" w14:textId="77777777" w:rsidR="00C0230C" w:rsidRDefault="00000000">
      <w:pPr>
        <w:keepNext/>
        <w:snapToGrid w:val="0"/>
        <w:spacing w:before="160" w:after="80" w:line="300" w:lineRule="auto"/>
        <w:jc w:val="left"/>
      </w:pPr>
      <w:r>
        <w:rPr>
          <w:rFonts w:eastAsia="仿宋_GB2312"/>
          <w:b/>
          <w:color w:val="000000"/>
          <w:sz w:val="24"/>
        </w:rPr>
        <w:t>3</w:t>
      </w:r>
      <w:r>
        <w:rPr>
          <w:rFonts w:eastAsia="仿宋_GB2312"/>
          <w:b/>
          <w:color w:val="000000"/>
          <w:sz w:val="24"/>
        </w:rPr>
        <w:t>、检测报告</w:t>
      </w:r>
    </w:p>
    <w:p w14:paraId="14CF056B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3.1 </w:t>
      </w:r>
      <w:r>
        <w:rPr>
          <w:b/>
          <w:color w:val="000000"/>
        </w:rPr>
        <w:t>扫描命令与输出</w:t>
      </w:r>
    </w:p>
    <w:p w14:paraId="650F98CF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在源码包所在目录执行下列命令，</w:t>
      </w:r>
      <w:r>
        <w:rPr>
          <w:color w:val="000000"/>
        </w:rPr>
        <w:t xml:space="preserve">-c/-l/-p/-i </w:t>
      </w:r>
      <w:r>
        <w:rPr>
          <w:color w:val="000000"/>
        </w:rPr>
        <w:t>分别启用版权、许可证、包清单与文件信息扫描，</w:t>
      </w:r>
      <w:r>
        <w:rPr>
          <w:color w:val="000000"/>
        </w:rPr>
        <w:t xml:space="preserve">-n 4 </w:t>
      </w:r>
      <w:r>
        <w:rPr>
          <w:color w:val="000000"/>
        </w:rPr>
        <w:t>使用</w:t>
      </w:r>
      <w:r>
        <w:rPr>
          <w:color w:val="000000"/>
        </w:rPr>
        <w:t xml:space="preserve"> 4 </w:t>
      </w:r>
      <w:r>
        <w:rPr>
          <w:color w:val="000000"/>
        </w:rPr>
        <w:t>个进程：</w:t>
      </w:r>
    </w:p>
    <w:p w14:paraId="22662D38" w14:textId="77777777" w:rsidR="00C0230C" w:rsidRDefault="00000000">
      <w:pPr>
        <w:shd w:val="clear" w:color="auto" w:fill="F5F5F5"/>
        <w:snapToGrid w:val="0"/>
        <w:spacing w:before="40"/>
        <w:ind w:left="120"/>
        <w:jc w:val="left"/>
      </w:pPr>
      <w:r>
        <w:rPr>
          <w:rFonts w:ascii="Consolas" w:hAnsi="Consolas" w:cs="Consolas"/>
          <w:color w:val="000000"/>
          <w:sz w:val="17"/>
        </w:rPr>
        <w:t>scancode -clpi -n 4 --timeout 120 \</w:t>
      </w:r>
    </w:p>
    <w:p w14:paraId="44E18606" w14:textId="77777777" w:rsidR="00C0230C" w:rsidRDefault="00000000">
      <w:pPr>
        <w:shd w:val="clear" w:color="auto" w:fill="F5F5F5"/>
        <w:snapToGrid w:val="0"/>
        <w:ind w:left="120"/>
        <w:jc w:val="left"/>
      </w:pPr>
      <w:r>
        <w:rPr>
          <w:rFonts w:ascii="Consolas" w:hAnsi="Consolas" w:cs="Consolas"/>
          <w:color w:val="000000"/>
          <w:sz w:val="17"/>
        </w:rPr>
        <w:t xml:space="preserve">  --json-pp reports\codec-scan.json  --html reports\codec-scan.html \</w:t>
      </w:r>
    </w:p>
    <w:p w14:paraId="1ADF755D" w14:textId="77777777" w:rsidR="00C0230C" w:rsidRDefault="00000000">
      <w:pPr>
        <w:shd w:val="clear" w:color="auto" w:fill="F5F5F5"/>
        <w:snapToGrid w:val="0"/>
        <w:ind w:left="120"/>
        <w:jc w:val="left"/>
      </w:pPr>
      <w:r>
        <w:rPr>
          <w:rFonts w:ascii="Consolas" w:hAnsi="Consolas" w:cs="Consolas"/>
          <w:color w:val="000000"/>
          <w:sz w:val="17"/>
        </w:rPr>
        <w:t xml:space="preserve">  --spdx-tv reports\codec-scan.spdx  --csv  reports\codec-scan.csv \</w:t>
      </w:r>
    </w:p>
    <w:p w14:paraId="09A63AD1" w14:textId="77777777" w:rsidR="00C0230C" w:rsidRDefault="00000000">
      <w:pPr>
        <w:shd w:val="clear" w:color="auto" w:fill="F5F5F5"/>
        <w:snapToGrid w:val="0"/>
        <w:spacing w:after="40"/>
        <w:ind w:left="120"/>
        <w:jc w:val="left"/>
      </w:pPr>
      <w:r>
        <w:rPr>
          <w:rFonts w:ascii="Consolas" w:hAnsi="Consolas" w:cs="Consolas"/>
          <w:color w:val="000000"/>
          <w:sz w:val="17"/>
        </w:rPr>
        <w:t xml:space="preserve">  src\commons-codec-1.18.0-src</w:t>
      </w:r>
    </w:p>
    <w:p w14:paraId="492B2916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扫描共处理</w:t>
      </w:r>
      <w:r>
        <w:rPr>
          <w:color w:val="000000"/>
        </w:rPr>
        <w:t xml:space="preserve"> 364 </w:t>
      </w:r>
      <w:r>
        <w:rPr>
          <w:color w:val="000000"/>
        </w:rPr>
        <w:t>个资源（</w:t>
      </w:r>
      <w:r>
        <w:rPr>
          <w:color w:val="000000"/>
        </w:rPr>
        <w:t xml:space="preserve">317 </w:t>
      </w:r>
      <w:r>
        <w:rPr>
          <w:color w:val="000000"/>
        </w:rPr>
        <w:t>个文件、</w:t>
      </w:r>
      <w:r>
        <w:rPr>
          <w:color w:val="000000"/>
        </w:rPr>
        <w:t xml:space="preserve">47 </w:t>
      </w:r>
      <w:r>
        <w:rPr>
          <w:color w:val="000000"/>
        </w:rPr>
        <w:t>个目录）、</w:t>
      </w:r>
      <w:r>
        <w:rPr>
          <w:color w:val="000000"/>
        </w:rPr>
        <w:t>2.24 MB</w:t>
      </w:r>
      <w:r>
        <w:rPr>
          <w:color w:val="000000"/>
        </w:rPr>
        <w:t>，耗时</w:t>
      </w:r>
      <w:r>
        <w:rPr>
          <w:color w:val="000000"/>
        </w:rPr>
        <w:t xml:space="preserve"> 45.6 s</w:t>
      </w:r>
      <w:r>
        <w:rPr>
          <w:color w:val="000000"/>
        </w:rPr>
        <w:t>（</w:t>
      </w:r>
      <w:r>
        <w:rPr>
          <w:color w:val="000000"/>
        </w:rPr>
        <w:t xml:space="preserve">6.95 </w:t>
      </w:r>
      <w:r>
        <w:rPr>
          <w:color w:val="000000"/>
        </w:rPr>
        <w:t>文件</w:t>
      </w:r>
      <w:r>
        <w:rPr>
          <w:color w:val="000000"/>
        </w:rPr>
        <w:t>/</w:t>
      </w:r>
      <w:r>
        <w:rPr>
          <w:color w:val="000000"/>
        </w:rPr>
        <w:t>秒），错误数为</w:t>
      </w:r>
      <w:r>
        <w:rPr>
          <w:color w:val="000000"/>
        </w:rPr>
        <w:t xml:space="preserve"> 0</w:t>
      </w:r>
      <w:r>
        <w:rPr>
          <w:color w:val="000000"/>
        </w:rPr>
        <w:t>。输出四份文件：</w:t>
      </w:r>
      <w:r>
        <w:rPr>
          <w:color w:val="000000"/>
        </w:rPr>
        <w:t>JSON</w:t>
      </w:r>
      <w:r>
        <w:rPr>
          <w:color w:val="000000"/>
        </w:rPr>
        <w:t>（</w:t>
      </w:r>
      <w:r>
        <w:rPr>
          <w:color w:val="000000"/>
        </w:rPr>
        <w:t>836 KB</w:t>
      </w:r>
      <w:r>
        <w:rPr>
          <w:color w:val="000000"/>
        </w:rPr>
        <w:t>，含行号与命中规则）、</w:t>
      </w:r>
      <w:r>
        <w:rPr>
          <w:color w:val="000000"/>
        </w:rPr>
        <w:t>HTML</w:t>
      </w:r>
      <w:r>
        <w:rPr>
          <w:color w:val="000000"/>
        </w:rPr>
        <w:t>（</w:t>
      </w:r>
      <w:r>
        <w:rPr>
          <w:color w:val="000000"/>
        </w:rPr>
        <w:t>442 KB</w:t>
      </w:r>
      <w:r>
        <w:rPr>
          <w:color w:val="000000"/>
        </w:rPr>
        <w:t>，可视化浏览）、</w:t>
      </w:r>
      <w:r>
        <w:rPr>
          <w:color w:val="000000"/>
        </w:rPr>
        <w:t>SPDX tag-value</w:t>
      </w:r>
      <w:r>
        <w:rPr>
          <w:color w:val="000000"/>
        </w:rPr>
        <w:t>（</w:t>
      </w:r>
      <w:r>
        <w:rPr>
          <w:color w:val="000000"/>
        </w:rPr>
        <w:t>102 KB</w:t>
      </w:r>
      <w:r>
        <w:rPr>
          <w:color w:val="000000"/>
        </w:rPr>
        <w:t>，可导入</w:t>
      </w:r>
      <w:r>
        <w:rPr>
          <w:color w:val="000000"/>
        </w:rPr>
        <w:t xml:space="preserve"> SBOM </w:t>
      </w:r>
      <w:r>
        <w:rPr>
          <w:color w:val="000000"/>
        </w:rPr>
        <w:t>平台）、</w:t>
      </w:r>
      <w:r>
        <w:rPr>
          <w:color w:val="000000"/>
        </w:rPr>
        <w:t>CSV</w:t>
      </w:r>
      <w:r>
        <w:rPr>
          <w:color w:val="000000"/>
        </w:rPr>
        <w:t>（</w:t>
      </w:r>
      <w:r>
        <w:rPr>
          <w:color w:val="000000"/>
        </w:rPr>
        <w:t>311 KB</w:t>
      </w:r>
      <w:r>
        <w:rPr>
          <w:color w:val="000000"/>
        </w:rPr>
        <w:t>，便于表格统计）。</w:t>
      </w:r>
    </w:p>
    <w:p w14:paraId="17D3FD92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3.2 </w:t>
      </w:r>
      <w:r>
        <w:rPr>
          <w:b/>
          <w:color w:val="000000"/>
        </w:rPr>
        <w:t>总体统计与许可证分布</w:t>
      </w:r>
    </w:p>
    <w:p w14:paraId="3AB395F1" w14:textId="77777777" w:rsidR="00C0230C" w:rsidRDefault="00000000">
      <w:pPr>
        <w:keepNext/>
        <w:snapToGrid w:val="0"/>
        <w:spacing w:before="80" w:after="40"/>
        <w:jc w:val="center"/>
      </w:pPr>
      <w:r>
        <w:rPr>
          <w:b/>
          <w:color w:val="000000"/>
          <w:sz w:val="18"/>
        </w:rPr>
        <w:t>表</w:t>
      </w:r>
      <w:r>
        <w:rPr>
          <w:b/>
          <w:color w:val="000000"/>
          <w:sz w:val="18"/>
        </w:rPr>
        <w:t xml:space="preserve"> 2  </w:t>
      </w:r>
      <w:r>
        <w:rPr>
          <w:b/>
          <w:color w:val="000000"/>
          <w:sz w:val="18"/>
        </w:rPr>
        <w:t>检测结果总体统计</w:t>
      </w:r>
    </w:p>
    <w:tbl>
      <w:tblPr>
        <w:tblW w:w="83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357"/>
      </w:tblGrid>
      <w:tr w:rsidR="00C0230C" w14:paraId="0CB7F149" w14:textId="77777777">
        <w:trPr>
          <w:cantSplit/>
          <w:tblHeader/>
          <w:jc w:val="center"/>
        </w:trPr>
        <w:tc>
          <w:tcPr>
            <w:tcW w:w="2948" w:type="dxa"/>
            <w:shd w:val="clear" w:color="auto" w:fill="EDEDED"/>
          </w:tcPr>
          <w:p w14:paraId="168C1878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统计项</w:t>
            </w:r>
          </w:p>
        </w:tc>
        <w:tc>
          <w:tcPr>
            <w:tcW w:w="5357" w:type="dxa"/>
            <w:shd w:val="clear" w:color="auto" w:fill="EDEDED"/>
          </w:tcPr>
          <w:p w14:paraId="179365E0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结果</w:t>
            </w:r>
          </w:p>
        </w:tc>
      </w:tr>
      <w:tr w:rsidR="00C0230C" w14:paraId="5F563C7D" w14:textId="77777777">
        <w:trPr>
          <w:cantSplit/>
          <w:jc w:val="center"/>
        </w:trPr>
        <w:tc>
          <w:tcPr>
            <w:tcW w:w="2948" w:type="dxa"/>
          </w:tcPr>
          <w:p w14:paraId="07B025C3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检出许可证的文件</w:t>
            </w:r>
          </w:p>
        </w:tc>
        <w:tc>
          <w:tcPr>
            <w:tcW w:w="5357" w:type="dxa"/>
          </w:tcPr>
          <w:p w14:paraId="0BA54BB6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309 / 317</w:t>
            </w:r>
            <w:r>
              <w:rPr>
                <w:color w:val="000000"/>
                <w:sz w:val="18"/>
              </w:rPr>
              <w:t>（</w:t>
            </w:r>
            <w:r>
              <w:rPr>
                <w:color w:val="000000"/>
                <w:sz w:val="18"/>
              </w:rPr>
              <w:t>97.5%</w:t>
            </w:r>
            <w:r>
              <w:rPr>
                <w:color w:val="000000"/>
                <w:sz w:val="18"/>
              </w:rPr>
              <w:t>）</w:t>
            </w:r>
          </w:p>
        </w:tc>
      </w:tr>
      <w:tr w:rsidR="00C0230C" w14:paraId="7FDB611C" w14:textId="77777777">
        <w:trPr>
          <w:cantSplit/>
          <w:jc w:val="center"/>
        </w:trPr>
        <w:tc>
          <w:tcPr>
            <w:tcW w:w="2948" w:type="dxa"/>
          </w:tcPr>
          <w:p w14:paraId="0A5B6A2B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仅含</w:t>
            </w:r>
            <w:r>
              <w:rPr>
                <w:color w:val="000000"/>
                <w:sz w:val="18"/>
              </w:rPr>
              <w:t xml:space="preserve"> apache-2.0 </w:t>
            </w:r>
            <w:r>
              <w:rPr>
                <w:color w:val="000000"/>
                <w:sz w:val="18"/>
              </w:rPr>
              <w:t>的文件</w:t>
            </w:r>
          </w:p>
        </w:tc>
        <w:tc>
          <w:tcPr>
            <w:tcW w:w="5357" w:type="dxa"/>
          </w:tcPr>
          <w:p w14:paraId="7004B688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300</w:t>
            </w:r>
            <w:r>
              <w:rPr>
                <w:color w:val="000000"/>
                <w:sz w:val="18"/>
              </w:rPr>
              <w:t>（占全部文件的</w:t>
            </w:r>
            <w:r>
              <w:rPr>
                <w:color w:val="000000"/>
                <w:sz w:val="18"/>
              </w:rPr>
              <w:t xml:space="preserve"> 94.6%</w:t>
            </w:r>
            <w:r>
              <w:rPr>
                <w:color w:val="000000"/>
                <w:sz w:val="18"/>
              </w:rPr>
              <w:t>）</w:t>
            </w:r>
          </w:p>
        </w:tc>
      </w:tr>
      <w:tr w:rsidR="00C0230C" w14:paraId="106BF6FF" w14:textId="77777777">
        <w:trPr>
          <w:cantSplit/>
          <w:jc w:val="center"/>
        </w:trPr>
        <w:tc>
          <w:tcPr>
            <w:tcW w:w="2948" w:type="dxa"/>
          </w:tcPr>
          <w:p w14:paraId="1E2969FB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含复合表达式的文件</w:t>
            </w:r>
          </w:p>
        </w:tc>
        <w:tc>
          <w:tcPr>
            <w:tcW w:w="5357" w:type="dxa"/>
          </w:tcPr>
          <w:p w14:paraId="35D390EF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9</w:t>
            </w:r>
            <w:r>
              <w:rPr>
                <w:color w:val="000000"/>
                <w:sz w:val="18"/>
              </w:rPr>
              <w:t>（</w:t>
            </w:r>
            <w:r>
              <w:rPr>
                <w:color w:val="000000"/>
                <w:sz w:val="18"/>
              </w:rPr>
              <w:t>2.8%</w:t>
            </w:r>
            <w:r>
              <w:rPr>
                <w:color w:val="000000"/>
                <w:sz w:val="18"/>
              </w:rPr>
              <w:t>）</w:t>
            </w:r>
          </w:p>
        </w:tc>
      </w:tr>
      <w:tr w:rsidR="00C0230C" w14:paraId="74A096FB" w14:textId="77777777">
        <w:trPr>
          <w:cantSplit/>
          <w:jc w:val="center"/>
        </w:trPr>
        <w:tc>
          <w:tcPr>
            <w:tcW w:w="2948" w:type="dxa"/>
          </w:tcPr>
          <w:p w14:paraId="18EF43C5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未检出许可证的文件</w:t>
            </w:r>
          </w:p>
        </w:tc>
        <w:tc>
          <w:tcPr>
            <w:tcW w:w="5357" w:type="dxa"/>
          </w:tcPr>
          <w:p w14:paraId="2E0799B6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8</w:t>
            </w:r>
            <w:r>
              <w:rPr>
                <w:color w:val="000000"/>
                <w:sz w:val="18"/>
              </w:rPr>
              <w:t>（</w:t>
            </w:r>
            <w:r>
              <w:rPr>
                <w:color w:val="000000"/>
                <w:sz w:val="18"/>
              </w:rPr>
              <w:t>2.5%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 xml:space="preserve">5 </w:t>
            </w:r>
            <w:r>
              <w:rPr>
                <w:color w:val="000000"/>
                <w:sz w:val="18"/>
              </w:rPr>
              <w:t>个二进制、</w:t>
            </w:r>
            <w:r>
              <w:rPr>
                <w:color w:val="000000"/>
                <w:sz w:val="18"/>
              </w:rPr>
              <w:t xml:space="preserve">1 </w:t>
            </w:r>
            <w:r>
              <w:rPr>
                <w:color w:val="000000"/>
                <w:sz w:val="18"/>
              </w:rPr>
              <w:t>个空文件、</w:t>
            </w:r>
            <w:r>
              <w:rPr>
                <w:color w:val="000000"/>
                <w:sz w:val="18"/>
              </w:rPr>
              <w:t xml:space="preserve">2 </w:t>
            </w:r>
            <w:r>
              <w:rPr>
                <w:color w:val="000000"/>
                <w:sz w:val="18"/>
              </w:rPr>
              <w:t>个文本）</w:t>
            </w:r>
          </w:p>
        </w:tc>
      </w:tr>
      <w:tr w:rsidR="00C0230C" w14:paraId="25679B06" w14:textId="77777777">
        <w:trPr>
          <w:cantSplit/>
          <w:jc w:val="center"/>
        </w:trPr>
        <w:tc>
          <w:tcPr>
            <w:tcW w:w="2948" w:type="dxa"/>
          </w:tcPr>
          <w:p w14:paraId="4FCD2068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许可证匹配记录</w:t>
            </w:r>
          </w:p>
        </w:tc>
        <w:tc>
          <w:tcPr>
            <w:tcW w:w="5357" w:type="dxa"/>
          </w:tcPr>
          <w:p w14:paraId="0B610E20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 xml:space="preserve">333 </w:t>
            </w:r>
            <w:r>
              <w:rPr>
                <w:color w:val="000000"/>
                <w:sz w:val="18"/>
              </w:rPr>
              <w:t>条（</w:t>
            </w:r>
            <w:r>
              <w:rPr>
                <w:color w:val="000000"/>
                <w:sz w:val="18"/>
              </w:rPr>
              <w:t>apache-2.0 317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public-domain 7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generic-cla 3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unknown-license-reference 2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apache-1.1 2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bsd-new 1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other-permissive 1</w:t>
            </w:r>
            <w:r>
              <w:rPr>
                <w:color w:val="000000"/>
                <w:sz w:val="18"/>
              </w:rPr>
              <w:t>）</w:t>
            </w:r>
          </w:p>
        </w:tc>
      </w:tr>
      <w:tr w:rsidR="00C0230C" w14:paraId="1EAA3521" w14:textId="77777777">
        <w:trPr>
          <w:cantSplit/>
          <w:jc w:val="center"/>
        </w:trPr>
        <w:tc>
          <w:tcPr>
            <w:tcW w:w="2948" w:type="dxa"/>
          </w:tcPr>
          <w:p w14:paraId="12B2EDE7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版权声明</w:t>
            </w:r>
          </w:p>
        </w:tc>
        <w:tc>
          <w:tcPr>
            <w:tcW w:w="5357" w:type="dxa"/>
          </w:tcPr>
          <w:p w14:paraId="755D7DA6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 xml:space="preserve">3 </w:t>
            </w:r>
            <w:r>
              <w:rPr>
                <w:color w:val="000000"/>
                <w:sz w:val="18"/>
              </w:rPr>
              <w:t>条（</w:t>
            </w:r>
            <w:r>
              <w:rPr>
                <w:color w:val="000000"/>
                <w:sz w:val="18"/>
              </w:rPr>
              <w:t>The Apache Software Foundation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Intel Corporation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Kevin Atkinson</w:t>
            </w:r>
            <w:r>
              <w:rPr>
                <w:color w:val="000000"/>
                <w:sz w:val="18"/>
              </w:rPr>
              <w:t>）</w:t>
            </w:r>
          </w:p>
        </w:tc>
      </w:tr>
    </w:tbl>
    <w:p w14:paraId="02C4F527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其中</w:t>
      </w:r>
      <w:r>
        <w:rPr>
          <w:color w:val="000000"/>
        </w:rPr>
        <w:t xml:space="preserve"> 300 </w:t>
      </w:r>
      <w:r>
        <w:rPr>
          <w:color w:val="000000"/>
        </w:rPr>
        <w:t>个文件为纯</w:t>
      </w:r>
      <w:r>
        <w:rPr>
          <w:color w:val="000000"/>
        </w:rPr>
        <w:t xml:space="preserve"> apache-2.0</w:t>
      </w:r>
      <w:r>
        <w:rPr>
          <w:color w:val="000000"/>
        </w:rPr>
        <w:t>，其余</w:t>
      </w:r>
      <w:r>
        <w:rPr>
          <w:color w:val="000000"/>
        </w:rPr>
        <w:t xml:space="preserve"> 9 </w:t>
      </w:r>
      <w:r>
        <w:rPr>
          <w:color w:val="000000"/>
        </w:rPr>
        <w:t>个文件出现含第三方成分的表达式，具体位置与判定见下表。</w:t>
      </w:r>
    </w:p>
    <w:p w14:paraId="58FD9B8E" w14:textId="77777777" w:rsidR="00C0230C" w:rsidRDefault="00000000">
      <w:pPr>
        <w:keepNext/>
        <w:snapToGrid w:val="0"/>
        <w:spacing w:before="80" w:after="40"/>
        <w:jc w:val="center"/>
      </w:pPr>
      <w:r>
        <w:rPr>
          <w:b/>
          <w:color w:val="000000"/>
          <w:sz w:val="18"/>
        </w:rPr>
        <w:t>表</w:t>
      </w:r>
      <w:r>
        <w:rPr>
          <w:b/>
          <w:color w:val="000000"/>
          <w:sz w:val="18"/>
        </w:rPr>
        <w:t xml:space="preserve"> 3  </w:t>
      </w:r>
      <w:r>
        <w:rPr>
          <w:b/>
          <w:color w:val="000000"/>
          <w:sz w:val="18"/>
        </w:rPr>
        <w:t>含非</w:t>
      </w:r>
      <w:r>
        <w:rPr>
          <w:b/>
          <w:color w:val="000000"/>
          <w:sz w:val="18"/>
        </w:rPr>
        <w:t xml:space="preserve"> Apache </w:t>
      </w:r>
      <w:r>
        <w:rPr>
          <w:b/>
          <w:color w:val="000000"/>
          <w:sz w:val="18"/>
        </w:rPr>
        <w:t>条款的文件清单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0"/>
        <w:gridCol w:w="3402"/>
        <w:gridCol w:w="1389"/>
        <w:gridCol w:w="935"/>
      </w:tblGrid>
      <w:tr w:rsidR="00C0230C" w14:paraId="2C888664" w14:textId="77777777">
        <w:trPr>
          <w:cantSplit/>
          <w:tblHeader/>
          <w:jc w:val="center"/>
        </w:trPr>
        <w:tc>
          <w:tcPr>
            <w:tcW w:w="2580" w:type="dxa"/>
            <w:shd w:val="clear" w:color="auto" w:fill="EDEDED"/>
          </w:tcPr>
          <w:p w14:paraId="14456DE2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文件</w:t>
            </w:r>
          </w:p>
        </w:tc>
        <w:tc>
          <w:tcPr>
            <w:tcW w:w="3402" w:type="dxa"/>
            <w:shd w:val="clear" w:color="auto" w:fill="EDEDED"/>
          </w:tcPr>
          <w:p w14:paraId="469532AB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检出表达式</w:t>
            </w:r>
          </w:p>
        </w:tc>
        <w:tc>
          <w:tcPr>
            <w:tcW w:w="1389" w:type="dxa"/>
            <w:shd w:val="clear" w:color="auto" w:fill="EDEDED"/>
          </w:tcPr>
          <w:p w14:paraId="64C5B378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关键行</w:t>
            </w:r>
          </w:p>
        </w:tc>
        <w:tc>
          <w:tcPr>
            <w:tcW w:w="935" w:type="dxa"/>
            <w:shd w:val="clear" w:color="auto" w:fill="EDEDED"/>
          </w:tcPr>
          <w:p w14:paraId="0F82EB46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判定</w:t>
            </w:r>
          </w:p>
        </w:tc>
      </w:tr>
      <w:tr w:rsidR="00C0230C" w14:paraId="2E6C5DAB" w14:textId="77777777">
        <w:trPr>
          <w:cantSplit/>
          <w:jc w:val="center"/>
        </w:trPr>
        <w:tc>
          <w:tcPr>
            <w:tcW w:w="2580" w:type="dxa"/>
          </w:tcPr>
          <w:p w14:paraId="0C987962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MurmurHash2.java</w:t>
            </w:r>
          </w:p>
        </w:tc>
        <w:tc>
          <w:tcPr>
            <w:tcW w:w="3402" w:type="dxa"/>
          </w:tcPr>
          <w:p w14:paraId="507549EA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apache-2.0 AND public-domain</w:t>
            </w:r>
          </w:p>
        </w:tc>
        <w:tc>
          <w:tcPr>
            <w:tcW w:w="1389" w:type="dxa"/>
          </w:tcPr>
          <w:p w14:paraId="3EA18161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38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42</w:t>
            </w:r>
          </w:p>
        </w:tc>
        <w:tc>
          <w:tcPr>
            <w:tcW w:w="935" w:type="dxa"/>
          </w:tcPr>
          <w:p w14:paraId="54ED4B3E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真阳性</w:t>
            </w:r>
          </w:p>
        </w:tc>
      </w:tr>
      <w:tr w:rsidR="00C0230C" w14:paraId="18866137" w14:textId="77777777">
        <w:trPr>
          <w:cantSplit/>
          <w:jc w:val="center"/>
        </w:trPr>
        <w:tc>
          <w:tcPr>
            <w:tcW w:w="2580" w:type="dxa"/>
          </w:tcPr>
          <w:p w14:paraId="0E52424A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MurmurHash3.java</w:t>
            </w:r>
          </w:p>
        </w:tc>
        <w:tc>
          <w:tcPr>
            <w:tcW w:w="3402" w:type="dxa"/>
          </w:tcPr>
          <w:p w14:paraId="04C5CA35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apache-2.0 AND public-domain</w:t>
            </w:r>
          </w:p>
        </w:tc>
        <w:tc>
          <w:tcPr>
            <w:tcW w:w="1389" w:type="dxa"/>
          </w:tcPr>
          <w:p w14:paraId="32EB0502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37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41</w:t>
            </w:r>
          </w:p>
        </w:tc>
        <w:tc>
          <w:tcPr>
            <w:tcW w:w="935" w:type="dxa"/>
          </w:tcPr>
          <w:p w14:paraId="7D2BE894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真阳性</w:t>
            </w:r>
          </w:p>
        </w:tc>
      </w:tr>
      <w:tr w:rsidR="00C0230C" w14:paraId="0A31690A" w14:textId="77777777">
        <w:trPr>
          <w:cantSplit/>
          <w:jc w:val="center"/>
        </w:trPr>
        <w:tc>
          <w:tcPr>
            <w:tcW w:w="2580" w:type="dxa"/>
          </w:tcPr>
          <w:p w14:paraId="764C40BC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lastRenderedPageBreak/>
              <w:t>Sha2Crypt.java</w:t>
            </w:r>
          </w:p>
        </w:tc>
        <w:tc>
          <w:tcPr>
            <w:tcW w:w="3402" w:type="dxa"/>
          </w:tcPr>
          <w:p w14:paraId="665C709E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apache-2.0 AND public-domain</w:t>
            </w:r>
          </w:p>
        </w:tc>
        <w:tc>
          <w:tcPr>
            <w:tcW w:w="1389" w:type="dxa"/>
          </w:tcPr>
          <w:p w14:paraId="03595536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31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35-36</w:t>
            </w:r>
          </w:p>
        </w:tc>
        <w:tc>
          <w:tcPr>
            <w:tcW w:w="935" w:type="dxa"/>
          </w:tcPr>
          <w:p w14:paraId="1526BD1B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真阳性</w:t>
            </w:r>
          </w:p>
        </w:tc>
      </w:tr>
      <w:tr w:rsidR="00C0230C" w14:paraId="544BB9A6" w14:textId="77777777">
        <w:trPr>
          <w:cantSplit/>
          <w:jc w:val="center"/>
        </w:trPr>
        <w:tc>
          <w:tcPr>
            <w:tcW w:w="2580" w:type="dxa"/>
          </w:tcPr>
          <w:p w14:paraId="249748E6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Blake3.java</w:t>
            </w:r>
          </w:p>
        </w:tc>
        <w:tc>
          <w:tcPr>
            <w:tcW w:w="3402" w:type="dxa"/>
          </w:tcPr>
          <w:p w14:paraId="5AD47618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apache-2.0 AND public-domain</w:t>
            </w:r>
          </w:p>
        </w:tc>
        <w:tc>
          <w:tcPr>
            <w:tcW w:w="1389" w:type="dxa"/>
          </w:tcPr>
          <w:p w14:paraId="23C36F0E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69-70</w:t>
            </w:r>
          </w:p>
        </w:tc>
        <w:tc>
          <w:tcPr>
            <w:tcW w:w="935" w:type="dxa"/>
          </w:tcPr>
          <w:p w14:paraId="1B883AFD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真阳性</w:t>
            </w:r>
          </w:p>
        </w:tc>
      </w:tr>
      <w:tr w:rsidR="00C0230C" w14:paraId="6FCAA99E" w14:textId="77777777">
        <w:trPr>
          <w:cantSplit/>
          <w:jc w:val="center"/>
        </w:trPr>
        <w:tc>
          <w:tcPr>
            <w:tcW w:w="2580" w:type="dxa"/>
          </w:tcPr>
          <w:p w14:paraId="781E08EA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PureJavaCrc32C.java</w:t>
            </w:r>
          </w:p>
        </w:tc>
        <w:tc>
          <w:tcPr>
            <w:tcW w:w="3402" w:type="dxa"/>
          </w:tcPr>
          <w:p w14:paraId="334903A0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apache-2.0 AND bsd-new</w:t>
            </w:r>
          </w:p>
        </w:tc>
        <w:tc>
          <w:tcPr>
            <w:tcW w:w="1389" w:type="dxa"/>
          </w:tcPr>
          <w:p w14:paraId="131CEC77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19</w:t>
            </w:r>
            <w:r>
              <w:rPr>
                <w:color w:val="000000"/>
                <w:sz w:val="18"/>
              </w:rPr>
              <w:t>（</w:t>
            </w:r>
            <w:r>
              <w:rPr>
                <w:color w:val="000000"/>
                <w:sz w:val="18"/>
              </w:rPr>
              <w:t xml:space="preserve">99 </w:t>
            </w:r>
            <w:r>
              <w:rPr>
                <w:color w:val="000000"/>
                <w:sz w:val="18"/>
              </w:rPr>
              <w:t>分）</w:t>
            </w:r>
          </w:p>
        </w:tc>
        <w:tc>
          <w:tcPr>
            <w:tcW w:w="935" w:type="dxa"/>
          </w:tcPr>
          <w:p w14:paraId="57A854D1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真阳性</w:t>
            </w:r>
          </w:p>
        </w:tc>
      </w:tr>
      <w:tr w:rsidR="00C0230C" w14:paraId="3F8B2F21" w14:textId="77777777">
        <w:trPr>
          <w:cantSplit/>
          <w:jc w:val="center"/>
        </w:trPr>
        <w:tc>
          <w:tcPr>
            <w:tcW w:w="2580" w:type="dxa"/>
          </w:tcPr>
          <w:p w14:paraId="4CDA0E7B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DoubleMetaphoneTest.java</w:t>
            </w:r>
          </w:p>
        </w:tc>
        <w:tc>
          <w:tcPr>
            <w:tcW w:w="3402" w:type="dxa"/>
          </w:tcPr>
          <w:p w14:paraId="646A56BA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apache-2.0 AND other-permissive</w:t>
            </w:r>
          </w:p>
        </w:tc>
        <w:tc>
          <w:tcPr>
            <w:tcW w:w="1389" w:type="dxa"/>
          </w:tcPr>
          <w:p w14:paraId="5E8E19CD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42-44</w:t>
            </w:r>
          </w:p>
        </w:tc>
        <w:tc>
          <w:tcPr>
            <w:tcW w:w="935" w:type="dxa"/>
          </w:tcPr>
          <w:p w14:paraId="0C80AD76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真阳性</w:t>
            </w:r>
          </w:p>
        </w:tc>
      </w:tr>
      <w:tr w:rsidR="00C0230C" w14:paraId="0589EBBA" w14:textId="77777777">
        <w:trPr>
          <w:cantSplit/>
          <w:jc w:val="center"/>
        </w:trPr>
        <w:tc>
          <w:tcPr>
            <w:tcW w:w="2580" w:type="dxa"/>
          </w:tcPr>
          <w:p w14:paraId="599BE5B8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changes.xml</w:t>
            </w:r>
          </w:p>
        </w:tc>
        <w:tc>
          <w:tcPr>
            <w:tcW w:w="3402" w:type="dxa"/>
          </w:tcPr>
          <w:p w14:paraId="4CC8B0CA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apache-2.0 AND (apache-2.0 AND apache-1.1)</w:t>
            </w:r>
          </w:p>
        </w:tc>
        <w:tc>
          <w:tcPr>
            <w:tcW w:w="1389" w:type="dxa"/>
          </w:tcPr>
          <w:p w14:paraId="4A331345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528-529</w:t>
            </w:r>
          </w:p>
        </w:tc>
        <w:tc>
          <w:tcPr>
            <w:tcW w:w="935" w:type="dxa"/>
          </w:tcPr>
          <w:p w14:paraId="24770866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误报</w:t>
            </w:r>
          </w:p>
        </w:tc>
      </w:tr>
      <w:tr w:rsidR="00C0230C" w14:paraId="44A1896E" w14:textId="77777777">
        <w:trPr>
          <w:cantSplit/>
          <w:jc w:val="center"/>
        </w:trPr>
        <w:tc>
          <w:tcPr>
            <w:tcW w:w="2580" w:type="dxa"/>
          </w:tcPr>
          <w:p w14:paraId="1724FAAA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README.md / CONTRIBUTING.md</w:t>
            </w:r>
          </w:p>
        </w:tc>
        <w:tc>
          <w:tcPr>
            <w:tcW w:w="3402" w:type="dxa"/>
          </w:tcPr>
          <w:p w14:paraId="00B1192A" w14:textId="77777777" w:rsidR="00C0230C" w:rsidRDefault="00000000">
            <w:pPr>
              <w:snapToGrid w:val="0"/>
              <w:spacing w:before="20" w:after="20"/>
              <w:jc w:val="left"/>
            </w:pPr>
            <w:r>
              <w:rPr>
                <w:color w:val="000000"/>
                <w:sz w:val="18"/>
              </w:rPr>
              <w:t>apache-2.0 AND (generic-cla AND apache-2.0)</w:t>
            </w:r>
          </w:p>
        </w:tc>
        <w:tc>
          <w:tcPr>
            <w:tcW w:w="1389" w:type="dxa"/>
          </w:tcPr>
          <w:p w14:paraId="251F05B9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98/103</w:t>
            </w:r>
          </w:p>
        </w:tc>
        <w:tc>
          <w:tcPr>
            <w:tcW w:w="935" w:type="dxa"/>
          </w:tcPr>
          <w:p w14:paraId="322B5D28" w14:textId="77777777" w:rsidR="00C0230C" w:rsidRDefault="00000000">
            <w:pPr>
              <w:snapToGrid w:val="0"/>
              <w:spacing w:before="20" w:after="20"/>
              <w:jc w:val="center"/>
            </w:pPr>
            <w:r>
              <w:rPr>
                <w:color w:val="000000"/>
                <w:sz w:val="18"/>
              </w:rPr>
              <w:t>语义噪声</w:t>
            </w:r>
          </w:p>
        </w:tc>
      </w:tr>
    </w:tbl>
    <w:p w14:paraId="04222482" w14:textId="77777777" w:rsidR="00C0230C" w:rsidRDefault="00000000">
      <w:pPr>
        <w:keepNext/>
        <w:snapToGrid w:val="0"/>
        <w:spacing w:before="160" w:after="80" w:line="300" w:lineRule="auto"/>
        <w:jc w:val="left"/>
      </w:pPr>
      <w:r>
        <w:rPr>
          <w:rFonts w:eastAsia="仿宋_GB2312"/>
          <w:b/>
          <w:color w:val="000000"/>
          <w:sz w:val="24"/>
        </w:rPr>
        <w:t>4</w:t>
      </w:r>
      <w:r>
        <w:rPr>
          <w:rFonts w:eastAsia="仿宋_GB2312"/>
          <w:b/>
          <w:color w:val="000000"/>
          <w:sz w:val="24"/>
        </w:rPr>
        <w:t>、检测结果详细分析</w:t>
      </w:r>
    </w:p>
    <w:p w14:paraId="2CDF3B70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4.1 </w:t>
      </w:r>
      <w:r>
        <w:rPr>
          <w:b/>
          <w:color w:val="000000"/>
        </w:rPr>
        <w:t>主许可证识别准确</w:t>
      </w:r>
    </w:p>
    <w:p w14:paraId="0AF7F19C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 xml:space="preserve">309 </w:t>
      </w:r>
      <w:r>
        <w:rPr>
          <w:color w:val="000000"/>
        </w:rPr>
        <w:t>个文件检出</w:t>
      </w:r>
      <w:r>
        <w:rPr>
          <w:color w:val="000000"/>
        </w:rPr>
        <w:t xml:space="preserve"> apache-2.0</w:t>
      </w:r>
      <w:r>
        <w:rPr>
          <w:color w:val="000000"/>
        </w:rPr>
        <w:t>：其中</w:t>
      </w:r>
      <w:r>
        <w:rPr>
          <w:color w:val="000000"/>
        </w:rPr>
        <w:t xml:space="preserve"> 292 </w:t>
      </w:r>
      <w:r>
        <w:rPr>
          <w:color w:val="000000"/>
        </w:rPr>
        <w:t>个由规则</w:t>
      </w:r>
      <w:r>
        <w:rPr>
          <w:color w:val="000000"/>
        </w:rPr>
        <w:t xml:space="preserve"> apache-2.0_663.RULE </w:t>
      </w:r>
      <w:r>
        <w:rPr>
          <w:color w:val="000000"/>
        </w:rPr>
        <w:t>命中，</w:t>
      </w:r>
      <w:r>
        <w:rPr>
          <w:color w:val="000000"/>
        </w:rPr>
        <w:t xml:space="preserve">15 </w:t>
      </w:r>
      <w:r>
        <w:rPr>
          <w:color w:val="000000"/>
        </w:rPr>
        <w:t>个由</w:t>
      </w:r>
      <w:r>
        <w:rPr>
          <w:color w:val="000000"/>
        </w:rPr>
        <w:t xml:space="preserve"> apache-2.0_2.RULE </w:t>
      </w:r>
      <w:r>
        <w:rPr>
          <w:color w:val="000000"/>
        </w:rPr>
        <w:t>命中（出现在</w:t>
      </w:r>
      <w:r>
        <w:rPr>
          <w:color w:val="000000"/>
        </w:rPr>
        <w:t xml:space="preserve"> XML</w:t>
      </w:r>
      <w:r>
        <w:rPr>
          <w:color w:val="000000"/>
        </w:rPr>
        <w:t>、</w:t>
      </w:r>
      <w:r>
        <w:rPr>
          <w:color w:val="000000"/>
        </w:rPr>
        <w:t xml:space="preserve">Markdown </w:t>
      </w:r>
      <w:r>
        <w:rPr>
          <w:color w:val="000000"/>
        </w:rPr>
        <w:t>注释中的同款许可头），</w:t>
      </w:r>
      <w:r>
        <w:rPr>
          <w:color w:val="000000"/>
        </w:rPr>
        <w:t xml:space="preserve">LICENSE.txt </w:t>
      </w:r>
      <w:r>
        <w:rPr>
          <w:color w:val="000000"/>
        </w:rPr>
        <w:t>由全文规则</w:t>
      </w:r>
      <w:r>
        <w:rPr>
          <w:color w:val="000000"/>
        </w:rPr>
        <w:t xml:space="preserve"> apache-2.0.LICENSE </w:t>
      </w:r>
      <w:r>
        <w:rPr>
          <w:color w:val="000000"/>
        </w:rPr>
        <w:t>以整篇哈希（</w:t>
      </w:r>
      <w:r>
        <w:rPr>
          <w:color w:val="000000"/>
        </w:rPr>
        <w:t xml:space="preserve">1-hash </w:t>
      </w:r>
      <w:r>
        <w:rPr>
          <w:color w:val="000000"/>
        </w:rPr>
        <w:t>匹配器）精确命中，</w:t>
      </w:r>
      <w:r>
        <w:rPr>
          <w:color w:val="000000"/>
        </w:rPr>
        <w:t xml:space="preserve">NOTICE.txt </w:t>
      </w:r>
      <w:r>
        <w:rPr>
          <w:color w:val="000000"/>
        </w:rPr>
        <w:t>则由</w:t>
      </w:r>
      <w:r>
        <w:rPr>
          <w:color w:val="000000"/>
        </w:rPr>
        <w:t xml:space="preserve"> apache-2.0_product_includes_1.RULE </w:t>
      </w:r>
      <w:r>
        <w:rPr>
          <w:color w:val="000000"/>
        </w:rPr>
        <w:t>命中；除</w:t>
      </w:r>
      <w:r>
        <w:rPr>
          <w:color w:val="000000"/>
        </w:rPr>
        <w:t xml:space="preserve"> NOTICE.txt </w:t>
      </w:r>
      <w:r>
        <w:rPr>
          <w:color w:val="000000"/>
        </w:rPr>
        <w:t>为</w:t>
      </w:r>
      <w:r>
        <w:rPr>
          <w:color w:val="000000"/>
        </w:rPr>
        <w:t xml:space="preserve"> 95 </w:t>
      </w:r>
      <w:r>
        <w:rPr>
          <w:color w:val="000000"/>
        </w:rPr>
        <w:t>分外，其余置信分与覆盖率均为</w:t>
      </w:r>
      <w:r>
        <w:rPr>
          <w:color w:val="000000"/>
        </w:rPr>
        <w:t xml:space="preserve"> 100</w:t>
      </w:r>
      <w:r>
        <w:rPr>
          <w:color w:val="000000"/>
        </w:rPr>
        <w:t>。识别结果与</w:t>
      </w:r>
      <w:r>
        <w:rPr>
          <w:color w:val="000000"/>
        </w:rPr>
        <w:t xml:space="preserve"> NOTICE.txt</w:t>
      </w:r>
      <w:r>
        <w:rPr>
          <w:color w:val="000000"/>
        </w:rPr>
        <w:t>、</w:t>
      </w:r>
      <w:r>
        <w:rPr>
          <w:color w:val="000000"/>
        </w:rPr>
        <w:t xml:space="preserve">pom.xml </w:t>
      </w:r>
      <w:r>
        <w:rPr>
          <w:color w:val="000000"/>
        </w:rPr>
        <w:t>的声明完全一致，未出现把</w:t>
      </w:r>
      <w:r>
        <w:rPr>
          <w:color w:val="000000"/>
        </w:rPr>
        <w:t xml:space="preserve"> Apache-2.0 </w:t>
      </w:r>
      <w:r>
        <w:rPr>
          <w:color w:val="000000"/>
        </w:rPr>
        <w:t>判成其他许可证的情况，说明工具对</w:t>
      </w:r>
      <w:r>
        <w:rPr>
          <w:color w:val="000000"/>
        </w:rPr>
        <w:t xml:space="preserve"> ASF </w:t>
      </w:r>
      <w:r>
        <w:rPr>
          <w:color w:val="000000"/>
        </w:rPr>
        <w:t>短头的规则覆盖充分。</w:t>
      </w:r>
    </w:p>
    <w:p w14:paraId="64FCB0CE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4.2 </w:t>
      </w:r>
      <w:r>
        <w:rPr>
          <w:b/>
          <w:color w:val="000000"/>
        </w:rPr>
        <w:t>复合表达式中的第三方条款</w:t>
      </w:r>
    </w:p>
    <w:p w14:paraId="4D17C572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 xml:space="preserve">9 </w:t>
      </w:r>
      <w:r>
        <w:rPr>
          <w:color w:val="000000"/>
        </w:rPr>
        <w:t>个文件的表达式含有</w:t>
      </w:r>
      <w:r>
        <w:rPr>
          <w:color w:val="000000"/>
        </w:rPr>
        <w:t xml:space="preserve"> apache-2.0 </w:t>
      </w:r>
      <w:r>
        <w:rPr>
          <w:color w:val="000000"/>
        </w:rPr>
        <w:t>之外的成分，可归为三类。</w:t>
      </w:r>
    </w:p>
    <w:p w14:paraId="23FE94DC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（</w:t>
      </w:r>
      <w:r>
        <w:rPr>
          <w:color w:val="000000"/>
        </w:rPr>
        <w:t>a</w:t>
      </w:r>
      <w:r>
        <w:rPr>
          <w:color w:val="000000"/>
        </w:rPr>
        <w:t>）公共领域声明：</w:t>
      </w:r>
      <w:r>
        <w:rPr>
          <w:color w:val="000000"/>
        </w:rPr>
        <w:t>MurmurHash2/3</w:t>
      </w:r>
      <w:r>
        <w:rPr>
          <w:color w:val="000000"/>
        </w:rPr>
        <w:t>、</w:t>
      </w:r>
      <w:r>
        <w:rPr>
          <w:color w:val="000000"/>
        </w:rPr>
        <w:t>Sha2Crypt</w:t>
      </w:r>
      <w:r>
        <w:rPr>
          <w:color w:val="000000"/>
        </w:rPr>
        <w:t>、</w:t>
      </w:r>
      <w:r>
        <w:rPr>
          <w:color w:val="000000"/>
        </w:rPr>
        <w:t xml:space="preserve">Blake3 </w:t>
      </w:r>
      <w:r>
        <w:rPr>
          <w:color w:val="000000"/>
        </w:rPr>
        <w:t>的注释中分别出现</w:t>
      </w:r>
      <w:r>
        <w:rPr>
          <w:color w:val="000000"/>
        </w:rPr>
        <w:t>“public domain code with no copyrights”“released into the Public Domain”“reference public domain implementation”</w:t>
      </w:r>
      <w:r>
        <w:rPr>
          <w:color w:val="000000"/>
        </w:rPr>
        <w:t>，工具以</w:t>
      </w:r>
      <w:r>
        <w:rPr>
          <w:color w:val="000000"/>
        </w:rPr>
        <w:t xml:space="preserve"> public-domain </w:t>
      </w:r>
      <w:r>
        <w:rPr>
          <w:color w:val="000000"/>
        </w:rPr>
        <w:t>规则在第</w:t>
      </w:r>
      <w:r>
        <w:rPr>
          <w:color w:val="000000"/>
        </w:rPr>
        <w:t xml:space="preserve"> 31—70 </w:t>
      </w:r>
      <w:r>
        <w:rPr>
          <w:color w:val="000000"/>
        </w:rPr>
        <w:t>行命中。这类声明说明算法源自公有领域实现，不构成额外义务，也不与</w:t>
      </w:r>
      <w:r>
        <w:rPr>
          <w:color w:val="000000"/>
        </w:rPr>
        <w:t xml:space="preserve"> Apache-2.0 </w:t>
      </w:r>
      <w:r>
        <w:rPr>
          <w:color w:val="000000"/>
        </w:rPr>
        <w:t>冲突；但</w:t>
      </w:r>
      <w:r>
        <w:rPr>
          <w:color w:val="000000"/>
        </w:rPr>
        <w:t xml:space="preserve"> public-domain </w:t>
      </w:r>
      <w:r>
        <w:rPr>
          <w:color w:val="000000"/>
        </w:rPr>
        <w:t>不是</w:t>
      </w:r>
      <w:r>
        <w:rPr>
          <w:color w:val="000000"/>
        </w:rPr>
        <w:t xml:space="preserve"> SPDX </w:t>
      </w:r>
      <w:r>
        <w:rPr>
          <w:color w:val="000000"/>
        </w:rPr>
        <w:t>许可证标识，生成</w:t>
      </w:r>
      <w:r>
        <w:rPr>
          <w:color w:val="000000"/>
        </w:rPr>
        <w:t xml:space="preserve"> SPDX </w:t>
      </w:r>
      <w:r>
        <w:rPr>
          <w:color w:val="000000"/>
        </w:rPr>
        <w:t>文档时需人工决定是否以</w:t>
      </w:r>
      <w:r>
        <w:rPr>
          <w:color w:val="000000"/>
        </w:rPr>
        <w:t xml:space="preserve"> Apache-2.0 </w:t>
      </w:r>
      <w:r>
        <w:rPr>
          <w:color w:val="000000"/>
        </w:rPr>
        <w:t>作为文件许可。</w:t>
      </w:r>
    </w:p>
    <w:p w14:paraId="78A18BB8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（</w:t>
      </w:r>
      <w:r>
        <w:rPr>
          <w:color w:val="000000"/>
        </w:rPr>
        <w:t>b</w:t>
      </w:r>
      <w:r>
        <w:rPr>
          <w:color w:val="000000"/>
        </w:rPr>
        <w:t>）宽松型第三方许可：</w:t>
      </w:r>
      <w:r>
        <w:rPr>
          <w:color w:val="000000"/>
        </w:rPr>
        <w:t xml:space="preserve">PureJavaCrc32C.java </w:t>
      </w:r>
      <w:r>
        <w:rPr>
          <w:color w:val="000000"/>
        </w:rPr>
        <w:t>第</w:t>
      </w:r>
      <w:r>
        <w:rPr>
          <w:color w:val="000000"/>
        </w:rPr>
        <w:t xml:space="preserve"> 19 </w:t>
      </w:r>
      <w:r>
        <w:rPr>
          <w:color w:val="000000"/>
        </w:rPr>
        <w:t>行注明</w:t>
      </w:r>
      <w:r>
        <w:rPr>
          <w:color w:val="000000"/>
        </w:rPr>
        <w:t>“Some portions … Copyright (c) 2004-2006 Intel Corporation and licensed under the BSD license”</w:t>
      </w:r>
      <w:r>
        <w:rPr>
          <w:color w:val="000000"/>
        </w:rPr>
        <w:t>，工具以</w:t>
      </w:r>
      <w:r>
        <w:rPr>
          <w:color w:val="000000"/>
        </w:rPr>
        <w:t xml:space="preserve"> 99 </w:t>
      </w:r>
      <w:r>
        <w:rPr>
          <w:color w:val="000000"/>
        </w:rPr>
        <w:t>分命中</w:t>
      </w:r>
      <w:r>
        <w:rPr>
          <w:color w:val="000000"/>
        </w:rPr>
        <w:t xml:space="preserve"> bsd-new </w:t>
      </w:r>
      <w:r>
        <w:rPr>
          <w:color w:val="000000"/>
        </w:rPr>
        <w:t>并抽取版权人</w:t>
      </w:r>
      <w:r>
        <w:rPr>
          <w:color w:val="000000"/>
        </w:rPr>
        <w:t xml:space="preserve"> Intel</w:t>
      </w:r>
      <w:r>
        <w:rPr>
          <w:color w:val="000000"/>
        </w:rPr>
        <w:t>；</w:t>
      </w:r>
      <w:r>
        <w:rPr>
          <w:color w:val="000000"/>
        </w:rPr>
        <w:t xml:space="preserve">DoubleMetaphoneTest.java </w:t>
      </w:r>
      <w:r>
        <w:rPr>
          <w:color w:val="000000"/>
        </w:rPr>
        <w:t>第</w:t>
      </w:r>
      <w:r>
        <w:rPr>
          <w:color w:val="000000"/>
        </w:rPr>
        <w:t xml:space="preserve"> 42—44 </w:t>
      </w:r>
      <w:r>
        <w:rPr>
          <w:color w:val="000000"/>
        </w:rPr>
        <w:t>行是</w:t>
      </w:r>
      <w:r>
        <w:rPr>
          <w:color w:val="000000"/>
        </w:rPr>
        <w:t xml:space="preserve"> Kevin Atkinson </w:t>
      </w:r>
      <w:r>
        <w:rPr>
          <w:color w:val="000000"/>
        </w:rPr>
        <w:t>的</w:t>
      </w:r>
      <w:r>
        <w:rPr>
          <w:color w:val="000000"/>
        </w:rPr>
        <w:t>“</w:t>
      </w:r>
      <w:r>
        <w:rPr>
          <w:color w:val="000000"/>
        </w:rPr>
        <w:t>允许复制但须保留声明</w:t>
      </w:r>
      <w:r>
        <w:rPr>
          <w:color w:val="000000"/>
        </w:rPr>
        <w:t>”</w:t>
      </w:r>
      <w:r>
        <w:rPr>
          <w:color w:val="000000"/>
        </w:rPr>
        <w:t>条款，被归入</w:t>
      </w:r>
      <w:r>
        <w:rPr>
          <w:color w:val="000000"/>
        </w:rPr>
        <w:t xml:space="preserve"> other-permissive</w:t>
      </w:r>
      <w:r>
        <w:rPr>
          <w:color w:val="000000"/>
        </w:rPr>
        <w:t>。二者的共同义务是保留版权与许可声明，</w:t>
      </w:r>
      <w:r>
        <w:rPr>
          <w:color w:val="000000"/>
        </w:rPr>
        <w:t xml:space="preserve">BSD-3-Clause </w:t>
      </w:r>
      <w:r>
        <w:rPr>
          <w:color w:val="000000"/>
        </w:rPr>
        <w:t>与</w:t>
      </w:r>
      <w:r>
        <w:rPr>
          <w:color w:val="000000"/>
        </w:rPr>
        <w:t xml:space="preserve"> Apache-2.0 </w:t>
      </w:r>
      <w:r>
        <w:rPr>
          <w:color w:val="000000"/>
        </w:rPr>
        <w:t>兼容，不构成冲突。</w:t>
      </w:r>
    </w:p>
    <w:p w14:paraId="6879FCD7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（</w:t>
      </w:r>
      <w:r>
        <w:rPr>
          <w:color w:val="000000"/>
        </w:rPr>
        <w:t>c</w:t>
      </w:r>
      <w:r>
        <w:rPr>
          <w:color w:val="000000"/>
        </w:rPr>
        <w:t>）非许可语义：</w:t>
      </w:r>
      <w:r>
        <w:rPr>
          <w:color w:val="000000"/>
        </w:rPr>
        <w:t xml:space="preserve">README.md </w:t>
      </w:r>
      <w:r>
        <w:rPr>
          <w:color w:val="000000"/>
        </w:rPr>
        <w:t>与</w:t>
      </w:r>
      <w:r>
        <w:rPr>
          <w:color w:val="000000"/>
        </w:rPr>
        <w:t xml:space="preserve"> CONTRIBUTING.md </w:t>
      </w:r>
      <w:r>
        <w:rPr>
          <w:color w:val="000000"/>
        </w:rPr>
        <w:t>中的</w:t>
      </w:r>
      <w:r>
        <w:rPr>
          <w:color w:val="000000"/>
        </w:rPr>
        <w:t>“contributor license agreement”</w:t>
      </w:r>
      <w:r>
        <w:rPr>
          <w:color w:val="000000"/>
        </w:rPr>
        <w:t>被记为</w:t>
      </w:r>
      <w:r>
        <w:rPr>
          <w:color w:val="000000"/>
        </w:rPr>
        <w:t xml:space="preserve"> generic-cla</w:t>
      </w:r>
      <w:r>
        <w:rPr>
          <w:color w:val="000000"/>
        </w:rPr>
        <w:t>，</w:t>
      </w:r>
      <w:r>
        <w:rPr>
          <w:color w:val="000000"/>
        </w:rPr>
        <w:t xml:space="preserve">changes.xml </w:t>
      </w:r>
      <w:r>
        <w:rPr>
          <w:color w:val="000000"/>
        </w:rPr>
        <w:t>中</w:t>
      </w:r>
      <w:r>
        <w:rPr>
          <w:color w:val="000000"/>
        </w:rPr>
        <w:t>“Previous versions were released under the Apache License 1.1”</w:t>
      </w:r>
      <w:r>
        <w:rPr>
          <w:color w:val="000000"/>
        </w:rPr>
        <w:t>被记为</w:t>
      </w:r>
      <w:r>
        <w:rPr>
          <w:color w:val="000000"/>
        </w:rPr>
        <w:t xml:space="preserve"> apache-1.1</w:t>
      </w:r>
      <w:r>
        <w:rPr>
          <w:color w:val="000000"/>
        </w:rPr>
        <w:t>。前者是贡献者协议流程，后者是历史版本说明，都不是当前文件的实际许可，属表达式噪声。</w:t>
      </w:r>
    </w:p>
    <w:p w14:paraId="2AE5ACA2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4.3 </w:t>
      </w:r>
      <w:r>
        <w:rPr>
          <w:b/>
          <w:color w:val="000000"/>
        </w:rPr>
        <w:t>误报与漏报</w:t>
      </w:r>
    </w:p>
    <w:p w14:paraId="481C853D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误报方面：</w:t>
      </w:r>
      <w:r>
        <w:rPr>
          <w:color w:val="000000"/>
        </w:rPr>
        <w:t xml:space="preserve">changes.xml </w:t>
      </w:r>
      <w:r>
        <w:rPr>
          <w:color w:val="000000"/>
        </w:rPr>
        <w:t>第</w:t>
      </w:r>
      <w:r>
        <w:rPr>
          <w:color w:val="000000"/>
        </w:rPr>
        <w:t xml:space="preserve"> 528—529 </w:t>
      </w:r>
      <w:r>
        <w:rPr>
          <w:color w:val="000000"/>
        </w:rPr>
        <w:t>行只是发布说明里的历史表述，工具却据此把整份文件判为</w:t>
      </w:r>
      <w:r>
        <w:rPr>
          <w:color w:val="000000"/>
        </w:rPr>
        <w:t xml:space="preserve"> apache-2.0 AND apache-1.1</w:t>
      </w:r>
      <w:r>
        <w:rPr>
          <w:color w:val="000000"/>
        </w:rPr>
        <w:t>；</w:t>
      </w:r>
      <w:r>
        <w:rPr>
          <w:color w:val="000000"/>
        </w:rPr>
        <w:t xml:space="preserve">README.md </w:t>
      </w:r>
      <w:r>
        <w:rPr>
          <w:color w:val="000000"/>
        </w:rPr>
        <w:t>第</w:t>
      </w:r>
      <w:r>
        <w:rPr>
          <w:color w:val="000000"/>
        </w:rPr>
        <w:t xml:space="preserve"> 103 </w:t>
      </w:r>
      <w:r>
        <w:rPr>
          <w:color w:val="000000"/>
        </w:rPr>
        <w:t>行的</w:t>
      </w:r>
      <w:r>
        <w:rPr>
          <w:color w:val="000000"/>
        </w:rPr>
        <w:t>“This code is licensed under…”</w:t>
      </w:r>
      <w:r>
        <w:rPr>
          <w:color w:val="000000"/>
        </w:rPr>
        <w:t>被</w:t>
      </w:r>
      <w:r>
        <w:rPr>
          <w:color w:val="000000"/>
        </w:rPr>
        <w:t xml:space="preserve"> license-intro </w:t>
      </w:r>
      <w:r>
        <w:rPr>
          <w:color w:val="000000"/>
        </w:rPr>
        <w:t>规则记为</w:t>
      </w:r>
      <w:r>
        <w:rPr>
          <w:color w:val="000000"/>
        </w:rPr>
        <w:t xml:space="preserve"> unknown-license-reference</w:t>
      </w:r>
      <w:r>
        <w:rPr>
          <w:color w:val="000000"/>
        </w:rPr>
        <w:t>，未与已有的</w:t>
      </w:r>
      <w:r>
        <w:rPr>
          <w:color w:val="000000"/>
        </w:rPr>
        <w:t xml:space="preserve"> apache-2.0 </w:t>
      </w:r>
      <w:r>
        <w:rPr>
          <w:color w:val="000000"/>
        </w:rPr>
        <w:t>合并。漏报方面：</w:t>
      </w:r>
      <w:r>
        <w:rPr>
          <w:color w:val="000000"/>
        </w:rPr>
        <w:t xml:space="preserve">Md5Crypt.java </w:t>
      </w:r>
      <w:r>
        <w:rPr>
          <w:color w:val="000000"/>
        </w:rPr>
        <w:t>注释写明</w:t>
      </w:r>
      <w:r>
        <w:rPr>
          <w:color w:val="000000"/>
        </w:rPr>
        <w:t>“Based on the public domain (”beer-ware“) C implementation from Poul-Henning Kamp”</w:t>
      </w:r>
      <w:r>
        <w:rPr>
          <w:color w:val="000000"/>
        </w:rPr>
        <w:t>，工具只给出</w:t>
      </w:r>
      <w:r>
        <w:rPr>
          <w:color w:val="000000"/>
        </w:rPr>
        <w:t xml:space="preserve"> apache-2.0</w:t>
      </w:r>
      <w:r>
        <w:rPr>
          <w:color w:val="000000"/>
        </w:rPr>
        <w:t>，未命中</w:t>
      </w:r>
      <w:r>
        <w:rPr>
          <w:color w:val="000000"/>
        </w:rPr>
        <w:t xml:space="preserve"> public-domain </w:t>
      </w:r>
      <w:r>
        <w:rPr>
          <w:color w:val="000000"/>
        </w:rPr>
        <w:t>规则，也未抽取</w:t>
      </w:r>
      <w:r>
        <w:rPr>
          <w:color w:val="000000"/>
        </w:rPr>
        <w:t xml:space="preserve"> Poul-Henning Kamp </w:t>
      </w:r>
      <w:r>
        <w:rPr>
          <w:color w:val="000000"/>
        </w:rPr>
        <w:t>的署名；</w:t>
      </w:r>
      <w:r>
        <w:rPr>
          <w:color w:val="000000"/>
        </w:rPr>
        <w:t xml:space="preserve">Blake3.java </w:t>
      </w:r>
      <w:r>
        <w:rPr>
          <w:color w:val="000000"/>
        </w:rPr>
        <w:t>第</w:t>
      </w:r>
      <w:r>
        <w:rPr>
          <w:color w:val="000000"/>
        </w:rPr>
        <w:t xml:space="preserve"> 69 </w:t>
      </w:r>
      <w:r>
        <w:rPr>
          <w:color w:val="000000"/>
        </w:rPr>
        <w:t>行提到</w:t>
      </w:r>
      <w:r>
        <w:rPr>
          <w:color w:val="000000"/>
        </w:rPr>
        <w:t xml:space="preserve">“ISC-licensed O(1) </w:t>
      </w:r>
      <w:r>
        <w:rPr>
          <w:color w:val="000000"/>
        </w:rPr>
        <w:lastRenderedPageBreak/>
        <w:t>Cryptography library”</w:t>
      </w:r>
      <w:r>
        <w:rPr>
          <w:color w:val="000000"/>
        </w:rPr>
        <w:t>，同样只检出</w:t>
      </w:r>
      <w:r>
        <w:rPr>
          <w:color w:val="000000"/>
        </w:rPr>
        <w:t xml:space="preserve"> public-domain </w:t>
      </w:r>
      <w:r>
        <w:rPr>
          <w:color w:val="000000"/>
        </w:rPr>
        <w:t>而漏掉</w:t>
      </w:r>
      <w:r>
        <w:rPr>
          <w:color w:val="000000"/>
        </w:rPr>
        <w:t xml:space="preserve"> isc</w:t>
      </w:r>
      <w:r>
        <w:rPr>
          <w:color w:val="000000"/>
        </w:rPr>
        <w:t>。可见规则库对</w:t>
      </w:r>
      <w:r>
        <w:rPr>
          <w:color w:val="000000"/>
        </w:rPr>
        <w:t>“</w:t>
      </w:r>
      <w:r>
        <w:rPr>
          <w:color w:val="000000"/>
        </w:rPr>
        <w:t>基于</w:t>
      </w:r>
      <w:r>
        <w:rPr>
          <w:color w:val="000000"/>
        </w:rPr>
        <w:t>/</w:t>
      </w:r>
      <w:r>
        <w:rPr>
          <w:color w:val="000000"/>
        </w:rPr>
        <w:t>改编自某许可实现</w:t>
      </w:r>
      <w:r>
        <w:rPr>
          <w:color w:val="000000"/>
        </w:rPr>
        <w:t>”</w:t>
      </w:r>
      <w:r>
        <w:rPr>
          <w:color w:val="000000"/>
        </w:rPr>
        <w:t>这类叙述覆盖不全。</w:t>
      </w:r>
    </w:p>
    <w:p w14:paraId="09304C75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4.4 </w:t>
      </w:r>
      <w:r>
        <w:rPr>
          <w:b/>
          <w:color w:val="000000"/>
        </w:rPr>
        <w:t>覆盖盲区</w:t>
      </w:r>
    </w:p>
    <w:p w14:paraId="1CF1C912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 xml:space="preserve">8 </w:t>
      </w:r>
      <w:r>
        <w:rPr>
          <w:color w:val="000000"/>
        </w:rPr>
        <w:t>个文件未检出许可证：</w:t>
      </w:r>
      <w:r>
        <w:rPr>
          <w:color w:val="000000"/>
        </w:rPr>
        <w:t>logo.png</w:t>
      </w:r>
      <w:r>
        <w:rPr>
          <w:color w:val="000000"/>
        </w:rPr>
        <w:t>、</w:t>
      </w:r>
      <w:r>
        <w:rPr>
          <w:color w:val="000000"/>
        </w:rPr>
        <w:t>logo.xcf</w:t>
      </w:r>
      <w:r>
        <w:rPr>
          <w:color w:val="000000"/>
        </w:rPr>
        <w:t>、</w:t>
      </w:r>
      <w:r>
        <w:rPr>
          <w:color w:val="000000"/>
        </w:rPr>
        <w:t>bla.tar</w:t>
      </w:r>
      <w:r>
        <w:rPr>
          <w:color w:val="000000"/>
        </w:rPr>
        <w:t>、</w:t>
      </w:r>
      <w:r>
        <w:rPr>
          <w:color w:val="000000"/>
        </w:rPr>
        <w:t>bla.tar.xz</w:t>
      </w:r>
      <w:r>
        <w:rPr>
          <w:color w:val="000000"/>
        </w:rPr>
        <w:t>、</w:t>
      </w:r>
      <w:r>
        <w:rPr>
          <w:color w:val="000000"/>
        </w:rPr>
        <w:t xml:space="preserve">small.bin </w:t>
      </w:r>
      <w:r>
        <w:rPr>
          <w:color w:val="000000"/>
        </w:rPr>
        <w:t>为二进制文件，</w:t>
      </w:r>
      <w:r>
        <w:rPr>
          <w:color w:val="000000"/>
        </w:rPr>
        <w:t xml:space="preserve">empty.bin </w:t>
      </w:r>
      <w:r>
        <w:rPr>
          <w:color w:val="000000"/>
        </w:rPr>
        <w:t>为空文件，工具按设计只做文本匹配；</w:t>
      </w:r>
      <w:r>
        <w:rPr>
          <w:color w:val="000000"/>
        </w:rPr>
        <w:t xml:space="preserve">download_codec.cgi </w:t>
      </w:r>
      <w:r>
        <w:rPr>
          <w:color w:val="000000"/>
        </w:rPr>
        <w:t>与</w:t>
      </w:r>
      <w:r>
        <w:rPr>
          <w:color w:val="000000"/>
        </w:rPr>
        <w:t xml:space="preserve"> RELEASE-NOTES.txt </w:t>
      </w:r>
      <w:r>
        <w:rPr>
          <w:color w:val="000000"/>
        </w:rPr>
        <w:t>是纯文本但不含许可声明。此外</w:t>
      </w:r>
      <w:r>
        <w:rPr>
          <w:color w:val="000000"/>
        </w:rPr>
        <w:t xml:space="preserve"> bla.tar </w:t>
      </w:r>
      <w:r>
        <w:rPr>
          <w:color w:val="000000"/>
        </w:rPr>
        <w:t>与</w:t>
      </w:r>
      <w:r>
        <w:rPr>
          <w:color w:val="000000"/>
        </w:rPr>
        <w:t xml:space="preserve"> bla.tar.xz </w:t>
      </w:r>
      <w:r>
        <w:rPr>
          <w:color w:val="000000"/>
        </w:rPr>
        <w:t>未被展开，若归档内含第三方许可文件则不会被发现，需追加</w:t>
      </w:r>
      <w:r>
        <w:rPr>
          <w:color w:val="000000"/>
        </w:rPr>
        <w:t xml:space="preserve"> --extractcode </w:t>
      </w:r>
      <w:r>
        <w:rPr>
          <w:color w:val="000000"/>
        </w:rPr>
        <w:t>才能覆盖。可见</w:t>
      </w:r>
      <w:r>
        <w:rPr>
          <w:color w:val="000000"/>
        </w:rPr>
        <w:t>“</w:t>
      </w:r>
      <w:r>
        <w:rPr>
          <w:color w:val="000000"/>
        </w:rPr>
        <w:t>检出率</w:t>
      </w:r>
      <w:r>
        <w:rPr>
          <w:color w:val="000000"/>
        </w:rPr>
        <w:t xml:space="preserve"> 97.5%”</w:t>
      </w:r>
      <w:r>
        <w:rPr>
          <w:color w:val="000000"/>
        </w:rPr>
        <w:t>只是文本文件的识别覆盖率，不等于发行物的合规覆盖率。</w:t>
      </w:r>
    </w:p>
    <w:p w14:paraId="02BB8398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4.5 </w:t>
      </w:r>
      <w:r>
        <w:rPr>
          <w:b/>
          <w:color w:val="000000"/>
        </w:rPr>
        <w:t>依赖与传递依赖</w:t>
      </w:r>
    </w:p>
    <w:p w14:paraId="6EB41FB4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工具从</w:t>
      </w:r>
      <w:r>
        <w:rPr>
          <w:color w:val="000000"/>
        </w:rPr>
        <w:t xml:space="preserve"> pom.xml </w:t>
      </w:r>
      <w:r>
        <w:rPr>
          <w:color w:val="000000"/>
        </w:rPr>
        <w:t>解析出</w:t>
      </w:r>
      <w:r>
        <w:rPr>
          <w:color w:val="000000"/>
        </w:rPr>
        <w:t xml:space="preserve"> Maven </w:t>
      </w:r>
      <w:r>
        <w:rPr>
          <w:color w:val="000000"/>
        </w:rPr>
        <w:t>包</w:t>
      </w:r>
      <w:r>
        <w:rPr>
          <w:color w:val="000000"/>
        </w:rPr>
        <w:t xml:space="preserve"> commons-codec 1.18.0 </w:t>
      </w:r>
      <w:r>
        <w:rPr>
          <w:color w:val="000000"/>
        </w:rPr>
        <w:t>与</w:t>
      </w:r>
      <w:r>
        <w:rPr>
          <w:color w:val="000000"/>
        </w:rPr>
        <w:t xml:space="preserve"> 4 </w:t>
      </w:r>
      <w:r>
        <w:rPr>
          <w:color w:val="000000"/>
        </w:rPr>
        <w:t>条直接依赖：</w:t>
      </w:r>
      <w:r>
        <w:rPr>
          <w:color w:val="000000"/>
        </w:rPr>
        <w:t>commons-lang3 3.17.0</w:t>
      </w:r>
      <w:r>
        <w:rPr>
          <w:color w:val="000000"/>
        </w:rPr>
        <w:t>、</w:t>
      </w:r>
      <w:r>
        <w:rPr>
          <w:color w:val="000000"/>
        </w:rPr>
        <w:t>commons-io 2.18.0</w:t>
      </w:r>
      <w:r>
        <w:rPr>
          <w:color w:val="000000"/>
        </w:rPr>
        <w:t>（均为</w:t>
      </w:r>
      <w:r>
        <w:rPr>
          <w:color w:val="000000"/>
        </w:rPr>
        <w:t xml:space="preserve"> Apache-2.0</w:t>
      </w:r>
      <w:r>
        <w:rPr>
          <w:color w:val="000000"/>
        </w:rPr>
        <w:t>）以及</w:t>
      </w:r>
      <w:r>
        <w:rPr>
          <w:color w:val="000000"/>
        </w:rPr>
        <w:t xml:space="preserve"> junit-jupiter-engine</w:t>
      </w:r>
      <w:r>
        <w:rPr>
          <w:color w:val="000000"/>
        </w:rPr>
        <w:t>、</w:t>
      </w:r>
      <w:r>
        <w:rPr>
          <w:color w:val="000000"/>
        </w:rPr>
        <w:t>junit-jupiter-params</w:t>
      </w:r>
      <w:r>
        <w:rPr>
          <w:color w:val="000000"/>
        </w:rPr>
        <w:t>（</w:t>
      </w:r>
      <w:r>
        <w:rPr>
          <w:color w:val="000000"/>
        </w:rPr>
        <w:t>EPL-2.0</w:t>
      </w:r>
      <w:r>
        <w:rPr>
          <w:color w:val="000000"/>
        </w:rPr>
        <w:t>），全部为</w:t>
      </w:r>
      <w:r>
        <w:rPr>
          <w:color w:val="000000"/>
        </w:rPr>
        <w:t xml:space="preserve"> test </w:t>
      </w:r>
      <w:r>
        <w:rPr>
          <w:color w:val="000000"/>
        </w:rPr>
        <w:t>作用域。测试依赖不进入发布构件，</w:t>
      </w:r>
      <w:r>
        <w:rPr>
          <w:color w:val="000000"/>
        </w:rPr>
        <w:t xml:space="preserve">EPL-2.0 </w:t>
      </w:r>
      <w:r>
        <w:rPr>
          <w:color w:val="000000"/>
        </w:rPr>
        <w:t>不产生分发义务，因此无需在发行物中处理其与</w:t>
      </w:r>
      <w:r>
        <w:rPr>
          <w:color w:val="000000"/>
        </w:rPr>
        <w:t xml:space="preserve"> Apache-2.0 </w:t>
      </w:r>
      <w:r>
        <w:rPr>
          <w:color w:val="000000"/>
        </w:rPr>
        <w:t>的兼容性问题。</w:t>
      </w:r>
      <w:r>
        <w:rPr>
          <w:color w:val="000000"/>
        </w:rPr>
        <w:t xml:space="preserve">JSON </w:t>
      </w:r>
      <w:r>
        <w:rPr>
          <w:color w:val="000000"/>
        </w:rPr>
        <w:t>中</w:t>
      </w:r>
      <w:r>
        <w:rPr>
          <w:color w:val="000000"/>
        </w:rPr>
        <w:t xml:space="preserve"> resolved_package </w:t>
      </w:r>
      <w:r>
        <w:rPr>
          <w:color w:val="000000"/>
        </w:rPr>
        <w:t>为空、未展开传递依赖，说明</w:t>
      </w:r>
      <w:r>
        <w:rPr>
          <w:color w:val="000000"/>
        </w:rPr>
        <w:t xml:space="preserve"> ScanCode </w:t>
      </w:r>
      <w:r>
        <w:rPr>
          <w:color w:val="000000"/>
        </w:rPr>
        <w:t>的依赖分析止于清单解析，依赖树许可证求解仍需</w:t>
      </w:r>
      <w:r>
        <w:rPr>
          <w:color w:val="000000"/>
        </w:rPr>
        <w:t xml:space="preserve"> ORT</w:t>
      </w:r>
      <w:r>
        <w:rPr>
          <w:color w:val="000000"/>
        </w:rPr>
        <w:t>、</w:t>
      </w:r>
      <w:r>
        <w:rPr>
          <w:color w:val="000000"/>
        </w:rPr>
        <w:t xml:space="preserve">Dependency-Track </w:t>
      </w:r>
      <w:r>
        <w:rPr>
          <w:color w:val="000000"/>
        </w:rPr>
        <w:t>配合。</w:t>
      </w:r>
    </w:p>
    <w:p w14:paraId="0F313328" w14:textId="77777777" w:rsidR="00C0230C" w:rsidRDefault="00000000">
      <w:pPr>
        <w:keepNext/>
        <w:snapToGrid w:val="0"/>
        <w:spacing w:before="100" w:after="40" w:line="300" w:lineRule="auto"/>
        <w:jc w:val="left"/>
      </w:pPr>
      <w:r>
        <w:rPr>
          <w:b/>
          <w:color w:val="000000"/>
        </w:rPr>
        <w:t xml:space="preserve">4.6 </w:t>
      </w:r>
      <w:r>
        <w:rPr>
          <w:b/>
          <w:color w:val="000000"/>
        </w:rPr>
        <w:t>合规结论与建议</w:t>
      </w:r>
    </w:p>
    <w:p w14:paraId="6D844C30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合规结论：</w:t>
      </w:r>
      <w:r>
        <w:rPr>
          <w:color w:val="000000"/>
        </w:rPr>
        <w:t xml:space="preserve">317 </w:t>
      </w:r>
      <w:r>
        <w:rPr>
          <w:color w:val="000000"/>
        </w:rPr>
        <w:t>个文件中</w:t>
      </w:r>
      <w:r>
        <w:rPr>
          <w:color w:val="000000"/>
        </w:rPr>
        <w:t xml:space="preserve"> 309 </w:t>
      </w:r>
      <w:r>
        <w:rPr>
          <w:color w:val="000000"/>
        </w:rPr>
        <w:t>个明确为</w:t>
      </w:r>
      <w:r>
        <w:rPr>
          <w:color w:val="000000"/>
        </w:rPr>
        <w:t xml:space="preserve"> Apache-2.0</w:t>
      </w:r>
      <w:r>
        <w:rPr>
          <w:color w:val="000000"/>
        </w:rPr>
        <w:t>，</w:t>
      </w:r>
      <w:r>
        <w:rPr>
          <w:color w:val="000000"/>
        </w:rPr>
        <w:t xml:space="preserve">9 </w:t>
      </w:r>
      <w:r>
        <w:rPr>
          <w:color w:val="000000"/>
        </w:rPr>
        <w:t>个含第三方条款的文件均属宽松型或公共领域声明，无</w:t>
      </w:r>
      <w:r>
        <w:rPr>
          <w:color w:val="000000"/>
        </w:rPr>
        <w:t xml:space="preserve"> copyleft </w:t>
      </w:r>
      <w:r>
        <w:rPr>
          <w:color w:val="000000"/>
        </w:rPr>
        <w:t>传染，无许可证冲突，可安全地以</w:t>
      </w:r>
      <w:r>
        <w:rPr>
          <w:color w:val="000000"/>
        </w:rPr>
        <w:t xml:space="preserve"> Apache-2.0 </w:t>
      </w:r>
      <w:r>
        <w:rPr>
          <w:color w:val="000000"/>
        </w:rPr>
        <w:t>组件再分发。</w:t>
      </w:r>
    </w:p>
    <w:p w14:paraId="076BB24B" w14:textId="77777777" w:rsidR="00C0230C" w:rsidRDefault="00000000">
      <w:pPr>
        <w:snapToGrid w:val="0"/>
        <w:spacing w:line="300" w:lineRule="auto"/>
        <w:ind w:firstLine="420"/>
        <w:jc w:val="left"/>
      </w:pPr>
      <w:r>
        <w:rPr>
          <w:color w:val="000000"/>
        </w:rPr>
        <w:t>改进建议：（</w:t>
      </w:r>
      <w:r>
        <w:rPr>
          <w:color w:val="000000"/>
        </w:rPr>
        <w:t>1</w:t>
      </w:r>
      <w:r>
        <w:rPr>
          <w:color w:val="000000"/>
        </w:rPr>
        <w:t>）二进制分发时除</w:t>
      </w:r>
      <w:r>
        <w:rPr>
          <w:color w:val="000000"/>
        </w:rPr>
        <w:t xml:space="preserve"> LICENSE.txt</w:t>
      </w:r>
      <w:r>
        <w:rPr>
          <w:color w:val="000000"/>
        </w:rPr>
        <w:t>、</w:t>
      </w:r>
      <w:r>
        <w:rPr>
          <w:color w:val="000000"/>
        </w:rPr>
        <w:t xml:space="preserve">NOTICE.txt </w:t>
      </w:r>
      <w:r>
        <w:rPr>
          <w:color w:val="000000"/>
        </w:rPr>
        <w:t>外，还应附上</w:t>
      </w:r>
      <w:r>
        <w:rPr>
          <w:color w:val="000000"/>
        </w:rPr>
        <w:t xml:space="preserve"> Intel </w:t>
      </w:r>
      <w:r>
        <w:rPr>
          <w:color w:val="000000"/>
        </w:rPr>
        <w:t>与</w:t>
      </w:r>
      <w:r>
        <w:rPr>
          <w:color w:val="000000"/>
        </w:rPr>
        <w:t xml:space="preserve"> Kevin Atkinson </w:t>
      </w:r>
      <w:r>
        <w:rPr>
          <w:color w:val="000000"/>
        </w:rPr>
        <w:t>的版权声明；（</w:t>
      </w:r>
      <w:r>
        <w:rPr>
          <w:color w:val="000000"/>
        </w:rPr>
        <w:t>2</w:t>
      </w:r>
      <w:r>
        <w:rPr>
          <w:color w:val="000000"/>
        </w:rPr>
        <w:t>）在</w:t>
      </w:r>
      <w:r>
        <w:rPr>
          <w:color w:val="000000"/>
        </w:rPr>
        <w:t xml:space="preserve"> CI </w:t>
      </w:r>
      <w:r>
        <w:rPr>
          <w:color w:val="000000"/>
        </w:rPr>
        <w:t>中以</w:t>
      </w:r>
      <w:r>
        <w:rPr>
          <w:color w:val="000000"/>
        </w:rPr>
        <w:t xml:space="preserve"> scancode --json </w:t>
      </w:r>
      <w:r>
        <w:rPr>
          <w:color w:val="000000"/>
        </w:rPr>
        <w:t>输出做门禁，对</w:t>
      </w:r>
      <w:r>
        <w:rPr>
          <w:color w:val="000000"/>
        </w:rPr>
        <w:t xml:space="preserve"> gpl</w:t>
      </w:r>
      <w:r>
        <w:rPr>
          <w:color w:val="000000"/>
        </w:rPr>
        <w:t>、</w:t>
      </w:r>
      <w:r>
        <w:rPr>
          <w:color w:val="000000"/>
        </w:rPr>
        <w:t>agpl</w:t>
      </w:r>
      <w:r>
        <w:rPr>
          <w:color w:val="000000"/>
        </w:rPr>
        <w:t>、</w:t>
      </w:r>
      <w:r>
        <w:rPr>
          <w:color w:val="000000"/>
        </w:rPr>
        <w:t xml:space="preserve">unknown </w:t>
      </w:r>
      <w:r>
        <w:rPr>
          <w:color w:val="000000"/>
        </w:rPr>
        <w:t>表达式告警；（</w:t>
      </w:r>
      <w:r>
        <w:rPr>
          <w:color w:val="000000"/>
        </w:rPr>
        <w:t>3</w:t>
      </w:r>
      <w:r>
        <w:rPr>
          <w:color w:val="000000"/>
        </w:rPr>
        <w:t>）扫描时追加</w:t>
      </w:r>
      <w:r>
        <w:rPr>
          <w:color w:val="000000"/>
        </w:rPr>
        <w:t xml:space="preserve"> --extractcode </w:t>
      </w:r>
      <w:r>
        <w:rPr>
          <w:color w:val="000000"/>
        </w:rPr>
        <w:t>并用</w:t>
      </w:r>
      <w:r>
        <w:rPr>
          <w:color w:val="000000"/>
        </w:rPr>
        <w:t xml:space="preserve"> ORT </w:t>
      </w:r>
      <w:r>
        <w:rPr>
          <w:color w:val="000000"/>
        </w:rPr>
        <w:t>补齐传递依赖；（</w:t>
      </w:r>
      <w:r>
        <w:rPr>
          <w:color w:val="000000"/>
        </w:rPr>
        <w:t>4</w:t>
      </w:r>
      <w:r>
        <w:rPr>
          <w:color w:val="000000"/>
        </w:rPr>
        <w:t>）对</w:t>
      </w:r>
      <w:r>
        <w:rPr>
          <w:color w:val="000000"/>
        </w:rPr>
        <w:t xml:space="preserve"> score </w:t>
      </w:r>
      <w:r>
        <w:rPr>
          <w:color w:val="000000"/>
        </w:rPr>
        <w:t>低于</w:t>
      </w:r>
      <w:r>
        <w:rPr>
          <w:color w:val="000000"/>
        </w:rPr>
        <w:t xml:space="preserve"> 100 </w:t>
      </w:r>
      <w:r>
        <w:rPr>
          <w:color w:val="000000"/>
        </w:rPr>
        <w:t>或含</w:t>
      </w:r>
      <w:r>
        <w:rPr>
          <w:color w:val="000000"/>
        </w:rPr>
        <w:t xml:space="preserve"> public-domain</w:t>
      </w:r>
      <w:r>
        <w:rPr>
          <w:color w:val="000000"/>
        </w:rPr>
        <w:t>、</w:t>
      </w:r>
      <w:r>
        <w:rPr>
          <w:color w:val="000000"/>
        </w:rPr>
        <w:t xml:space="preserve">other-permissive </w:t>
      </w:r>
      <w:r>
        <w:rPr>
          <w:color w:val="000000"/>
        </w:rPr>
        <w:t>的匹配建立人工复核清单，这正是</w:t>
      </w:r>
      <w:r>
        <w:rPr>
          <w:color w:val="000000"/>
        </w:rPr>
        <w:t xml:space="preserve"> ScanCode </w:t>
      </w:r>
      <w:r>
        <w:rPr>
          <w:color w:val="000000"/>
        </w:rPr>
        <w:t>与</w:t>
      </w:r>
      <w:r>
        <w:rPr>
          <w:color w:val="000000"/>
        </w:rPr>
        <w:t xml:space="preserve"> OpossumUI“</w:t>
      </w:r>
      <w:r>
        <w:rPr>
          <w:color w:val="000000"/>
        </w:rPr>
        <w:t>人机结合</w:t>
      </w:r>
      <w:r>
        <w:rPr>
          <w:color w:val="000000"/>
        </w:rPr>
        <w:t>”</w:t>
      </w:r>
      <w:r>
        <w:rPr>
          <w:color w:val="000000"/>
        </w:rPr>
        <w:t>的典型分工。</w:t>
      </w:r>
    </w:p>
    <w:p w14:paraId="49A3AD9A" w14:textId="77777777" w:rsidR="00C0230C" w:rsidRDefault="00000000">
      <w:pPr>
        <w:snapToGrid w:val="0"/>
        <w:spacing w:before="120"/>
        <w:jc w:val="left"/>
      </w:pPr>
      <w:r>
        <w:rPr>
          <w:b/>
          <w:color w:val="000000"/>
          <w:sz w:val="17"/>
        </w:rPr>
        <w:t>参考文献：</w:t>
      </w:r>
      <w:r>
        <w:rPr>
          <w:color w:val="000000"/>
          <w:sz w:val="17"/>
        </w:rPr>
        <w:t>[1] Apache Software Foundation. Apache Commons Codec 1.18.0[EB/OL]. https://commons.apache.org/proper/commons-codec/, 2025-01-24.  [2] nexB Inc. ScanCode Toolkit 32.5.0[EB/OL]. https://github.com/nexB/scancode-toolkit, 2026.  [3] SPDX. SPDX License List 3.27[EB/OL]. https://spdx.org/licenses/, 2026.  [4] Apache Software Foundation. Apache License, Version 2.0[EB/OL]. https://www.apache.org/licenses/LICENSE-2.0, 2004.</w:t>
      </w:r>
    </w:p>
    <w:p w14:paraId="2747DC4A" w14:textId="77777777" w:rsidR="00C0230C" w:rsidRDefault="00000000">
      <w:pPr>
        <w:pageBreakBefore/>
        <w:widowControl/>
        <w:jc w:val="left"/>
        <w:rPr>
          <w:rFonts w:ascii="仿宋_GB2312" w:eastAsia="仿宋_GB2312" w:hAnsi="宋体" w:hint="eastAsia"/>
          <w:sz w:val="24"/>
          <w:szCs w:val="24"/>
        </w:rPr>
      </w:pPr>
      <w:r>
        <w:rPr>
          <w:rFonts w:ascii="仿宋_GB2312" w:eastAsia="仿宋_GB2312" w:hAnsi="宋体" w:cs="仿宋_GB2312" w:hint="eastAsia"/>
          <w:sz w:val="24"/>
          <w:szCs w:val="24"/>
        </w:rPr>
        <w:lastRenderedPageBreak/>
        <w:t>评价表格：</w:t>
      </w:r>
    </w:p>
    <w:tbl>
      <w:tblPr>
        <w:tblW w:w="852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043"/>
      </w:tblGrid>
      <w:tr w:rsidR="00C0230C" w14:paraId="241A0FB9" w14:textId="77777777">
        <w:tc>
          <w:tcPr>
            <w:tcW w:w="7479" w:type="dxa"/>
          </w:tcPr>
          <w:p w14:paraId="0ADAD994" w14:textId="77777777" w:rsidR="00C0230C" w:rsidRDefault="00000000">
            <w:pPr>
              <w:spacing w:line="300" w:lineRule="auto"/>
              <w:jc w:val="center"/>
              <w:rPr>
                <w:rFonts w:ascii="仿宋" w:eastAsia="仿宋" w:hAnsi="仿宋" w:hint="eastAsia"/>
                <w:b/>
                <w:bCs/>
                <w:kern w:val="0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08D9BC50" w14:textId="77777777" w:rsidR="00C0230C" w:rsidRDefault="00000000">
            <w:pPr>
              <w:widowControl/>
              <w:jc w:val="center"/>
              <w:rPr>
                <w:rFonts w:ascii="仿宋" w:eastAsia="仿宋" w:hAnsi="仿宋" w:hint="eastAsia"/>
                <w:b/>
                <w:bCs/>
                <w:kern w:val="0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</w:rPr>
              <w:t>得分</w:t>
            </w:r>
          </w:p>
        </w:tc>
      </w:tr>
      <w:tr w:rsidR="00C0230C" w14:paraId="42092E34" w14:textId="77777777">
        <w:tc>
          <w:tcPr>
            <w:tcW w:w="7479" w:type="dxa"/>
          </w:tcPr>
          <w:p w14:paraId="16D9EAB3" w14:textId="77777777" w:rsidR="00C0230C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1</w:t>
            </w:r>
            <w:r>
              <w:rPr>
                <w:rFonts w:ascii="仿宋" w:eastAsia="仿宋" w:hAnsi="仿宋" w:cs="仿宋" w:hint="eastAsia"/>
                <w:kern w:val="0"/>
              </w:rPr>
              <w:t>）报告格式规范、语言通顺（</w:t>
            </w:r>
            <w:r>
              <w:rPr>
                <w:rFonts w:ascii="仿宋" w:eastAsia="仿宋" w:hAnsi="仿宋" w:cs="仿宋"/>
                <w:kern w:val="0"/>
              </w:rPr>
              <w:t>10%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410D9B3C" w14:textId="77777777" w:rsidR="00C0230C" w:rsidRDefault="00C0230C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C0230C" w14:paraId="0FFEF96B" w14:textId="77777777">
        <w:tc>
          <w:tcPr>
            <w:tcW w:w="7479" w:type="dxa"/>
          </w:tcPr>
          <w:p w14:paraId="753E5FD2" w14:textId="77777777" w:rsidR="00C0230C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2</w:t>
            </w:r>
            <w:r>
              <w:rPr>
                <w:rFonts w:ascii="仿宋" w:eastAsia="仿宋" w:hAnsi="仿宋" w:cs="仿宋" w:hint="eastAsia"/>
                <w:kern w:val="0"/>
              </w:rPr>
              <w:t>）质量标准分析合理（1</w:t>
            </w:r>
            <w:r>
              <w:rPr>
                <w:rFonts w:ascii="仿宋" w:eastAsia="仿宋" w:hAnsi="仿宋" w:cs="仿宋"/>
                <w:kern w:val="0"/>
              </w:rPr>
              <w:t>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74EF00CF" w14:textId="77777777" w:rsidR="00C0230C" w:rsidRDefault="00C0230C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C0230C" w14:paraId="08DA1810" w14:textId="77777777">
        <w:tc>
          <w:tcPr>
            <w:tcW w:w="7479" w:type="dxa"/>
          </w:tcPr>
          <w:p w14:paraId="43B326DB" w14:textId="77777777" w:rsidR="00C0230C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3</w:t>
            </w:r>
            <w:r>
              <w:rPr>
                <w:rFonts w:ascii="仿宋" w:eastAsia="仿宋" w:hAnsi="仿宋" w:cs="仿宋" w:hint="eastAsia"/>
                <w:kern w:val="0"/>
              </w:rPr>
              <w:t>）测试方法分析全面、合理（</w:t>
            </w:r>
            <w:r>
              <w:rPr>
                <w:rFonts w:ascii="仿宋" w:eastAsia="仿宋" w:hAnsi="仿宋" w:cs="仿宋"/>
                <w:kern w:val="0"/>
              </w:rPr>
              <w:t>20%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4AE6871C" w14:textId="77777777" w:rsidR="00C0230C" w:rsidRDefault="00C0230C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C0230C" w14:paraId="2E0F6980" w14:textId="77777777">
        <w:tc>
          <w:tcPr>
            <w:tcW w:w="7479" w:type="dxa"/>
          </w:tcPr>
          <w:p w14:paraId="31D9DDF4" w14:textId="77777777" w:rsidR="00C0230C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4</w:t>
            </w:r>
            <w:r>
              <w:rPr>
                <w:rFonts w:ascii="仿宋" w:eastAsia="仿宋" w:hAnsi="仿宋" w:cs="仿宋" w:hint="eastAsia"/>
                <w:kern w:val="0"/>
              </w:rPr>
              <w:t>）测试风险分析全面、合理（</w:t>
            </w:r>
            <w:r>
              <w:rPr>
                <w:rFonts w:ascii="仿宋" w:eastAsia="仿宋" w:hAnsi="仿宋" w:cs="仿宋"/>
                <w:kern w:val="0"/>
              </w:rPr>
              <w:t>20%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0E249FB4" w14:textId="77777777" w:rsidR="00C0230C" w:rsidRDefault="00C0230C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C0230C" w14:paraId="4F8339B3" w14:textId="77777777">
        <w:tc>
          <w:tcPr>
            <w:tcW w:w="7479" w:type="dxa"/>
          </w:tcPr>
          <w:p w14:paraId="204F1451" w14:textId="77777777" w:rsidR="00C0230C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5</w:t>
            </w:r>
            <w:r>
              <w:rPr>
                <w:rFonts w:ascii="仿宋" w:eastAsia="仿宋" w:hAnsi="仿宋" w:cs="仿宋" w:hint="eastAsia"/>
                <w:kern w:val="0"/>
              </w:rPr>
              <w:t>）测试总体测试策略全面、合理（3</w:t>
            </w:r>
            <w:r>
              <w:rPr>
                <w:rFonts w:ascii="仿宋" w:eastAsia="仿宋" w:hAnsi="仿宋" w:cs="仿宋"/>
                <w:kern w:val="0"/>
              </w:rPr>
              <w:t>0%</w:t>
            </w:r>
            <w:r>
              <w:rPr>
                <w:rFonts w:ascii="仿宋" w:eastAsia="仿宋" w:hAnsi="仿宋" w:cs="仿宋" w:hint="eastAsia"/>
                <w:kern w:val="0"/>
              </w:rPr>
              <w:t>）</w:t>
            </w:r>
          </w:p>
        </w:tc>
        <w:tc>
          <w:tcPr>
            <w:tcW w:w="1043" w:type="dxa"/>
          </w:tcPr>
          <w:p w14:paraId="14CB1F7A" w14:textId="77777777" w:rsidR="00C0230C" w:rsidRDefault="00C0230C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C0230C" w14:paraId="5EAB87DF" w14:textId="77777777">
        <w:tc>
          <w:tcPr>
            <w:tcW w:w="7479" w:type="dxa"/>
          </w:tcPr>
          <w:p w14:paraId="78497292" w14:textId="77777777" w:rsidR="00C0230C" w:rsidRDefault="00000000">
            <w:pPr>
              <w:spacing w:line="300" w:lineRule="auto"/>
              <w:rPr>
                <w:rFonts w:ascii="仿宋" w:eastAsia="仿宋" w:hAnsi="仿宋" w:cs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34BD567B" w14:textId="77777777" w:rsidR="00C0230C" w:rsidRDefault="00C0230C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</w:tbl>
    <w:p w14:paraId="75885205" w14:textId="77777777" w:rsidR="00C0230C" w:rsidRDefault="00C0230C">
      <w:pPr>
        <w:widowControl/>
        <w:jc w:val="left"/>
        <w:rPr>
          <w:rFonts w:ascii="仿宋_GB2312" w:eastAsia="仿宋_GB2312" w:hAnsi="宋体" w:hint="eastAsia"/>
          <w:sz w:val="24"/>
          <w:szCs w:val="24"/>
        </w:rPr>
      </w:pPr>
    </w:p>
    <w:sectPr w:rsidR="00C0230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DF8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587730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0230C"/>
    <w:rsid w:val="00C70D3A"/>
    <w:rsid w:val="00C85277"/>
    <w:rsid w:val="00D02F64"/>
    <w:rsid w:val="00D94562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47351CE1"/>
    <w:rsid w:val="4C987DD0"/>
    <w:rsid w:val="60CA19D8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1555E"/>
  <w15:docId w15:val="{445CE969-B4D6-4B1A-A6AF-7283F4EF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uiPriority w:val="99"/>
    <w:semiHidden/>
    <w:qFormat/>
    <w:locked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批注框文本 字符"/>
    <w:link w:val="a3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link w:val="a5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paragraph" w:customStyle="1" w:styleId="ListParagraph1">
    <w:name w:val="List Paragraph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3390</Words>
  <Characters>3765</Characters>
  <Application>Microsoft Office Word</Application>
  <DocSecurity>0</DocSecurity>
  <Lines>753</Lines>
  <Paragraphs>550</Paragraphs>
  <ScaleCrop>false</ScaleCrop>
  <Company>微软中国</Company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平时作业1-开源合规与许可证</dc:title>
  <dc:subject>Apache Commons Codec 许可证合规检测</dc:subject>
  <dc:creator>【姓名】</dc:creator>
  <cp:lastModifiedBy>鱼 童</cp:lastModifiedBy>
  <cp:revision>5</cp:revision>
  <dcterms:created xsi:type="dcterms:W3CDTF">2023-08-22T04:51:00Z</dcterms:created>
  <dcterms:modified xsi:type="dcterms:W3CDTF">2026-10-29T05:53:00Z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eyJoZGlkIjoiMzEwNTM5NzYwMDRjMzkwZTVkZjY2ODkwMGIxNGU0OTUiLCJ1c2VySWQiOiI2NjUyNTI2NjgifQ==</vt:lpwstr>
  </property>
  <property fmtid="{D5CDD505-2E9C-101B-9397-08002B2CF9AE}" pid="4" name="ICV">
    <vt:lpwstr>2FCBE16CC9AA4110AD018CF3B4DFFEB0_12</vt:lpwstr>
  </property>
</Properties>
</file>