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Gestión de Datos (PGD) – Resumen 1 página</w:t>
      </w:r>
    </w:p>
    <w:p>
      <w:r>
        <w:t>Alcance: Este PGD aplica al proyecto 'Agente para Interpretación de Estados Financieros de MYPEs'.</w:t>
      </w:r>
    </w:p>
    <w:p>
      <w:r>
        <w:t>Anonimización: reemplazo de razón social y RUC por 'codigo_mype' (MYP-XXX). 'map_mypes.xlsx' solo en contenedor cifrado/7-Zip AES-256.</w:t>
      </w:r>
    </w:p>
    <w:p>
      <w:r>
        <w:t>Seguridad: 01_data_original/ solo local y cifrado (BitLocker/VeraCrypt). Drive UC con 2FA y mínimo privilegio.</w:t>
      </w:r>
    </w:p>
    <w:p>
      <w:r>
        <w:t>Almacenamiento: 02_data_anon/ (anonimizados), 03_resultados/ (PDF/HTML), 04_codigo/, 05_docs/, 06_backup/.</w:t>
      </w:r>
    </w:p>
    <w:p>
      <w:r>
        <w:t>Accesos: IP (admin), Analista (editor), Estadístico (comentarista), Tesista (lector).</w:t>
      </w:r>
    </w:p>
    <w:p>
      <w:r>
        <w:t>Backups 3-2-1: 3 copias; 2 medios; 1 fuera de sitio. 'backup_log' y verificación de apertura.</w:t>
      </w:r>
    </w:p>
    <w:p>
      <w:r>
        <w:t>Versionado: Git privado sin datos sensibles. Resultados con nombres versionados.</w:t>
      </w:r>
    </w:p>
    <w:p>
      <w:r>
        <w:t>Retención y eliminación: 12 meses; eliminación segura de contenedores/borrado; revocar accesos.</w:t>
      </w:r>
    </w:p>
    <w:p>
      <w:r>
        <w:t>Contacto: IP/Coordinador – correo institucional.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