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Day01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virtualenv</w:t>
      </w:r>
    </w:p>
    <w:p>
      <w:pPr>
        <w:rPr>
          <w:rFonts w:hint="eastAsia"/>
          <w:color w:val="0000FF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创建虚拟环境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virtualenv  -p  pythonX  xxx（例：GP1）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python： 用自己系统的python版本代替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xxx： 虚拟环境名（一个文件夹）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激活虚拟环境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（如果之前已经创建好虚拟环境 下次使用只需要激活就行）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source  xxx（GP1）/bin/activate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退出虚拟环境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deactivate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一、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在虚拟环境中创建Django项目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django-admin startproject project_name（HelloDjango）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创建app（应用）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cd project_name（HelloDjango）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python manage.py startapp APP（dirname）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color w:val="0000FF"/>
          <w:lang w:eastAsia="zh-CN"/>
        </w:rPr>
      </w:pPr>
      <w:r>
        <w:rPr>
          <w:rFonts w:hint="default"/>
          <w:color w:val="0000FF"/>
          <w:lang w:eastAsia="zh-CN"/>
        </w:rPr>
        <w:t>python manage.py runserver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eastAsia="zh-CN"/>
        </w:rPr>
      </w:pPr>
      <w:r>
        <w:rPr>
          <w:rFonts w:hint="default"/>
          <w:color w:val="0000FF"/>
          <w:lang w:eastAsia="zh-CN"/>
        </w:rPr>
        <w:t>启动服务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eastAsia="zh-CN"/>
        </w:rPr>
      </w:pPr>
      <w:r>
        <w:rPr>
          <w:rFonts w:hint="default"/>
          <w:color w:val="0000FF"/>
          <w:lang w:eastAsia="zh-CN"/>
        </w:rPr>
        <w:t>在pycharm中打开 一定要打开manage.py 的上一级 即（project_name）文件夹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Django实现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实现一个请求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注册一个路由（urls.py中）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url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参数① 匹配规则 正则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视图函数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对应的是views中的一个函数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-没有括号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  <w:r>
        <w:rPr>
          <w:color w:val="0000FF"/>
        </w:rPr>
        <w:drawing>
          <wp:inline distT="0" distB="0" distL="114300" distR="114300">
            <wp:extent cx="4181475" cy="23336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去views中实现对应的视图函数（views.py中）</w:t>
      </w:r>
      <w:r>
        <w:rPr>
          <w:rFonts w:hint="eastAsia"/>
          <w:color w:val="0000FF"/>
          <w:lang w:val="en-US" w:eastAsia="zh-CN"/>
        </w:rPr>
        <w:br w:type="textWrapping"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- 第一个参数是request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永远记得返回Response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color w:val="0000FF"/>
        </w:rPr>
      </w:pPr>
      <w:r>
        <w:rPr>
          <w:color w:val="0000FF"/>
        </w:rPr>
        <w:drawing>
          <wp:inline distT="0" distB="0" distL="114300" distR="114300">
            <wp:extent cx="3886200" cy="18097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color w:val="0000FF"/>
        </w:rPr>
      </w:pPr>
    </w:p>
    <w:p>
      <w:pPr>
        <w:widowControl w:val="0"/>
        <w:numPr>
          <w:ilvl w:val="0"/>
          <w:numId w:val="0"/>
        </w:numPr>
        <w:jc w:val="both"/>
        <w:rPr>
          <w:color w:val="0000FF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 xml:space="preserve">html快捷键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-tab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- ul &gt; li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ul * 5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ul &gt; li * 5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把项目写到settings.py的INSTALLED_APPS中（让Django知道这个应用）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  <w:r>
        <w:rPr>
          <w:color w:val="0000FF"/>
        </w:rPr>
        <w:drawing>
          <wp:inline distT="0" distB="0" distL="114300" distR="114300">
            <wp:extent cx="3762375" cy="29432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模板配置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  <w:r>
        <w:rPr>
          <w:color w:val="0000FF"/>
        </w:rPr>
        <w:drawing>
          <wp:inline distT="0" distB="0" distL="114300" distR="114300">
            <wp:extent cx="3952875" cy="16383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两种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1- 在APP中进行模板配置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只需在APP的根目录创建templates文件夹即可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drawing>
          <wp:inline distT="0" distB="0" distL="114300" distR="114300">
            <wp:extent cx="1914525" cy="13239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如果想让代码自动提示，我们应该标记文件夹为模板文件夹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2- 在项目目录中进行模板配置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需要在项目目录中创建templates文件夹并标记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color w:val="0000FF"/>
        </w:rPr>
        <w:drawing>
          <wp:inline distT="0" distB="0" distL="114300" distR="114300">
            <wp:extent cx="1819275" cy="12382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需要在settings中进行注册（settings.py中的TEMPLATES）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color w:val="0000FF"/>
        </w:rPr>
        <w:drawing>
          <wp:inline distT="0" distB="0" distL="114300" distR="114300">
            <wp:extent cx="4945380" cy="2258695"/>
            <wp:effectExtent l="0" t="0" r="762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在开发中使用第二种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模板可以继承，复用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u w:val="none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路由</w:t>
      </w:r>
      <w:r>
        <w:rPr>
          <w:rFonts w:hint="eastAsia"/>
          <w:b/>
          <w:bCs/>
          <w:color w:val="0000FF"/>
          <w:u w:val="none"/>
          <w:lang w:val="en-US" w:eastAsia="zh-CN"/>
        </w:rPr>
        <w:t>优化配置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color w:val="0000FF"/>
          <w:u w:val="none"/>
          <w:lang w:val="en-US" w:eastAsia="zh-CN"/>
        </w:rPr>
      </w:pPr>
      <w:r>
        <w:rPr>
          <w:rFonts w:hint="eastAsia"/>
          <w:color w:val="0000FF"/>
          <w:u w:val="none"/>
          <w:lang w:val="en-US" w:eastAsia="zh-CN"/>
        </w:rPr>
        <w:t>- 项目如果逻辑过于复杂，可以进行拆分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u w:val="none"/>
          <w:lang w:val="en-US" w:eastAsia="zh-CN"/>
        </w:rPr>
      </w:pPr>
      <w:r>
        <w:rPr>
          <w:rFonts w:hint="eastAsia"/>
          <w:color w:val="0000FF"/>
          <w:u w:val="none"/>
          <w:lang w:val="en-US" w:eastAsia="zh-CN"/>
        </w:rPr>
        <w:t>1- 拆分为多个APP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u w:val="none"/>
          <w:lang w:val="en-US" w:eastAsia="zh-CN"/>
        </w:rPr>
      </w:pPr>
      <w:r>
        <w:rPr>
          <w:color w:val="0000FF"/>
          <w:u w:val="none"/>
        </w:rPr>
        <w:drawing>
          <wp:inline distT="0" distB="0" distL="114300" distR="114300">
            <wp:extent cx="1819275" cy="12096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2 - 继续拆分路由器urls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在APP中创建自己的urls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color w:val="0000FF"/>
        </w:rPr>
        <w:drawing>
          <wp:inline distT="0" distB="0" distL="114300" distR="114300">
            <wp:extent cx="1504950" cy="21431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 urlpatterns 路由规则列表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drawing>
          <wp:inline distT="0" distB="0" distL="114300" distR="114300">
            <wp:extent cx="3657600" cy="20383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在根urls中进行子路由包含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drawing>
          <wp:inline distT="0" distB="0" distL="114300" distR="114300">
            <wp:extent cx="4057650" cy="23717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3 - 子路由使用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根路由规则 + 子路由规则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如 127.0.0.1:8000/two/index/  （根路由规则:two/ 子路由规则:index/）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val="en-US" w:eastAsia="zh-CN"/>
        </w:rPr>
      </w:pPr>
      <w:r>
        <w:drawing>
          <wp:inline distT="0" distB="0" distL="114300" distR="114300">
            <wp:extent cx="5191125" cy="16668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models使用了ORM技术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Object Relational Mapping 对象关系映射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将业务逻辑进行了一个解耦合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object.save()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object.delete()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关系型数据库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DDL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-通过models定义实现数据库表的定义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建表</w:t>
      </w:r>
    </w:p>
    <w:p>
      <w:pPr>
        <w:widowControl w:val="0"/>
        <w:numPr>
          <w:ilvl w:val="0"/>
          <w:numId w:val="3"/>
        </w:numPr>
        <w:ind w:left="42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models.py 中定义一个class</w:t>
      </w:r>
    </w:p>
    <w:p>
      <w:pPr>
        <w:widowControl w:val="0"/>
        <w:numPr>
          <w:ilvl w:val="0"/>
          <w:numId w:val="3"/>
        </w:numPr>
        <w:ind w:left="42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定义表的数据类型</w:t>
      </w:r>
    </w:p>
    <w:p>
      <w:pPr>
        <w:widowControl w:val="0"/>
        <w:numPr>
          <w:ilvl w:val="0"/>
          <w:numId w:val="3"/>
        </w:numPr>
        <w:ind w:left="420" w:leftChars="0" w:firstLine="420" w:firstLineChars="0"/>
        <w:jc w:val="both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python manage.py makemigrations（生成迁移文件）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迁移文件在migrations中 0001_initial.py</w:t>
      </w:r>
    </w:p>
    <w:p>
      <w:pPr>
        <w:widowControl w:val="0"/>
        <w:numPr>
          <w:ilvl w:val="0"/>
          <w:numId w:val="3"/>
        </w:numPr>
        <w:ind w:left="420" w:leftChars="0" w:firstLine="420" w:firstLineChars="0"/>
        <w:jc w:val="both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python manage.py migrate  （执行迁移文件  将迁移文件映射到库中）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数据操作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增删改查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存储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save()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查询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查所有</w:t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 xml:space="preserve">  objects.all()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查单个   objects.get(pk=xx)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更新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-基于查询的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-插好的对象，修改属性，然后save()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删除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基于查询的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调用 delete()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连接mysql驱动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mysqlclient: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python2,3都能直接使用</w:t>
      </w:r>
      <w:r>
        <w:rPr>
          <w:rFonts w:hint="eastAsia"/>
          <w:color w:val="0000FF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致命缺点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对mysql安装有要求，必须指定位置存在配置文件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python-mysql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 Python 2 支持很好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 python3 不支持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 pymysql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 python2，python3都支持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  它还可以伪装成前面的库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django shell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color w:val="0000FF"/>
          <w:lang w:val="en-US" w:eastAsia="zh-CN"/>
        </w:rPr>
        <w:t>- 集成了python环境的shell终端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color w:val="0000FF"/>
          <w:lang w:val="en-US" w:eastAsia="zh-CN"/>
        </w:rPr>
        <w:t>- 通常在终端中做一些调试工作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如何去看待bug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color w:val="0000FF"/>
          <w:lang w:val="en-US" w:eastAsia="zh-CN"/>
        </w:rPr>
        <w:t>- 看日志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color w:val="0000FF"/>
          <w:lang w:val="en-US" w:eastAsia="zh-CN"/>
        </w:rPr>
        <w:t>- 先看第一条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color w:val="0000FF"/>
          <w:lang w:val="en-US" w:eastAsia="zh-CN"/>
        </w:rPr>
        <w:t>- 再看最后一条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color w:val="0000FF"/>
          <w:lang w:val="en-US" w:eastAsia="zh-CN"/>
        </w:rPr>
        <w:t>- 梳理思路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color w:val="0000FF"/>
          <w:lang w:val="en-US" w:eastAsia="zh-CN"/>
        </w:rPr>
        <w:t>- 程序在哪一个位置和预期出现偏差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表关系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color w:val="0000FF"/>
          <w:lang w:val="en-US" w:eastAsia="zh-CN"/>
        </w:rPr>
        <w:t>- 1:1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color w:val="0000FF"/>
          <w:lang w:val="en-US" w:eastAsia="zh-CN"/>
        </w:rPr>
        <w:t>- 1:N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color w:val="0000FF"/>
          <w:lang w:val="en-US" w:eastAsia="zh-CN"/>
        </w:rPr>
        <w:t>- N:M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快捷键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- control + p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color w:val="0000FF"/>
          <w:lang w:val="en-US" w:eastAsia="zh-CN"/>
        </w:rPr>
        <w:t>- 参数提示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color w:val="0000FF"/>
          <w:lang w:val="en-US" w:eastAsia="zh-CN"/>
        </w:rPr>
        <w:t>- shift + f6 重命名，重构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color w:val="0000FF"/>
        </w:rPr>
      </w:pPr>
      <w:r>
        <w:rPr>
          <w:color w:val="0000FF"/>
        </w:rPr>
        <w:drawing>
          <wp:inline distT="0" distB="0" distL="114300" distR="114300">
            <wp:extent cx="5269865" cy="2366010"/>
            <wp:effectExtent l="0" t="0" r="6985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color w:val="0000FF"/>
        </w:rPr>
      </w:pPr>
    </w:p>
    <w:p>
      <w:pPr>
        <w:widowControl w:val="0"/>
        <w:numPr>
          <w:ilvl w:val="0"/>
          <w:numId w:val="0"/>
        </w:numPr>
        <w:jc w:val="both"/>
        <w:rPr>
          <w:color w:val="0000FF"/>
        </w:rPr>
      </w:pPr>
    </w:p>
    <w:p>
      <w:pPr>
        <w:widowControl w:val="0"/>
        <w:numPr>
          <w:ilvl w:val="0"/>
          <w:numId w:val="0"/>
        </w:numPr>
        <w:jc w:val="both"/>
        <w:rPr>
          <w:color w:val="0000FF"/>
        </w:rPr>
      </w:pPr>
    </w:p>
    <w:p>
      <w:pPr>
        <w:widowControl w:val="0"/>
        <w:numPr>
          <w:ilvl w:val="0"/>
          <w:numId w:val="0"/>
        </w:numPr>
        <w:jc w:val="both"/>
        <w:rPr>
          <w:color w:val="0000FF"/>
        </w:rPr>
      </w:pPr>
    </w:p>
    <w:p>
      <w:pPr>
        <w:widowControl w:val="0"/>
        <w:numPr>
          <w:ilvl w:val="0"/>
          <w:numId w:val="0"/>
        </w:numPr>
        <w:jc w:val="both"/>
        <w:rPr>
          <w:color w:val="0000FF"/>
        </w:rPr>
      </w:pPr>
    </w:p>
    <w:p>
      <w:pPr>
        <w:widowControl w:val="0"/>
        <w:numPr>
          <w:ilvl w:val="0"/>
          <w:numId w:val="0"/>
        </w:numPr>
        <w:jc w:val="both"/>
        <w:rPr>
          <w:color w:val="0000FF"/>
        </w:rPr>
      </w:pPr>
    </w:p>
    <w:p>
      <w:pPr>
        <w:widowControl w:val="0"/>
        <w:numPr>
          <w:ilvl w:val="0"/>
          <w:numId w:val="0"/>
        </w:numPr>
        <w:jc w:val="both"/>
        <w:rPr>
          <w:color w:val="0000FF"/>
        </w:rPr>
      </w:pPr>
    </w:p>
    <w:p>
      <w:pPr>
        <w:widowControl w:val="0"/>
        <w:numPr>
          <w:ilvl w:val="0"/>
          <w:numId w:val="0"/>
        </w:numPr>
        <w:jc w:val="both"/>
        <w:rPr>
          <w:color w:val="0000FF"/>
        </w:rPr>
      </w:pPr>
    </w:p>
    <w:p>
      <w:pPr>
        <w:widowControl w:val="0"/>
        <w:numPr>
          <w:ilvl w:val="0"/>
          <w:numId w:val="0"/>
        </w:numPr>
        <w:jc w:val="both"/>
        <w:rPr>
          <w:color w:val="0000FF"/>
        </w:rPr>
      </w:pPr>
    </w:p>
    <w:p>
      <w:pPr>
        <w:widowControl w:val="0"/>
        <w:numPr>
          <w:ilvl w:val="0"/>
          <w:numId w:val="0"/>
        </w:numPr>
        <w:jc w:val="both"/>
        <w:rPr>
          <w:color w:val="0000FF"/>
        </w:rPr>
      </w:pPr>
    </w:p>
    <w:p>
      <w:pPr>
        <w:widowControl w:val="0"/>
        <w:numPr>
          <w:ilvl w:val="0"/>
          <w:numId w:val="0"/>
        </w:numPr>
        <w:jc w:val="both"/>
        <w:rPr>
          <w:color w:val="0000FF"/>
        </w:rPr>
      </w:pPr>
    </w:p>
    <w:p>
      <w:pPr>
        <w:widowControl w:val="0"/>
        <w:numPr>
          <w:ilvl w:val="0"/>
          <w:numId w:val="0"/>
        </w:numPr>
        <w:jc w:val="both"/>
        <w:rPr>
          <w:color w:val="0000FF"/>
        </w:rPr>
      </w:pPr>
    </w:p>
    <w:p>
      <w:pPr>
        <w:widowControl w:val="0"/>
        <w:numPr>
          <w:ilvl w:val="0"/>
          <w:numId w:val="0"/>
        </w:numPr>
        <w:jc w:val="both"/>
        <w:rPr>
          <w:color w:val="0000FF"/>
        </w:rPr>
      </w:pPr>
    </w:p>
    <w:p>
      <w:pPr>
        <w:widowControl w:val="0"/>
        <w:numPr>
          <w:ilvl w:val="0"/>
          <w:numId w:val="0"/>
        </w:numPr>
        <w:jc w:val="both"/>
        <w:rPr>
          <w:color w:val="0000FF"/>
        </w:rPr>
      </w:pPr>
    </w:p>
    <w:p>
      <w:pPr>
        <w:widowControl w:val="0"/>
        <w:numPr>
          <w:ilvl w:val="0"/>
          <w:numId w:val="0"/>
        </w:numPr>
        <w:jc w:val="both"/>
        <w:rPr>
          <w:color w:val="0000FF"/>
        </w:rPr>
      </w:pPr>
    </w:p>
    <w:p>
      <w:pPr>
        <w:widowControl w:val="0"/>
        <w:numPr>
          <w:ilvl w:val="0"/>
          <w:numId w:val="0"/>
        </w:numPr>
        <w:jc w:val="both"/>
        <w:rPr>
          <w:color w:val="0000FF"/>
        </w:rPr>
      </w:pPr>
    </w:p>
    <w:p>
      <w:pPr>
        <w:widowControl w:val="0"/>
        <w:numPr>
          <w:ilvl w:val="0"/>
          <w:numId w:val="0"/>
        </w:numPr>
        <w:jc w:val="both"/>
        <w:rPr>
          <w:color w:val="0000FF"/>
        </w:rPr>
      </w:pPr>
    </w:p>
    <w:p>
      <w:pPr>
        <w:widowControl w:val="0"/>
        <w:numPr>
          <w:ilvl w:val="0"/>
          <w:numId w:val="0"/>
        </w:numPr>
        <w:jc w:val="both"/>
        <w:rPr>
          <w:color w:val="0000FF"/>
        </w:rPr>
      </w:pPr>
    </w:p>
    <w:p>
      <w:pPr>
        <w:widowControl w:val="0"/>
        <w:numPr>
          <w:ilvl w:val="0"/>
          <w:numId w:val="0"/>
        </w:numPr>
        <w:jc w:val="both"/>
        <w:rPr>
          <w:color w:val="0000FF"/>
        </w:rPr>
      </w:pPr>
    </w:p>
    <w:p>
      <w:pPr>
        <w:widowControl w:val="0"/>
        <w:numPr>
          <w:ilvl w:val="0"/>
          <w:numId w:val="0"/>
        </w:numPr>
        <w:jc w:val="both"/>
        <w:rPr>
          <w:color w:val="0000FF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1、创建项目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112770"/>
            <wp:effectExtent l="0" t="0" r="571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2、创建应用、请求流程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120390"/>
            <wp:effectExtent l="0" t="0" r="317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3、编写请求（urls views）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119755"/>
            <wp:effectExtent l="0" t="0" r="7620" b="444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4、连接数据库、修改数据库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141345"/>
            <wp:effectExtent l="0" t="0" r="3175" b="190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5、数据操作（增删改查）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119755"/>
            <wp:effectExtent l="0" t="0" r="7620" b="444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F015AA"/>
    <w:multiLevelType w:val="singleLevel"/>
    <w:tmpl w:val="90F015AA"/>
    <w:lvl w:ilvl="0" w:tentative="0">
      <w:start w:val="1"/>
      <w:numFmt w:val="decimal"/>
      <w:suff w:val="space"/>
      <w:lvlText w:val="%1-"/>
      <w:lvlJc w:val="left"/>
    </w:lvl>
  </w:abstractNum>
  <w:abstractNum w:abstractNumId="1">
    <w:nsid w:val="48A836AB"/>
    <w:multiLevelType w:val="singleLevel"/>
    <w:tmpl w:val="48A836A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ED88DB9"/>
    <w:multiLevelType w:val="singleLevel"/>
    <w:tmpl w:val="4ED88DB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ACC6E02"/>
    <w:rsid w:val="42305E70"/>
    <w:rsid w:val="46B755E7"/>
    <w:rsid w:val="6C8F6829"/>
    <w:rsid w:val="6CF82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570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2020-09-03T05:48:00Z</dcterms:created>
  <dc:creator>Administrator</dc:creator>
  <cp:lastModifiedBy>YAomXu</cp:lastModifiedBy>
  <dcterms:modified xsi:type="dcterms:W3CDTF">2020-10-07T07:54:55Z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