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4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466"/>
      </w:tblGrid>
      <w:tr>
        <w:trPr>
          <w:cantSplit/>
        </w:trPr>
        <w:tc>
          <w:tcPr>
            <w:tcW w:type="dxa" w:w="10466"/>
            <w:shd w:fill="1F3864" w:color="auto" w:val="clear"/>
            <w:tcMar>
              <w:top w:type="dxa" w:w="160"/>
              <w:left w:type="dxa" w:w="200"/>
              <w:bottom w:type="dxa" w:w="140"/>
              <w:right w:type="dxa" w:w="200"/>
            </w:tcMar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0"/>
                <w:szCs w:val="30"/>
              </w:rPr>
              <w:t xml:space="preserve">TRAVAUX DIRIGÉS — ÉVALUATION OBJECTIVE</w:t>
            </w:r>
          </w:p>
          <w:p>
            <w:pPr>
              <w:spacing w:after="20" w:before="0"/>
              <w:jc w:val="center"/>
            </w:pPr>
            <w:r>
              <w:rPr>
                <w:rFonts w:ascii="Calibri" w:cs="Calibri" w:eastAsia="Calibri" w:hAnsi="Calibri"/>
                <w:color w:val="D9E2F3"/>
                <w:sz w:val="21"/>
                <w:szCs w:val="21"/>
              </w:rPr>
              <w:t xml:space="preserve">TRAUMATOLOGIE — Prise en charge infirmière des Pathologies Chirurgicales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BFCBE0"/>
                <w:sz w:val="18"/>
                <w:szCs w:val="18"/>
              </w:rPr>
              <w:t xml:space="preserve">INFAS — Licence 2 Infirmier(e) Diplômé(e) d'État (L2 IDE)</w:t>
            </w:r>
          </w:p>
        </w:tc>
      </w:tr>
    </w:tbl>
    <w:p>
      <w:pPr>
        <w:spacing w:after="60" w:before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Nom &amp; Prénoms : </w:t>
      </w:r>
      <w:r>
        <w:rPr>
          <w:rFonts w:ascii="Calibri" w:cs="Calibri" w:eastAsia="Calibri" w:hAnsi="Calibri"/>
          <w:sz w:val="20"/>
          <w:szCs w:val="20"/>
        </w:rPr>
        <w:t xml:space="preserve">…………………………………………………………………………       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Date : </w:t>
      </w:r>
      <w:r>
        <w:rPr>
          <w:rFonts w:ascii="Calibri" w:cs="Calibri" w:eastAsia="Calibri" w:hAnsi="Calibri"/>
          <w:sz w:val="20"/>
          <w:szCs w:val="20"/>
        </w:rPr>
        <w:t xml:space="preserve">……………………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color w:val="1F3864"/>
          <w:sz w:val="19"/>
          <w:szCs w:val="19"/>
        </w:rPr>
        <w:t xml:space="preserve">Consigne : </w:t>
      </w:r>
      <w:r>
        <w:rPr>
          <w:rFonts w:ascii="Calibri" w:cs="Calibri" w:eastAsia="Calibri" w:hAnsi="Calibri"/>
          <w:sz w:val="19"/>
          <w:szCs w:val="19"/>
        </w:rPr>
        <w:t xml:space="preserve">Questions 1-35 : indiquer Vrai (V) ou Faux (F). Questions 1-25 : cocher la seule réponse exacte (A, B, C ou D). Barème : 1 point/question — Total : 60 points.</w:t>
      </w:r>
    </w:p>
    <w:p>
      <w:pPr>
        <w:spacing w:after="80" w:before="0"/>
      </w:pPr>
      <w:r>
        <w:rPr>
          <w:rFonts w:ascii="Calibri" w:cs="Calibri" w:eastAsia="Calibri" w:hAnsi="Calibri"/>
          <w:i/>
          <w:iCs/>
          <w:color w:val="595959"/>
          <w:sz w:val="16"/>
          <w:szCs w:val="16"/>
        </w:rPr>
        <w:t xml:space="preserve">Chapitres couverts : Thorax | Clavicule | Épaule | Humérus | Avant-bras | Fémur | Jambe | Ménisques | Rotule | Bassin | Choc traumatique | Voie publique | Polytraumatisé</w:t>
      </w:r>
    </w:p>
    <w:tbl>
      <w:tblPr>
        <w:tblW w:type="dxa" w:w="104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466"/>
      </w:tblGrid>
      <w:tr>
        <w:trPr>
          <w:cantSplit/>
        </w:trPr>
        <w:tc>
          <w:tcPr>
            <w:tcW w:type="dxa" w:w="10466"/>
            <w:shd w:fill="12776B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I.  QUESTIONS À CHOIX DOUBLE (QCD) — VRAI OU FAUX   (35 questions)</w:t>
            </w:r>
          </w:p>
        </w:tc>
      </w:tr>
    </w:tbl>
    <w:p>
      <w:pPr>
        <w:spacing w:after="60" w:before="60"/>
      </w:pPr>
    </w:p>
    <w:tbl>
      <w:tblPr>
        <w:tblW w:type="dxa" w:w="104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233"/>
        <w:gridCol w:w="5233"/>
      </w:tblGrid>
      <w:tr>
        <w:trPr>
          <w:cantSplit/>
        </w:trPr>
        <w:tc>
          <w:tcPr>
            <w:tcW w:type="dxa" w:w="5233"/>
            <w:tcMar>
              <w:top w:type="dxa" w:w="20"/>
              <w:left w:type="dxa" w:w="40"/>
              <w:bottom w:type="dxa" w:w="20"/>
              <w:right w:type="dxa" w:w="140"/>
            </w:tcMar>
          </w:tcPr>
          <w:p>
            <w:pPr>
              <w:spacing w:after="15" w:before="15" w:line="235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1.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Le traumatisme thoracique par mécanisme direct entraîne surtout une lésion viscérale.</w:t>
            </w: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  V[ ] F[ ]</w:t>
            </w:r>
          </w:p>
        </w:tc>
        <w:tc>
          <w:tcPr>
            <w:tcW w:type="dxa" w:w="5233"/>
            <w:tcMar>
              <w:top w:type="dxa" w:w="20"/>
              <w:left w:type="dxa" w:w="140"/>
              <w:bottom w:type="dxa" w:w="20"/>
              <w:right w:type="dxa" w:w="40"/>
            </w:tcMar>
          </w:tcPr>
          <w:p>
            <w:pPr>
              <w:spacing w:after="15" w:before="15" w:line="235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19.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Les fractures des deux os de la jambe sont des fractures extra-articulaires.</w:t>
            </w: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  V[ ] F[ ]</w:t>
            </w:r>
          </w:p>
        </w:tc>
      </w:tr>
      <w:tr>
        <w:trPr>
          <w:cantSplit/>
        </w:trPr>
        <w:tc>
          <w:tcPr>
            <w:tcW w:type="dxa" w:w="5233"/>
            <w:tcMar>
              <w:top w:type="dxa" w:w="20"/>
              <w:left w:type="dxa" w:w="40"/>
              <w:bottom w:type="dxa" w:w="20"/>
              <w:right w:type="dxa" w:w="140"/>
            </w:tcMar>
          </w:tcPr>
          <w:p>
            <w:pPr>
              <w:spacing w:after="15" w:before="15" w:line="235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2.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L'hémothorax donne une matité à la percussion, le pneumothorax une hypersonorité.</w:t>
            </w: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  V[ ] F[ ]</w:t>
            </w:r>
          </w:p>
        </w:tc>
        <w:tc>
          <w:tcPr>
            <w:tcW w:type="dxa" w:w="5233"/>
            <w:tcMar>
              <w:top w:type="dxa" w:w="20"/>
              <w:left w:type="dxa" w:w="140"/>
              <w:bottom w:type="dxa" w:w="20"/>
              <w:right w:type="dxa" w:w="40"/>
            </w:tcMar>
          </w:tcPr>
          <w:p>
            <w:pPr>
              <w:spacing w:after="15" w:before="15" w:line="235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20.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Un choc direct par écrasement provoque le plus souvent une fracture spiroïde de la jambe.</w:t>
            </w: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  V[ ] F[ ]</w:t>
            </w:r>
          </w:p>
        </w:tc>
      </w:tr>
      <w:tr>
        <w:trPr>
          <w:cantSplit/>
        </w:trPr>
        <w:tc>
          <w:tcPr>
            <w:tcW w:type="dxa" w:w="5233"/>
            <w:tcMar>
              <w:top w:type="dxa" w:w="20"/>
              <w:left w:type="dxa" w:w="40"/>
              <w:bottom w:type="dxa" w:w="20"/>
              <w:right w:type="dxa" w:w="140"/>
            </w:tcMar>
          </w:tcPr>
          <w:p>
            <w:pPr>
              <w:spacing w:after="15" w:before="15" w:line="235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3.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Une simple contusion thoracique ne nécessite aucune surveillance particulière.</w:t>
            </w: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  V[ ] F[ ]</w:t>
            </w:r>
          </w:p>
        </w:tc>
        <w:tc>
          <w:tcPr>
            <w:tcW w:type="dxa" w:w="5233"/>
            <w:tcMar>
              <w:top w:type="dxa" w:w="20"/>
              <w:left w:type="dxa" w:w="140"/>
              <w:bottom w:type="dxa" w:w="20"/>
              <w:right w:type="dxa" w:w="40"/>
            </w:tcMar>
          </w:tcPr>
          <w:p>
            <w:pPr>
              <w:spacing w:after="15" w:before="15" w:line="235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21.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Le ménisque interne a une forme en C, le ménisque externe une forme presque en O.</w:t>
            </w: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  V[ ] F[ ]</w:t>
            </w:r>
          </w:p>
        </w:tc>
      </w:tr>
      <w:tr>
        <w:trPr>
          <w:cantSplit/>
        </w:trPr>
        <w:tc>
          <w:tcPr>
            <w:tcW w:type="dxa" w:w="5233"/>
            <w:tcMar>
              <w:top w:type="dxa" w:w="20"/>
              <w:left w:type="dxa" w:w="40"/>
              <w:bottom w:type="dxa" w:w="20"/>
              <w:right w:type="dxa" w:w="140"/>
            </w:tcMar>
          </w:tcPr>
          <w:p>
            <w:pPr>
              <w:spacing w:after="15" w:before="15" w:line="235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4.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La fracture du tiers moyen représente environ 75 % des fractures de la clavicule.</w:t>
            </w: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  V[ ] F[ ]</w:t>
            </w:r>
          </w:p>
        </w:tc>
        <w:tc>
          <w:tcPr>
            <w:tcW w:type="dxa" w:w="5233"/>
            <w:tcMar>
              <w:top w:type="dxa" w:w="20"/>
              <w:left w:type="dxa" w:w="140"/>
              <w:bottom w:type="dxa" w:w="20"/>
              <w:right w:type="dxa" w:w="40"/>
            </w:tcMar>
          </w:tcPr>
          <w:p>
            <w:pPr>
              <w:spacing w:after="15" w:before="15" w:line="235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22.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Le signe d'Oudard (« cri méniscal ») correspond à une douleur à la palpation de l'interligne articulaire.</w:t>
            </w: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  V[ ] F[ ]</w:t>
            </w:r>
          </w:p>
        </w:tc>
      </w:tr>
      <w:tr>
        <w:trPr>
          <w:cantSplit/>
        </w:trPr>
        <w:tc>
          <w:tcPr>
            <w:tcW w:type="dxa" w:w="5233"/>
            <w:tcMar>
              <w:top w:type="dxa" w:w="20"/>
              <w:left w:type="dxa" w:w="40"/>
              <w:bottom w:type="dxa" w:w="20"/>
              <w:right w:type="dxa" w:w="140"/>
            </w:tcMar>
          </w:tcPr>
          <w:p>
            <w:pPr>
              <w:spacing w:after="15" w:before="15" w:line="235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5.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Chez l'enfant, la fracture de la clavicule consolide en trois semaines (bois vert).</w:t>
            </w: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  V[ ] F[ ]</w:t>
            </w:r>
          </w:p>
        </w:tc>
        <w:tc>
          <w:tcPr>
            <w:tcW w:type="dxa" w:w="5233"/>
            <w:tcMar>
              <w:top w:type="dxa" w:w="20"/>
              <w:left w:type="dxa" w:w="140"/>
              <w:bottom w:type="dxa" w:w="20"/>
              <w:right w:type="dxa" w:w="40"/>
            </w:tcMar>
          </w:tcPr>
          <w:p>
            <w:pPr>
              <w:spacing w:after="15" w:before="15" w:line="235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23.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La rotule est reliée au fémur par le ligament rotulien et à la jambe par le tendon quadricipital.</w:t>
            </w: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  V[ ] F[ ]</w:t>
            </w:r>
          </w:p>
        </w:tc>
      </w:tr>
      <w:tr>
        <w:trPr>
          <w:cantSplit/>
        </w:trPr>
        <w:tc>
          <w:tcPr>
            <w:tcW w:type="dxa" w:w="5233"/>
            <w:tcMar>
              <w:top w:type="dxa" w:w="20"/>
              <w:left w:type="dxa" w:w="40"/>
              <w:bottom w:type="dxa" w:w="20"/>
              <w:right w:type="dxa" w:w="140"/>
            </w:tcMar>
          </w:tcPr>
          <w:p>
            <w:pPr>
              <w:spacing w:after="15" w:before="15" w:line="235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6.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Devant une fracture de la clavicule, il est indispensable de rechercher une mobilité anormale.</w:t>
            </w: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  V[ ] F[ ]</w:t>
            </w:r>
          </w:p>
        </w:tc>
        <w:tc>
          <w:tcPr>
            <w:tcW w:type="dxa" w:w="5233"/>
            <w:tcMar>
              <w:top w:type="dxa" w:w="20"/>
              <w:left w:type="dxa" w:w="140"/>
              <w:bottom w:type="dxa" w:w="20"/>
              <w:right w:type="dxa" w:w="40"/>
            </w:tcMar>
          </w:tcPr>
          <w:p>
            <w:pPr>
              <w:spacing w:after="15" w:before="15" w:line="235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24.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La majorité des fractures de la rotule nécessitent un traitement chirurgical.</w:t>
            </w: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  V[ ] F[ ]</w:t>
            </w:r>
          </w:p>
        </w:tc>
      </w:tr>
      <w:tr>
        <w:trPr>
          <w:cantSplit/>
        </w:trPr>
        <w:tc>
          <w:tcPr>
            <w:tcW w:type="dxa" w:w="5233"/>
            <w:tcMar>
              <w:top w:type="dxa" w:w="20"/>
              <w:left w:type="dxa" w:w="40"/>
              <w:bottom w:type="dxa" w:w="20"/>
              <w:right w:type="dxa" w:w="140"/>
            </w:tcMar>
          </w:tcPr>
          <w:p>
            <w:pPr>
              <w:spacing w:after="15" w:before="15" w:line="235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7.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La luxation antéro-interne est la variété la plus fréquente des luxations de l'épaule.</w:t>
            </w: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  V[ ] F[ ]</w:t>
            </w:r>
          </w:p>
        </w:tc>
        <w:tc>
          <w:tcPr>
            <w:tcW w:type="dxa" w:w="5233"/>
            <w:tcMar>
              <w:top w:type="dxa" w:w="20"/>
              <w:left w:type="dxa" w:w="140"/>
              <w:bottom w:type="dxa" w:w="20"/>
              <w:right w:type="dxa" w:w="40"/>
            </w:tcMar>
          </w:tcPr>
          <w:p>
            <w:pPr>
              <w:spacing w:after="15" w:before="15" w:line="235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25.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Les traumatismes du bassin exposent à des complications vasculo-nerveuses et urinaires graves.</w:t>
            </w: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  V[ ] F[ ]</w:t>
            </w:r>
          </w:p>
        </w:tc>
      </w:tr>
      <w:tr>
        <w:trPr>
          <w:cantSplit/>
        </w:trPr>
        <w:tc>
          <w:tcPr>
            <w:tcW w:type="dxa" w:w="5233"/>
            <w:tcMar>
              <w:top w:type="dxa" w:w="20"/>
              <w:left w:type="dxa" w:w="40"/>
              <w:bottom w:type="dxa" w:w="20"/>
              <w:right w:type="dxa" w:w="140"/>
            </w:tcMar>
          </w:tcPr>
          <w:p>
            <w:pPr>
              <w:spacing w:after="15" w:before="15" w:line="235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8.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Le signe de Berger correspond à l'impossibilité de réaliser l'adduction du bras.</w:t>
            </w: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  V[ ] F[ ]</w:t>
            </w:r>
          </w:p>
        </w:tc>
        <w:tc>
          <w:tcPr>
            <w:tcW w:type="dxa" w:w="5233"/>
            <w:tcMar>
              <w:top w:type="dxa" w:w="20"/>
              <w:left w:type="dxa" w:w="140"/>
              <w:bottom w:type="dxa" w:w="20"/>
              <w:right w:type="dxa" w:w="40"/>
            </w:tcMar>
          </w:tcPr>
          <w:p>
            <w:pPr>
              <w:spacing w:after="15" w:before="15" w:line="235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26.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Le traitement orthopédique du bassin peut comporter un repos au lit sur plan dur pendant 45 jours.</w:t>
            </w: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  V[ ] F[ ]</w:t>
            </w:r>
          </w:p>
        </w:tc>
      </w:tr>
      <w:tr>
        <w:trPr>
          <w:cantSplit/>
        </w:trPr>
        <w:tc>
          <w:tcPr>
            <w:tcW w:type="dxa" w:w="5233"/>
            <w:tcMar>
              <w:top w:type="dxa" w:w="20"/>
              <w:left w:type="dxa" w:w="40"/>
              <w:bottom w:type="dxa" w:w="20"/>
              <w:right w:type="dxa" w:w="140"/>
            </w:tcMar>
          </w:tcPr>
          <w:p>
            <w:pPr>
              <w:spacing w:after="15" w:before="15" w:line="235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9.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La luxation de l'épaule n'est jamais considérée comme une urgence orthopédique.</w:t>
            </w: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  V[ ] F[ ]</w:t>
            </w:r>
          </w:p>
        </w:tc>
        <w:tc>
          <w:tcPr>
            <w:tcW w:type="dxa" w:w="5233"/>
            <w:tcMar>
              <w:top w:type="dxa" w:w="20"/>
              <w:left w:type="dxa" w:w="140"/>
              <w:bottom w:type="dxa" w:w="20"/>
              <w:right w:type="dxa" w:w="40"/>
            </w:tcMar>
          </w:tcPr>
          <w:p>
            <w:pPr>
              <w:spacing w:after="15" w:before="15" w:line="235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27.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Une fracture du bassin ne peut jamais s'accompagner d'un état de choc hémodynamique.</w:t>
            </w: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  V[ ] F[ ]</w:t>
            </w:r>
          </w:p>
        </w:tc>
      </w:tr>
      <w:tr>
        <w:trPr>
          <w:cantSplit/>
        </w:trPr>
        <w:tc>
          <w:tcPr>
            <w:tcW w:type="dxa" w:w="5233"/>
            <w:tcMar>
              <w:top w:type="dxa" w:w="20"/>
              <w:left w:type="dxa" w:w="40"/>
              <w:bottom w:type="dxa" w:w="20"/>
              <w:right w:type="dxa" w:w="140"/>
            </w:tcMar>
          </w:tcPr>
          <w:p>
            <w:pPr>
              <w:spacing w:after="15" w:before="15" w:line="235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10.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La contracture de Volkmann est la complication la plus grave des fractures supracondyliennes de l'humérus.</w:t>
            </w: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  V[ ] F[ ]</w:t>
            </w:r>
          </w:p>
        </w:tc>
        <w:tc>
          <w:tcPr>
            <w:tcW w:type="dxa" w:w="5233"/>
            <w:tcMar>
              <w:top w:type="dxa" w:w="20"/>
              <w:left w:type="dxa" w:w="140"/>
              <w:bottom w:type="dxa" w:w="20"/>
              <w:right w:type="dxa" w:w="40"/>
            </w:tcMar>
          </w:tcPr>
          <w:p>
            <w:pPr>
              <w:spacing w:after="15" w:before="15" w:line="235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28.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En phase primaire (pré-choc), on observe une hémoconcentration avec élévation de l'hématocrite.</w:t>
            </w: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  V[ ] F[ ]</w:t>
            </w:r>
          </w:p>
        </w:tc>
      </w:tr>
      <w:tr>
        <w:trPr>
          <w:cantSplit/>
        </w:trPr>
        <w:tc>
          <w:tcPr>
            <w:tcW w:type="dxa" w:w="5233"/>
            <w:tcMar>
              <w:top w:type="dxa" w:w="20"/>
              <w:left w:type="dxa" w:w="40"/>
              <w:bottom w:type="dxa" w:w="20"/>
              <w:right w:type="dxa" w:w="140"/>
            </w:tcMar>
          </w:tcPr>
          <w:p>
            <w:pPr>
              <w:spacing w:after="15" w:before="15" w:line="235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11.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Le nerf radial peut être lésé dans les fractures du corps (diaphyse) de l'humérus.</w:t>
            </w: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  V[ ] F[ ]</w:t>
            </w:r>
          </w:p>
        </w:tc>
        <w:tc>
          <w:tcPr>
            <w:tcW w:type="dxa" w:w="5233"/>
            <w:tcMar>
              <w:top w:type="dxa" w:w="20"/>
              <w:left w:type="dxa" w:w="140"/>
              <w:bottom w:type="dxa" w:w="20"/>
              <w:right w:type="dxa" w:w="40"/>
            </w:tcMar>
          </w:tcPr>
          <w:p>
            <w:pPr>
              <w:spacing w:after="15" w:before="15" w:line="235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29.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En phase de choc compensé, la diurèse est habituellement supérieure à 100 ml/heure.</w:t>
            </w: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  V[ ] F[ ]</w:t>
            </w:r>
          </w:p>
        </w:tc>
      </w:tr>
      <w:tr>
        <w:trPr>
          <w:cantSplit/>
        </w:trPr>
        <w:tc>
          <w:tcPr>
            <w:tcW w:type="dxa" w:w="5233"/>
            <w:tcMar>
              <w:top w:type="dxa" w:w="20"/>
              <w:left w:type="dxa" w:w="40"/>
              <w:bottom w:type="dxa" w:w="20"/>
              <w:right w:type="dxa" w:w="140"/>
            </w:tcMar>
          </w:tcPr>
          <w:p>
            <w:pPr>
              <w:spacing w:after="15" w:before="15" w:line="235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12.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Les fractures de l'humérus se traitent uniquement par méthode orthopédique, jamais par chirurgie.</w:t>
            </w: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  V[ ] F[ ]</w:t>
            </w:r>
          </w:p>
        </w:tc>
        <w:tc>
          <w:tcPr>
            <w:tcW w:type="dxa" w:w="5233"/>
            <w:tcMar>
              <w:top w:type="dxa" w:w="20"/>
              <w:left w:type="dxa" w:w="140"/>
              <w:bottom w:type="dxa" w:w="20"/>
              <w:right w:type="dxa" w:w="40"/>
            </w:tcMar>
          </w:tcPr>
          <w:p>
            <w:pPr>
              <w:spacing w:after="15" w:before="15" w:line="235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30.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La pression veineuse centrale normale se situe entre 3 et 8 cm H2O.</w:t>
            </w: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  V[ ] F[ ]</w:t>
            </w:r>
          </w:p>
        </w:tc>
      </w:tr>
      <w:tr>
        <w:trPr>
          <w:cantSplit/>
        </w:trPr>
        <w:tc>
          <w:tcPr>
            <w:tcW w:type="dxa" w:w="5233"/>
            <w:tcMar>
              <w:top w:type="dxa" w:w="20"/>
              <w:left w:type="dxa" w:w="40"/>
              <w:bottom w:type="dxa" w:w="20"/>
              <w:right w:type="dxa" w:w="140"/>
            </w:tcMar>
          </w:tcPr>
          <w:p>
            <w:pPr>
              <w:spacing w:after="15" w:before="15" w:line="235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13.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La fracture de Pouteau-Colles touche l'extrémité inférieure du radius, surtout chez le sujet ostéoporotique.</w:t>
            </w: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  V[ ] F[ ]</w:t>
            </w:r>
          </w:p>
        </w:tc>
        <w:tc>
          <w:tcPr>
            <w:tcW w:type="dxa" w:w="5233"/>
            <w:tcMar>
              <w:top w:type="dxa" w:w="20"/>
              <w:left w:type="dxa" w:w="140"/>
              <w:bottom w:type="dxa" w:w="20"/>
              <w:right w:type="dxa" w:w="40"/>
            </w:tcMar>
          </w:tcPr>
          <w:p>
            <w:pPr>
              <w:spacing w:after="15" w:before="15" w:line="235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31.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Un pouls accéléré, petit et filant malgré le traitement est un signe de bon pronostic.</w:t>
            </w: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  V[ ] F[ ]</w:t>
            </w:r>
          </w:p>
        </w:tc>
      </w:tr>
      <w:tr>
        <w:trPr>
          <w:cantSplit/>
        </w:trPr>
        <w:tc>
          <w:tcPr>
            <w:tcW w:type="dxa" w:w="5233"/>
            <w:tcMar>
              <w:top w:type="dxa" w:w="20"/>
              <w:left w:type="dxa" w:w="40"/>
              <w:bottom w:type="dxa" w:w="20"/>
              <w:right w:type="dxa" w:w="140"/>
            </w:tcMar>
          </w:tcPr>
          <w:p>
            <w:pPr>
              <w:spacing w:after="15" w:before="15" w:line="235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14.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Le syndrome de Volkmann débutant impose de renforcer le plâtre pour calmer la douleur.</w:t>
            </w: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  V[ ] F[ ]</w:t>
            </w:r>
          </w:p>
        </w:tc>
        <w:tc>
          <w:tcPr>
            <w:tcW w:type="dxa" w:w="5233"/>
            <w:tcMar>
              <w:top w:type="dxa" w:w="20"/>
              <w:left w:type="dxa" w:w="140"/>
              <w:bottom w:type="dxa" w:w="20"/>
              <w:right w:type="dxa" w:w="40"/>
            </w:tcMar>
          </w:tcPr>
          <w:p>
            <w:pPr>
              <w:spacing w:after="15" w:before="15" w:line="235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32.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Empoigner un blessé sous les aisselles peut provoquer la chute de la langue en arrière.</w:t>
            </w: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  V[ ] F[ ]</w:t>
            </w:r>
          </w:p>
        </w:tc>
      </w:tr>
      <w:tr>
        <w:trPr>
          <w:cantSplit/>
        </w:trPr>
        <w:tc>
          <w:tcPr>
            <w:tcW w:type="dxa" w:w="5233"/>
            <w:tcMar>
              <w:top w:type="dxa" w:w="20"/>
              <w:left w:type="dxa" w:w="40"/>
              <w:bottom w:type="dxa" w:w="20"/>
              <w:right w:type="dxa" w:w="140"/>
            </w:tcMar>
          </w:tcPr>
          <w:p>
            <w:pPr>
              <w:spacing w:after="15" w:before="15" w:line="235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15.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Les fractures de l'avant-bras chez l'enfant sont souvent incomplètes, dites en bois vert.</w:t>
            </w: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  V[ ] F[ ]</w:t>
            </w:r>
          </w:p>
        </w:tc>
        <w:tc>
          <w:tcPr>
            <w:tcW w:type="dxa" w:w="5233"/>
            <w:tcMar>
              <w:top w:type="dxa" w:w="20"/>
              <w:left w:type="dxa" w:w="140"/>
              <w:bottom w:type="dxa" w:w="20"/>
              <w:right w:type="dxa" w:w="40"/>
            </w:tcMar>
          </w:tcPr>
          <w:p>
            <w:pPr>
              <w:spacing w:after="15" w:before="15" w:line="235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33.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Il faut donner à boire au blessé de la route pour éviter la déshydratation pendant le transport.</w:t>
            </w: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  V[ ] F[ ]</w:t>
            </w:r>
          </w:p>
        </w:tc>
      </w:tr>
      <w:tr>
        <w:trPr>
          <w:cantSplit/>
        </w:trPr>
        <w:tc>
          <w:tcPr>
            <w:tcW w:type="dxa" w:w="5233"/>
            <w:tcMar>
              <w:top w:type="dxa" w:w="20"/>
              <w:left w:type="dxa" w:w="40"/>
              <w:bottom w:type="dxa" w:w="20"/>
              <w:right w:type="dxa" w:w="140"/>
            </w:tcMar>
          </w:tcPr>
          <w:p>
            <w:pPr>
              <w:spacing w:after="15" w:before="15" w:line="235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16.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Chez l'enfant de moins de 5 ans, la fracture du fémur peut être traitée par traction au zénith.</w:t>
            </w: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  V[ ] F[ ]</w:t>
            </w:r>
          </w:p>
        </w:tc>
        <w:tc>
          <w:tcPr>
            <w:tcW w:type="dxa" w:w="5233"/>
            <w:tcMar>
              <w:top w:type="dxa" w:w="20"/>
              <w:left w:type="dxa" w:w="140"/>
              <w:bottom w:type="dxa" w:w="20"/>
              <w:right w:type="dxa" w:w="40"/>
            </w:tcMar>
          </w:tcPr>
          <w:p>
            <w:pPr>
              <w:spacing w:after="15" w:before="15" w:line="235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34.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« Polytraumatisé » et « poly-fracturé » sont des termes strictement synonymes.</w:t>
            </w: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  V[ ] F[ ]</w:t>
            </w:r>
          </w:p>
        </w:tc>
      </w:tr>
      <w:tr>
        <w:trPr>
          <w:cantSplit/>
        </w:trPr>
        <w:tc>
          <w:tcPr>
            <w:tcW w:type="dxa" w:w="5233"/>
            <w:tcMar>
              <w:top w:type="dxa" w:w="20"/>
              <w:left w:type="dxa" w:w="40"/>
              <w:bottom w:type="dxa" w:w="20"/>
              <w:right w:type="dxa" w:w="140"/>
            </w:tcMar>
          </w:tcPr>
          <w:p>
            <w:pPr>
              <w:spacing w:after="15" w:before="15" w:line="235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17.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Les méthodes orthopédiques sont le traitement de première intention des fractures du fémur de l'adulte.</w:t>
            </w: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  V[ ] F[ ]</w:t>
            </w:r>
          </w:p>
        </w:tc>
        <w:tc>
          <w:tcPr>
            <w:tcW w:type="dxa" w:w="5233"/>
            <w:tcMar>
              <w:top w:type="dxa" w:w="20"/>
              <w:left w:type="dxa" w:w="140"/>
              <w:bottom w:type="dxa" w:w="20"/>
              <w:right w:type="dxa" w:w="40"/>
            </w:tcMar>
          </w:tcPr>
          <w:p>
            <w:pPr>
              <w:spacing w:after="15" w:before="15" w:line="235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35.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Chez le polytraumatisé, la ponction-lavage ou l'échographie abdominale doit être un geste systématique.</w:t>
            </w: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  V[ ] F[ ]</w:t>
            </w:r>
          </w:p>
        </w:tc>
      </w:tr>
      <w:tr>
        <w:trPr>
          <w:cantSplit/>
        </w:trPr>
        <w:tc>
          <w:tcPr>
            <w:tcW w:type="dxa" w:w="5233"/>
            <w:tcMar>
              <w:top w:type="dxa" w:w="20"/>
              <w:left w:type="dxa" w:w="40"/>
              <w:bottom w:type="dxa" w:w="20"/>
              <w:right w:type="dxa" w:w="140"/>
            </w:tcMar>
          </w:tcPr>
          <w:p>
            <w:pPr>
              <w:spacing w:after="15" w:before="15" w:line="235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18.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La surveillance des redons doit vérifier l'absence de bulles d'air, gage d'étanchéité.</w:t>
            </w: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  V[ ] F[ ]</w:t>
            </w:r>
          </w:p>
        </w:tc>
        <w:tc>
          <w:tcPr>
            <w:tcW w:type="dxa" w:w="5233"/>
            <w:tcMar>
              <w:top w:type="dxa" w:w="20"/>
              <w:left w:type="dxa" w:w="140"/>
              <w:bottom w:type="dxa" w:w="20"/>
              <w:right w:type="dxa" w:w="40"/>
            </w:tcMar>
          </w:tcPr>
          <w:p/>
        </w:tc>
      </w:tr>
    </w:tbl>
    <w:p>
      <w:pPr>
        <w:spacing w:after="0" w:before="60"/>
      </w:pPr>
    </w:p>
    <w:tbl>
      <w:tblPr>
        <w:tblW w:type="dxa" w:w="104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466"/>
      </w:tblGrid>
      <w:tr>
        <w:trPr>
          <w:cantSplit/>
        </w:trPr>
        <w:tc>
          <w:tcPr>
            <w:tcW w:type="dxa" w:w="10466"/>
            <w:shd w:fill="8C1D40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II.  QUESTIONS À CHOIX MULTIPLE (QCM)   (25 questions)</w:t>
            </w:r>
          </w:p>
        </w:tc>
      </w:tr>
    </w:tbl>
    <w:p>
      <w:pPr>
        <w:keepNext/>
        <w:spacing w:after="30" w:before="70"/>
      </w:pPr>
      <w:r>
        <w:rPr>
          <w:rFonts w:ascii="Calibri" w:cs="Calibri" w:eastAsia="Calibri" w:hAnsi="Calibri"/>
          <w:b/>
          <w:bCs/>
          <w:color w:val="8C1D40"/>
          <w:sz w:val="21"/>
          <w:szCs w:val="21"/>
        </w:rPr>
        <w:t xml:space="preserve">1.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Parmi ces examens, lequel n'appartient PAS au bilan initial d'un traumatisme thoracique ?</w:t>
      </w:r>
    </w:p>
    <w:tbl>
      <w:tblPr>
        <w:tblW w:type="dxa" w:w="104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233"/>
        <w:gridCol w:w="5233"/>
      </w:tblGrid>
      <w:tr>
        <w:trPr>
          <w:cantSplit/>
        </w:trPr>
        <w:tc>
          <w:tcPr>
            <w:tcW w:type="dxa" w:w="5233"/>
            <w:tcMar>
              <w:top w:type="dxa" w:w="10"/>
              <w:left w:type="dxa" w:w="90"/>
              <w:bottom w:type="dxa" w:w="35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A.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Radiographie thoracique de face</w:t>
            </w:r>
          </w:p>
        </w:tc>
        <w:tc>
          <w:tcPr>
            <w:tcW w:type="dxa" w:w="5233"/>
            <w:tcMar>
              <w:top w:type="dxa" w:w="10"/>
              <w:left w:type="dxa" w:w="90"/>
              <w:bottom w:type="dxa" w:w="35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B.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Scanner thoracique</w:t>
            </w:r>
          </w:p>
        </w:tc>
      </w:tr>
      <w:tr>
        <w:trPr>
          <w:cantSplit/>
        </w:trPr>
        <w:tc>
          <w:tcPr>
            <w:tcW w:type="dxa" w:w="5233"/>
            <w:tcMar>
              <w:top w:type="dxa" w:w="10"/>
              <w:left w:type="dxa" w:w="90"/>
              <w:bottom w:type="dxa" w:w="35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C.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Numération formule sanguine (NFS)</w:t>
            </w:r>
          </w:p>
        </w:tc>
        <w:tc>
          <w:tcPr>
            <w:tcW w:type="dxa" w:w="5233"/>
            <w:tcMar>
              <w:top w:type="dxa" w:w="10"/>
              <w:left w:type="dxa" w:w="90"/>
              <w:bottom w:type="dxa" w:w="35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D.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Coloscopie</w:t>
            </w:r>
          </w:p>
        </w:tc>
      </w:tr>
    </w:tbl>
    <w:p>
      <w:pPr>
        <w:keepNext/>
        <w:spacing w:after="30" w:before="70"/>
      </w:pPr>
      <w:r>
        <w:rPr>
          <w:rFonts w:ascii="Calibri" w:cs="Calibri" w:eastAsia="Calibri" w:hAnsi="Calibri"/>
          <w:b/>
          <w:bCs/>
          <w:color w:val="8C1D40"/>
          <w:sz w:val="21"/>
          <w:szCs w:val="21"/>
        </w:rPr>
        <w:t xml:space="preserve">2.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Quel signe clinique évoque un hémopéricarde avec tamponnade cardiaque ?</w:t>
      </w:r>
    </w:p>
    <w:tbl>
      <w:tblPr>
        <w:tblW w:type="dxa" w:w="104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233"/>
        <w:gridCol w:w="5233"/>
      </w:tblGrid>
      <w:tr>
        <w:trPr>
          <w:cantSplit/>
        </w:trPr>
        <w:tc>
          <w:tcPr>
            <w:tcW w:type="dxa" w:w="5233"/>
            <w:tcMar>
              <w:top w:type="dxa" w:w="10"/>
              <w:left w:type="dxa" w:w="90"/>
              <w:bottom w:type="dxa" w:w="35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A.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Hypersonorité à la percussion</w:t>
            </w:r>
          </w:p>
        </w:tc>
        <w:tc>
          <w:tcPr>
            <w:tcW w:type="dxa" w:w="5233"/>
            <w:tcMar>
              <w:top w:type="dxa" w:w="10"/>
              <w:left w:type="dxa" w:w="90"/>
              <w:bottom w:type="dxa" w:w="35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B.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Bruits du cœur assourdis et pouls petit et filant</w:t>
            </w:r>
          </w:p>
        </w:tc>
      </w:tr>
      <w:tr>
        <w:trPr>
          <w:cantSplit/>
        </w:trPr>
        <w:tc>
          <w:tcPr>
            <w:tcW w:type="dxa" w:w="5233"/>
            <w:tcMar>
              <w:top w:type="dxa" w:w="10"/>
              <w:left w:type="dxa" w:w="90"/>
              <w:bottom w:type="dxa" w:w="35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C.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Murmure vésiculaire augmenté</w:t>
            </w:r>
          </w:p>
        </w:tc>
        <w:tc>
          <w:tcPr>
            <w:tcW w:type="dxa" w:w="5233"/>
            <w:tcMar>
              <w:top w:type="dxa" w:w="10"/>
              <w:left w:type="dxa" w:w="90"/>
              <w:bottom w:type="dxa" w:w="35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D.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Voix cassée isolée</w:t>
            </w:r>
          </w:p>
        </w:tc>
      </w:tr>
    </w:tbl>
    <w:p>
      <w:pPr>
        <w:keepNext/>
        <w:spacing w:after="30" w:before="70"/>
      </w:pPr>
      <w:r>
        <w:rPr>
          <w:rFonts w:ascii="Calibri" w:cs="Calibri" w:eastAsia="Calibri" w:hAnsi="Calibri"/>
          <w:b/>
          <w:bCs/>
          <w:color w:val="8C1D40"/>
          <w:sz w:val="21"/>
          <w:szCs w:val="21"/>
        </w:rPr>
        <w:t xml:space="preserve">3.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Quelle est la fréquence des fractures du tiers externe de la clavicule ?</w:t>
      </w:r>
    </w:p>
    <w:tbl>
      <w:tblPr>
        <w:tblW w:type="dxa" w:w="104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233"/>
        <w:gridCol w:w="5233"/>
      </w:tblGrid>
      <w:tr>
        <w:trPr>
          <w:cantSplit/>
        </w:trPr>
        <w:tc>
          <w:tcPr>
            <w:tcW w:type="dxa" w:w="5233"/>
            <w:tcMar>
              <w:top w:type="dxa" w:w="10"/>
              <w:left w:type="dxa" w:w="90"/>
              <w:bottom w:type="dxa" w:w="35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A.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1 à 3 %</w:t>
            </w:r>
          </w:p>
        </w:tc>
        <w:tc>
          <w:tcPr>
            <w:tcW w:type="dxa" w:w="5233"/>
            <w:tcMar>
              <w:top w:type="dxa" w:w="10"/>
              <w:left w:type="dxa" w:w="90"/>
              <w:bottom w:type="dxa" w:w="35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B.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20 %</w:t>
            </w:r>
          </w:p>
        </w:tc>
      </w:tr>
      <w:tr>
        <w:trPr>
          <w:cantSplit/>
        </w:trPr>
        <w:tc>
          <w:tcPr>
            <w:tcW w:type="dxa" w:w="5233"/>
            <w:tcMar>
              <w:top w:type="dxa" w:w="10"/>
              <w:left w:type="dxa" w:w="90"/>
              <w:bottom w:type="dxa" w:w="35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C.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75 %</w:t>
            </w:r>
          </w:p>
        </w:tc>
        <w:tc>
          <w:tcPr>
            <w:tcW w:type="dxa" w:w="5233"/>
            <w:tcMar>
              <w:top w:type="dxa" w:w="10"/>
              <w:left w:type="dxa" w:w="90"/>
              <w:bottom w:type="dxa" w:w="35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D.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50 %</w:t>
            </w:r>
          </w:p>
        </w:tc>
      </w:tr>
    </w:tbl>
    <w:p>
      <w:pPr>
        <w:keepNext/>
        <w:spacing w:after="30" w:before="70"/>
      </w:pPr>
      <w:r>
        <w:rPr>
          <w:rFonts w:ascii="Calibri" w:cs="Calibri" w:eastAsia="Calibri" w:hAnsi="Calibri"/>
          <w:b/>
          <w:bCs/>
          <w:color w:val="8C1D40"/>
          <w:sz w:val="21"/>
          <w:szCs w:val="21"/>
        </w:rPr>
        <w:t xml:space="preserve">4.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Quel moyen de contention orthopédique est cité pour une fracture simple de la clavicule ?</w:t>
      </w:r>
    </w:p>
    <w:tbl>
      <w:tblPr>
        <w:tblW w:type="dxa" w:w="104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233"/>
        <w:gridCol w:w="5233"/>
      </w:tblGrid>
      <w:tr>
        <w:trPr>
          <w:cantSplit/>
        </w:trPr>
        <w:tc>
          <w:tcPr>
            <w:tcW w:type="dxa" w:w="5233"/>
            <w:tcMar>
              <w:top w:type="dxa" w:w="10"/>
              <w:left w:type="dxa" w:w="90"/>
              <w:bottom w:type="dxa" w:w="35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A.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Traction au zénith</w:t>
            </w:r>
          </w:p>
        </w:tc>
        <w:tc>
          <w:tcPr>
            <w:tcW w:type="dxa" w:w="5233"/>
            <w:tcMar>
              <w:top w:type="dxa" w:w="10"/>
              <w:left w:type="dxa" w:w="90"/>
              <w:bottom w:type="dxa" w:w="35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B.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Bandage en huit de chiffre</w:t>
            </w:r>
          </w:p>
        </w:tc>
      </w:tr>
      <w:tr>
        <w:trPr>
          <w:cantSplit/>
        </w:trPr>
        <w:tc>
          <w:tcPr>
            <w:tcW w:type="dxa" w:w="5233"/>
            <w:tcMar>
              <w:top w:type="dxa" w:w="10"/>
              <w:left w:type="dxa" w:w="90"/>
              <w:bottom w:type="dxa" w:w="35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C.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Plâtre pelvi-pédieux</w:t>
            </w:r>
          </w:p>
        </w:tc>
        <w:tc>
          <w:tcPr>
            <w:tcW w:type="dxa" w:w="5233"/>
            <w:tcMar>
              <w:top w:type="dxa" w:w="10"/>
              <w:left w:type="dxa" w:w="90"/>
              <w:bottom w:type="dxa" w:w="35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D.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Attelle de Böhler</w:t>
            </w:r>
          </w:p>
        </w:tc>
      </w:tr>
    </w:tbl>
    <w:p>
      <w:pPr>
        <w:keepNext/>
        <w:spacing w:after="30" w:before="70"/>
      </w:pPr>
      <w:r>
        <w:rPr>
          <w:rFonts w:ascii="Calibri" w:cs="Calibri" w:eastAsia="Calibri" w:hAnsi="Calibri"/>
          <w:b/>
          <w:bCs/>
          <w:color w:val="8C1D40"/>
          <w:sz w:val="21"/>
          <w:szCs w:val="21"/>
        </w:rPr>
        <w:t xml:space="preserve">5.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Quel signe correspond à l'aplatissement du moignon de l'épaule avec coup de hache externe ?</w:t>
      </w:r>
    </w:p>
    <w:tbl>
      <w:tblPr>
        <w:tblW w:type="dxa" w:w="104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233"/>
        <w:gridCol w:w="5233"/>
      </w:tblGrid>
      <w:tr>
        <w:trPr>
          <w:cantSplit/>
        </w:trPr>
        <w:tc>
          <w:tcPr>
            <w:tcW w:type="dxa" w:w="5233"/>
            <w:tcMar>
              <w:top w:type="dxa" w:w="10"/>
              <w:left w:type="dxa" w:w="90"/>
              <w:bottom w:type="dxa" w:w="35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A.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Signe de Berger</w:t>
            </w:r>
          </w:p>
        </w:tc>
        <w:tc>
          <w:tcPr>
            <w:tcW w:type="dxa" w:w="5233"/>
            <w:tcMar>
              <w:top w:type="dxa" w:w="10"/>
              <w:left w:type="dxa" w:w="90"/>
              <w:bottom w:type="dxa" w:w="35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B.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Signe de l'épaulette</w:t>
            </w:r>
          </w:p>
        </w:tc>
      </w:tr>
      <w:tr>
        <w:trPr>
          <w:cantSplit/>
        </w:trPr>
        <w:tc>
          <w:tcPr>
            <w:tcW w:type="dxa" w:w="5233"/>
            <w:tcMar>
              <w:top w:type="dxa" w:w="10"/>
              <w:left w:type="dxa" w:w="90"/>
              <w:bottom w:type="dxa" w:w="35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C.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Signe d'Oudard</w:t>
            </w:r>
          </w:p>
        </w:tc>
        <w:tc>
          <w:tcPr>
            <w:tcW w:type="dxa" w:w="5233"/>
            <w:tcMar>
              <w:top w:type="dxa" w:w="10"/>
              <w:left w:type="dxa" w:w="90"/>
              <w:bottom w:type="dxa" w:w="35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D.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Attitude de Dessault</w:t>
            </w:r>
          </w:p>
        </w:tc>
      </w:tr>
    </w:tbl>
    <w:p>
      <w:pPr>
        <w:keepNext/>
        <w:spacing w:after="30" w:before="70"/>
      </w:pPr>
      <w:r>
        <w:rPr>
          <w:rFonts w:ascii="Calibri" w:cs="Calibri" w:eastAsia="Calibri" w:hAnsi="Calibri"/>
          <w:b/>
          <w:bCs/>
          <w:color w:val="8C1D40"/>
          <w:sz w:val="21"/>
          <w:szCs w:val="21"/>
        </w:rPr>
        <w:t xml:space="preserve">6.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Après réduction d'une luxation antéro-interne de l'épaule, l'immobilisation dure habituellement :</w:t>
      </w:r>
    </w:p>
    <w:tbl>
      <w:tblPr>
        <w:tblW w:type="dxa" w:w="104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233"/>
        <w:gridCol w:w="5233"/>
      </w:tblGrid>
      <w:tr>
        <w:trPr>
          <w:cantSplit/>
        </w:trPr>
        <w:tc>
          <w:tcPr>
            <w:tcW w:type="dxa" w:w="5233"/>
            <w:tcMar>
              <w:top w:type="dxa" w:w="10"/>
              <w:left w:type="dxa" w:w="90"/>
              <w:bottom w:type="dxa" w:w="35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A.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24 à 48 heures</w:t>
            </w:r>
          </w:p>
        </w:tc>
        <w:tc>
          <w:tcPr>
            <w:tcW w:type="dxa" w:w="5233"/>
            <w:tcMar>
              <w:top w:type="dxa" w:w="10"/>
              <w:left w:type="dxa" w:w="90"/>
              <w:bottom w:type="dxa" w:w="35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B.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1 à 2 semaines</w:t>
            </w:r>
          </w:p>
        </w:tc>
      </w:tr>
      <w:tr>
        <w:trPr>
          <w:cantSplit/>
        </w:trPr>
        <w:tc>
          <w:tcPr>
            <w:tcW w:type="dxa" w:w="5233"/>
            <w:tcMar>
              <w:top w:type="dxa" w:w="10"/>
              <w:left w:type="dxa" w:w="90"/>
              <w:bottom w:type="dxa" w:w="35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C.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3 à 6 semaines</w:t>
            </w:r>
          </w:p>
        </w:tc>
        <w:tc>
          <w:tcPr>
            <w:tcW w:type="dxa" w:w="5233"/>
            <w:tcMar>
              <w:top w:type="dxa" w:w="10"/>
              <w:left w:type="dxa" w:w="90"/>
              <w:bottom w:type="dxa" w:w="35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D.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6 mois</w:t>
            </w:r>
          </w:p>
        </w:tc>
      </w:tr>
    </w:tbl>
    <w:p>
      <w:pPr>
        <w:keepNext/>
        <w:spacing w:after="30" w:before="70"/>
      </w:pPr>
      <w:r>
        <w:rPr>
          <w:rFonts w:ascii="Calibri" w:cs="Calibri" w:eastAsia="Calibri" w:hAnsi="Calibri"/>
          <w:b/>
          <w:bCs/>
          <w:color w:val="8C1D40"/>
          <w:sz w:val="21"/>
          <w:szCs w:val="21"/>
        </w:rPr>
        <w:t xml:space="preserve">7.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Dans quelle fracture de l'humérus le nerf médian et l'artère brachiale sont-ils particulièrement menacés ?</w:t>
      </w:r>
    </w:p>
    <w:tbl>
      <w:tblPr>
        <w:tblW w:type="dxa" w:w="104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233"/>
        <w:gridCol w:w="5233"/>
      </w:tblGrid>
      <w:tr>
        <w:trPr>
          <w:cantSplit/>
        </w:trPr>
        <w:tc>
          <w:tcPr>
            <w:tcW w:type="dxa" w:w="5233"/>
            <w:tcMar>
              <w:top w:type="dxa" w:w="10"/>
              <w:left w:type="dxa" w:w="90"/>
              <w:bottom w:type="dxa" w:w="35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A.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Fracture du corps (diaphyse)</w:t>
            </w:r>
          </w:p>
        </w:tc>
        <w:tc>
          <w:tcPr>
            <w:tcW w:type="dxa" w:w="5233"/>
            <w:tcMar>
              <w:top w:type="dxa" w:w="10"/>
              <w:left w:type="dxa" w:w="90"/>
              <w:bottom w:type="dxa" w:w="35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B.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Fracture supracondylienne</w:t>
            </w:r>
          </w:p>
        </w:tc>
      </w:tr>
      <w:tr>
        <w:trPr>
          <w:cantSplit/>
        </w:trPr>
        <w:tc>
          <w:tcPr>
            <w:tcW w:type="dxa" w:w="5233"/>
            <w:tcMar>
              <w:top w:type="dxa" w:w="10"/>
              <w:left w:type="dxa" w:w="90"/>
              <w:bottom w:type="dxa" w:w="35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C.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Fracture de l'olécrâne</w:t>
            </w:r>
          </w:p>
        </w:tc>
        <w:tc>
          <w:tcPr>
            <w:tcW w:type="dxa" w:w="5233"/>
            <w:tcMar>
              <w:top w:type="dxa" w:w="10"/>
              <w:left w:type="dxa" w:w="90"/>
              <w:bottom w:type="dxa" w:w="35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D.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Fracture de la tête humérale</w:t>
            </w:r>
          </w:p>
        </w:tc>
      </w:tr>
    </w:tbl>
    <w:p>
      <w:pPr>
        <w:keepNext/>
        <w:spacing w:after="30" w:before="70"/>
      </w:pPr>
      <w:r>
        <w:rPr>
          <w:rFonts w:ascii="Calibri" w:cs="Calibri" w:eastAsia="Calibri" w:hAnsi="Calibri"/>
          <w:b/>
          <w:bCs/>
          <w:color w:val="8C1D40"/>
          <w:sz w:val="21"/>
          <w:szCs w:val="21"/>
        </w:rPr>
        <w:t xml:space="preserve">8.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La cause la plus fréquente de la contracture de Volkmann est :</w:t>
      </w:r>
    </w:p>
    <w:tbl>
      <w:tblPr>
        <w:tblW w:type="dxa" w:w="104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233"/>
        <w:gridCol w:w="5233"/>
      </w:tblGrid>
      <w:tr>
        <w:trPr>
          <w:cantSplit/>
        </w:trPr>
        <w:tc>
          <w:tcPr>
            <w:tcW w:type="dxa" w:w="5233"/>
            <w:tcMar>
              <w:top w:type="dxa" w:w="10"/>
              <w:left w:type="dxa" w:w="90"/>
              <w:bottom w:type="dxa" w:w="35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A.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Une infection osseuse</w:t>
            </w:r>
          </w:p>
        </w:tc>
        <w:tc>
          <w:tcPr>
            <w:tcW w:type="dxa" w:w="5233"/>
            <w:tcMar>
              <w:top w:type="dxa" w:w="10"/>
              <w:left w:type="dxa" w:w="90"/>
              <w:bottom w:type="dxa" w:w="35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B.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Une compression et lésion de l'artère brachiale</w:t>
            </w:r>
          </w:p>
        </w:tc>
      </w:tr>
      <w:tr>
        <w:trPr>
          <w:cantSplit/>
        </w:trPr>
        <w:tc>
          <w:tcPr>
            <w:tcW w:type="dxa" w:w="5233"/>
            <w:tcMar>
              <w:top w:type="dxa" w:w="10"/>
              <w:left w:type="dxa" w:w="90"/>
              <w:bottom w:type="dxa" w:w="35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C.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Une atteinte du nerf phrénique</w:t>
            </w:r>
          </w:p>
        </w:tc>
        <w:tc>
          <w:tcPr>
            <w:tcW w:type="dxa" w:w="5233"/>
            <w:tcMar>
              <w:top w:type="dxa" w:w="10"/>
              <w:left w:type="dxa" w:w="90"/>
              <w:bottom w:type="dxa" w:w="35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D.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Une lésion du nerf récurrent</w:t>
            </w:r>
          </w:p>
        </w:tc>
      </w:tr>
    </w:tbl>
    <w:p>
      <w:pPr>
        <w:keepNext/>
        <w:spacing w:after="30" w:before="70"/>
      </w:pPr>
      <w:r>
        <w:rPr>
          <w:rFonts w:ascii="Calibri" w:cs="Calibri" w:eastAsia="Calibri" w:hAnsi="Calibri"/>
          <w:b/>
          <w:bCs/>
          <w:color w:val="8C1D40"/>
          <w:sz w:val="21"/>
          <w:szCs w:val="21"/>
        </w:rPr>
        <w:t xml:space="preserve">9.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La fracture de Pouteau-Colles touche :</w:t>
      </w:r>
    </w:p>
    <w:tbl>
      <w:tblPr>
        <w:tblW w:type="dxa" w:w="104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233"/>
        <w:gridCol w:w="5233"/>
      </w:tblGrid>
      <w:tr>
        <w:trPr>
          <w:cantSplit/>
        </w:trPr>
        <w:tc>
          <w:tcPr>
            <w:tcW w:type="dxa" w:w="5233"/>
            <w:tcMar>
              <w:top w:type="dxa" w:w="10"/>
              <w:left w:type="dxa" w:w="90"/>
              <w:bottom w:type="dxa" w:w="35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A.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La tête radiale</w:t>
            </w:r>
          </w:p>
        </w:tc>
        <w:tc>
          <w:tcPr>
            <w:tcW w:type="dxa" w:w="5233"/>
            <w:tcMar>
              <w:top w:type="dxa" w:w="10"/>
              <w:left w:type="dxa" w:w="90"/>
              <w:bottom w:type="dxa" w:w="35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B.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L'extrémité distale (inférieure) du radius</w:t>
            </w:r>
          </w:p>
        </w:tc>
      </w:tr>
      <w:tr>
        <w:trPr>
          <w:cantSplit/>
        </w:trPr>
        <w:tc>
          <w:tcPr>
            <w:tcW w:type="dxa" w:w="5233"/>
            <w:tcMar>
              <w:top w:type="dxa" w:w="10"/>
              <w:left w:type="dxa" w:w="90"/>
              <w:bottom w:type="dxa" w:w="35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C.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L'olécrâne</w:t>
            </w:r>
          </w:p>
        </w:tc>
        <w:tc>
          <w:tcPr>
            <w:tcW w:type="dxa" w:w="5233"/>
            <w:tcMar>
              <w:top w:type="dxa" w:w="10"/>
              <w:left w:type="dxa" w:w="90"/>
              <w:bottom w:type="dxa" w:w="35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D.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La diaphyse du cubitus</w:t>
            </w:r>
          </w:p>
        </w:tc>
      </w:tr>
    </w:tbl>
    <w:p>
      <w:pPr>
        <w:keepNext/>
        <w:spacing w:after="30" w:before="70"/>
      </w:pPr>
      <w:r>
        <w:rPr>
          <w:rFonts w:ascii="Calibri" w:cs="Calibri" w:eastAsia="Calibri" w:hAnsi="Calibri"/>
          <w:b/>
          <w:bCs/>
          <w:color w:val="8C1D40"/>
          <w:sz w:val="21"/>
          <w:szCs w:val="21"/>
        </w:rPr>
        <w:t xml:space="preserve">10.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Devant un syndrome de Volkmann débutant, le geste qui s'impose en urgence est de :</w:t>
      </w:r>
    </w:p>
    <w:tbl>
      <w:tblPr>
        <w:tblW w:type="dxa" w:w="104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233"/>
        <w:gridCol w:w="5233"/>
      </w:tblGrid>
      <w:tr>
        <w:trPr>
          <w:cantSplit/>
        </w:trPr>
        <w:tc>
          <w:tcPr>
            <w:tcW w:type="dxa" w:w="5233"/>
            <w:tcMar>
              <w:top w:type="dxa" w:w="10"/>
              <w:left w:type="dxa" w:w="90"/>
              <w:bottom w:type="dxa" w:w="35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A.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Renforcer le bandage</w:t>
            </w:r>
          </w:p>
        </w:tc>
        <w:tc>
          <w:tcPr>
            <w:tcW w:type="dxa" w:w="5233"/>
            <w:tcMar>
              <w:top w:type="dxa" w:w="10"/>
              <w:left w:type="dxa" w:w="90"/>
              <w:bottom w:type="dxa" w:w="35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B.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Surélever fortement le membre</w:t>
            </w:r>
          </w:p>
        </w:tc>
      </w:tr>
      <w:tr>
        <w:trPr>
          <w:cantSplit/>
        </w:trPr>
        <w:tc>
          <w:tcPr>
            <w:tcW w:type="dxa" w:w="5233"/>
            <w:tcMar>
              <w:top w:type="dxa" w:w="10"/>
              <w:left w:type="dxa" w:w="90"/>
              <w:bottom w:type="dxa" w:w="35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C.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Retirer immédiatement tout appareillage compressif</w:t>
            </w:r>
          </w:p>
        </w:tc>
        <w:tc>
          <w:tcPr>
            <w:tcW w:type="dxa" w:w="5233"/>
            <w:tcMar>
              <w:top w:type="dxa" w:w="10"/>
              <w:left w:type="dxa" w:w="90"/>
              <w:bottom w:type="dxa" w:w="35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D.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Attendre 24 heures avant d'agir</w:t>
            </w:r>
          </w:p>
        </w:tc>
      </w:tr>
    </w:tbl>
    <w:p>
      <w:pPr>
        <w:keepNext/>
        <w:spacing w:after="30" w:before="70"/>
      </w:pPr>
      <w:r>
        <w:rPr>
          <w:rFonts w:ascii="Calibri" w:cs="Calibri" w:eastAsia="Calibri" w:hAnsi="Calibri"/>
          <w:b/>
          <w:bCs/>
          <w:color w:val="8C1D40"/>
          <w:sz w:val="21"/>
          <w:szCs w:val="21"/>
        </w:rPr>
        <w:t xml:space="preserve">11.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Pour une fracture du fémur à composante transversale du tiers moyen, l'ostéosynthèse utilisée est :</w:t>
      </w:r>
    </w:p>
    <w:tbl>
      <w:tblPr>
        <w:tblW w:type="dxa" w:w="104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233"/>
        <w:gridCol w:w="5233"/>
      </w:tblGrid>
      <w:tr>
        <w:trPr>
          <w:cantSplit/>
        </w:trPr>
        <w:tc>
          <w:tcPr>
            <w:tcW w:type="dxa" w:w="5233"/>
            <w:tcMar>
              <w:top w:type="dxa" w:w="10"/>
              <w:left w:type="dxa" w:w="90"/>
              <w:bottom w:type="dxa" w:w="35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A.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Une plaque vissée</w:t>
            </w:r>
          </w:p>
        </w:tc>
        <w:tc>
          <w:tcPr>
            <w:tcW w:type="dxa" w:w="5233"/>
            <w:tcMar>
              <w:top w:type="dxa" w:w="10"/>
              <w:left w:type="dxa" w:w="90"/>
              <w:bottom w:type="dxa" w:w="35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B.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Un fixateur externe</w:t>
            </w:r>
          </w:p>
        </w:tc>
      </w:tr>
      <w:tr>
        <w:trPr>
          <w:cantSplit/>
        </w:trPr>
        <w:tc>
          <w:tcPr>
            <w:tcW w:type="dxa" w:w="5233"/>
            <w:tcMar>
              <w:top w:type="dxa" w:w="10"/>
              <w:left w:type="dxa" w:w="90"/>
              <w:bottom w:type="dxa" w:w="35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C.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Un clou centromédullaire</w:t>
            </w:r>
          </w:p>
        </w:tc>
        <w:tc>
          <w:tcPr>
            <w:tcW w:type="dxa" w:w="5233"/>
            <w:tcMar>
              <w:top w:type="dxa" w:w="10"/>
              <w:left w:type="dxa" w:w="90"/>
              <w:bottom w:type="dxa" w:w="35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D.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Une broche de Kirschner</w:t>
            </w:r>
          </w:p>
        </w:tc>
      </w:tr>
    </w:tbl>
    <w:p>
      <w:pPr>
        <w:keepNext/>
        <w:spacing w:after="30" w:before="70"/>
      </w:pPr>
      <w:r>
        <w:rPr>
          <w:rFonts w:ascii="Calibri" w:cs="Calibri" w:eastAsia="Calibri" w:hAnsi="Calibri"/>
          <w:b/>
          <w:bCs/>
          <w:color w:val="8C1D40"/>
          <w:sz w:val="21"/>
          <w:szCs w:val="21"/>
        </w:rPr>
        <w:t xml:space="preserve">12.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L'ablation d'une prothèse métallique du fémur est généralement envisagée après :</w:t>
      </w:r>
    </w:p>
    <w:tbl>
      <w:tblPr>
        <w:tblW w:type="dxa" w:w="104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233"/>
        <w:gridCol w:w="5233"/>
      </w:tblGrid>
      <w:tr>
        <w:trPr>
          <w:cantSplit/>
        </w:trPr>
        <w:tc>
          <w:tcPr>
            <w:tcW w:type="dxa" w:w="5233"/>
            <w:tcMar>
              <w:top w:type="dxa" w:w="10"/>
              <w:left w:type="dxa" w:w="90"/>
              <w:bottom w:type="dxa" w:w="35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A.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15 jours</w:t>
            </w:r>
          </w:p>
        </w:tc>
        <w:tc>
          <w:tcPr>
            <w:tcW w:type="dxa" w:w="5233"/>
            <w:tcMar>
              <w:top w:type="dxa" w:w="10"/>
              <w:left w:type="dxa" w:w="90"/>
              <w:bottom w:type="dxa" w:w="35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B.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1 mois</w:t>
            </w:r>
          </w:p>
        </w:tc>
      </w:tr>
      <w:tr>
        <w:trPr>
          <w:cantSplit/>
        </w:trPr>
        <w:tc>
          <w:tcPr>
            <w:tcW w:type="dxa" w:w="5233"/>
            <w:tcMar>
              <w:top w:type="dxa" w:w="10"/>
              <w:left w:type="dxa" w:w="90"/>
              <w:bottom w:type="dxa" w:w="35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C.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6 mois à 1 an</w:t>
            </w:r>
          </w:p>
        </w:tc>
        <w:tc>
          <w:tcPr>
            <w:tcW w:type="dxa" w:w="5233"/>
            <w:tcMar>
              <w:top w:type="dxa" w:w="10"/>
              <w:left w:type="dxa" w:w="90"/>
              <w:bottom w:type="dxa" w:w="35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D.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5 ans</w:t>
            </w:r>
          </w:p>
        </w:tc>
      </w:tr>
    </w:tbl>
    <w:p>
      <w:pPr>
        <w:keepNext/>
        <w:spacing w:after="30" w:before="70"/>
      </w:pPr>
      <w:r>
        <w:rPr>
          <w:rFonts w:ascii="Calibri" w:cs="Calibri" w:eastAsia="Calibri" w:hAnsi="Calibri"/>
          <w:b/>
          <w:bCs/>
          <w:color w:val="8C1D40"/>
          <w:sz w:val="21"/>
          <w:szCs w:val="21"/>
        </w:rPr>
        <w:t xml:space="preserve">13.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La fracture spiroïde de la jambe résulte le plus souvent :</w:t>
      </w:r>
    </w:p>
    <w:tbl>
      <w:tblPr>
        <w:tblW w:type="dxa" w:w="104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233"/>
        <w:gridCol w:w="5233"/>
      </w:tblGrid>
      <w:tr>
        <w:trPr>
          <w:cantSplit/>
        </w:trPr>
        <w:tc>
          <w:tcPr>
            <w:tcW w:type="dxa" w:w="5233"/>
            <w:tcMar>
              <w:top w:type="dxa" w:w="10"/>
              <w:left w:type="dxa" w:w="90"/>
              <w:bottom w:type="dxa" w:w="35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A.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D'un écrasement direct</w:t>
            </w:r>
          </w:p>
        </w:tc>
        <w:tc>
          <w:tcPr>
            <w:tcW w:type="dxa" w:w="5233"/>
            <w:tcMar>
              <w:top w:type="dxa" w:w="10"/>
              <w:left w:type="dxa" w:w="90"/>
              <w:bottom w:type="dxa" w:w="35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B.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D'une flexion-torsion (ex : ski)</w:t>
            </w:r>
          </w:p>
        </w:tc>
      </w:tr>
      <w:tr>
        <w:trPr>
          <w:cantSplit/>
        </w:trPr>
        <w:tc>
          <w:tcPr>
            <w:tcW w:type="dxa" w:w="5233"/>
            <w:tcMar>
              <w:top w:type="dxa" w:w="10"/>
              <w:left w:type="dxa" w:w="90"/>
              <w:bottom w:type="dxa" w:w="35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C.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D'une chute sur la main</w:t>
            </w:r>
          </w:p>
        </w:tc>
        <w:tc>
          <w:tcPr>
            <w:tcW w:type="dxa" w:w="5233"/>
            <w:tcMar>
              <w:top w:type="dxa" w:w="10"/>
              <w:left w:type="dxa" w:w="90"/>
              <w:bottom w:type="dxa" w:w="35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D.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D'une compression du bassin</w:t>
            </w:r>
          </w:p>
        </w:tc>
      </w:tr>
    </w:tbl>
    <w:p>
      <w:pPr>
        <w:keepNext/>
        <w:spacing w:after="30" w:before="70"/>
      </w:pPr>
      <w:r>
        <w:rPr>
          <w:rFonts w:ascii="Calibri" w:cs="Calibri" w:eastAsia="Calibri" w:hAnsi="Calibri"/>
          <w:b/>
          <w:bCs/>
          <w:color w:val="8C1D40"/>
          <w:sz w:val="21"/>
          <w:szCs w:val="21"/>
        </w:rPr>
        <w:t xml:space="preserve">14.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Le grand plâtre du traitement orthopédique d'une fracture de la jambe s'étend :</w:t>
      </w:r>
    </w:p>
    <w:tbl>
      <w:tblPr>
        <w:tblW w:type="dxa" w:w="104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233"/>
        <w:gridCol w:w="5233"/>
      </w:tblGrid>
      <w:tr>
        <w:trPr>
          <w:cantSplit/>
        </w:trPr>
        <w:tc>
          <w:tcPr>
            <w:tcW w:type="dxa" w:w="5233"/>
            <w:tcMar>
              <w:top w:type="dxa" w:w="10"/>
              <w:left w:type="dxa" w:w="90"/>
              <w:bottom w:type="dxa" w:w="35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A.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Du genou à la cheville</w:t>
            </w:r>
          </w:p>
        </w:tc>
        <w:tc>
          <w:tcPr>
            <w:tcW w:type="dxa" w:w="5233"/>
            <w:tcMar>
              <w:top w:type="dxa" w:w="10"/>
              <w:left w:type="dxa" w:w="90"/>
              <w:bottom w:type="dxa" w:w="35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B.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Du tiers moyen de la cuisse aux orteils</w:t>
            </w:r>
          </w:p>
        </w:tc>
      </w:tr>
      <w:tr>
        <w:trPr>
          <w:cantSplit/>
        </w:trPr>
        <w:tc>
          <w:tcPr>
            <w:tcW w:type="dxa" w:w="5233"/>
            <w:tcMar>
              <w:top w:type="dxa" w:w="10"/>
              <w:left w:type="dxa" w:w="90"/>
              <w:bottom w:type="dxa" w:w="35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C.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De la hanche au genou</w:t>
            </w:r>
          </w:p>
        </w:tc>
        <w:tc>
          <w:tcPr>
            <w:tcW w:type="dxa" w:w="5233"/>
            <w:tcMar>
              <w:top w:type="dxa" w:w="10"/>
              <w:left w:type="dxa" w:w="90"/>
              <w:bottom w:type="dxa" w:w="35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D.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De la cheville aux orteils seulement</w:t>
            </w:r>
          </w:p>
        </w:tc>
      </w:tr>
    </w:tbl>
    <w:p>
      <w:pPr>
        <w:keepNext/>
        <w:spacing w:after="30" w:before="70"/>
      </w:pPr>
      <w:r>
        <w:rPr>
          <w:rFonts w:ascii="Calibri" w:cs="Calibri" w:eastAsia="Calibri" w:hAnsi="Calibri"/>
          <w:b/>
          <w:bCs/>
          <w:color w:val="8C1D40"/>
          <w:sz w:val="21"/>
          <w:szCs w:val="21"/>
        </w:rPr>
        <w:t xml:space="preserve">15.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Quelle manœuvre recherche une lésion de la partie postérieure du ménisque interne par un déclic ?</w:t>
      </w:r>
    </w:p>
    <w:tbl>
      <w:tblPr>
        <w:tblW w:type="dxa" w:w="104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233"/>
        <w:gridCol w:w="5233"/>
      </w:tblGrid>
      <w:tr>
        <w:trPr>
          <w:cantSplit/>
        </w:trPr>
        <w:tc>
          <w:tcPr>
            <w:tcW w:type="dxa" w:w="5233"/>
            <w:tcMar>
              <w:top w:type="dxa" w:w="10"/>
              <w:left w:type="dxa" w:w="90"/>
              <w:bottom w:type="dxa" w:w="35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A.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Manœuvre de Mac Murray</w:t>
            </w:r>
          </w:p>
        </w:tc>
        <w:tc>
          <w:tcPr>
            <w:tcW w:type="dxa" w:w="5233"/>
            <w:tcMar>
              <w:top w:type="dxa" w:w="10"/>
              <w:left w:type="dxa" w:w="90"/>
              <w:bottom w:type="dxa" w:w="35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B.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Signe de Berger</w:t>
            </w:r>
          </w:p>
        </w:tc>
      </w:tr>
      <w:tr>
        <w:trPr>
          <w:cantSplit/>
        </w:trPr>
        <w:tc>
          <w:tcPr>
            <w:tcW w:type="dxa" w:w="5233"/>
            <w:tcMar>
              <w:top w:type="dxa" w:w="10"/>
              <w:left w:type="dxa" w:w="90"/>
              <w:bottom w:type="dxa" w:w="35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C.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Grinding test d'Appley</w:t>
            </w:r>
          </w:p>
        </w:tc>
        <w:tc>
          <w:tcPr>
            <w:tcW w:type="dxa" w:w="5233"/>
            <w:tcMar>
              <w:top w:type="dxa" w:w="10"/>
              <w:left w:type="dxa" w:w="90"/>
              <w:bottom w:type="dxa" w:w="35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D.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Signe de l'épaulette</w:t>
            </w:r>
          </w:p>
        </w:tc>
      </w:tr>
    </w:tbl>
    <w:p>
      <w:pPr>
        <w:keepNext/>
        <w:spacing w:after="30" w:before="70"/>
      </w:pPr>
      <w:r>
        <w:rPr>
          <w:rFonts w:ascii="Calibri" w:cs="Calibri" w:eastAsia="Calibri" w:hAnsi="Calibri"/>
          <w:b/>
          <w:bCs/>
          <w:color w:val="8C1D40"/>
          <w:sz w:val="21"/>
          <w:szCs w:val="21"/>
        </w:rPr>
        <w:t xml:space="preserve">16.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Le grinding test d'Appley se pratique chez un patient :</w:t>
      </w:r>
    </w:p>
    <w:tbl>
      <w:tblPr>
        <w:tblW w:type="dxa" w:w="104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233"/>
        <w:gridCol w:w="5233"/>
      </w:tblGrid>
      <w:tr>
        <w:trPr>
          <w:cantSplit/>
        </w:trPr>
        <w:tc>
          <w:tcPr>
            <w:tcW w:type="dxa" w:w="5233"/>
            <w:tcMar>
              <w:top w:type="dxa" w:w="10"/>
              <w:left w:type="dxa" w:w="90"/>
              <w:bottom w:type="dxa" w:w="35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A.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Debout, en appui monopodal</w:t>
            </w:r>
          </w:p>
        </w:tc>
        <w:tc>
          <w:tcPr>
            <w:tcW w:type="dxa" w:w="5233"/>
            <w:tcMar>
              <w:top w:type="dxa" w:w="10"/>
              <w:left w:type="dxa" w:w="90"/>
              <w:bottom w:type="dxa" w:w="35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B.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Assis, jambe pendante</w:t>
            </w:r>
          </w:p>
        </w:tc>
      </w:tr>
      <w:tr>
        <w:trPr>
          <w:cantSplit/>
        </w:trPr>
        <w:tc>
          <w:tcPr>
            <w:tcW w:type="dxa" w:w="5233"/>
            <w:tcMar>
              <w:top w:type="dxa" w:w="10"/>
              <w:left w:type="dxa" w:w="90"/>
              <w:bottom w:type="dxa" w:w="35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C.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En décubitus ventral, genou fléchi</w:t>
            </w:r>
          </w:p>
        </w:tc>
        <w:tc>
          <w:tcPr>
            <w:tcW w:type="dxa" w:w="5233"/>
            <w:tcMar>
              <w:top w:type="dxa" w:w="10"/>
              <w:left w:type="dxa" w:w="90"/>
              <w:bottom w:type="dxa" w:w="35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D.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En décubitus dorsal, jambe tendue</w:t>
            </w:r>
          </w:p>
        </w:tc>
      </w:tr>
    </w:tbl>
    <w:p>
      <w:pPr>
        <w:keepNext/>
        <w:spacing w:after="30" w:before="70"/>
      </w:pPr>
      <w:r>
        <w:rPr>
          <w:rFonts w:ascii="Calibri" w:cs="Calibri" w:eastAsia="Calibri" w:hAnsi="Calibri"/>
          <w:b/>
          <w:bCs/>
          <w:color w:val="8C1D40"/>
          <w:sz w:val="21"/>
          <w:szCs w:val="21"/>
        </w:rPr>
        <w:t xml:space="preserve">17.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La patella (rotule) est décrite comme :</w:t>
      </w:r>
    </w:p>
    <w:tbl>
      <w:tblPr>
        <w:tblW w:type="dxa" w:w="104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233"/>
        <w:gridCol w:w="5233"/>
      </w:tblGrid>
      <w:tr>
        <w:trPr>
          <w:cantSplit/>
        </w:trPr>
        <w:tc>
          <w:tcPr>
            <w:tcW w:type="dxa" w:w="5233"/>
            <w:tcMar>
              <w:top w:type="dxa" w:w="10"/>
              <w:left w:type="dxa" w:w="90"/>
              <w:bottom w:type="dxa" w:w="35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A.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Le plus petit os sésamoïde du corps humain</w:t>
            </w:r>
          </w:p>
        </w:tc>
        <w:tc>
          <w:tcPr>
            <w:tcW w:type="dxa" w:w="5233"/>
            <w:tcMar>
              <w:top w:type="dxa" w:w="10"/>
              <w:left w:type="dxa" w:w="90"/>
              <w:bottom w:type="dxa" w:w="35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B.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Le plus gros os sésamoïde du corps humain</w:t>
            </w:r>
          </w:p>
        </w:tc>
      </w:tr>
      <w:tr>
        <w:trPr>
          <w:cantSplit/>
        </w:trPr>
        <w:tc>
          <w:tcPr>
            <w:tcW w:type="dxa" w:w="5233"/>
            <w:tcMar>
              <w:top w:type="dxa" w:w="10"/>
              <w:left w:type="dxa" w:w="90"/>
              <w:bottom w:type="dxa" w:w="35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C.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Un os long du membre inférieur</w:t>
            </w:r>
          </w:p>
        </w:tc>
        <w:tc>
          <w:tcPr>
            <w:tcW w:type="dxa" w:w="5233"/>
            <w:tcMar>
              <w:top w:type="dxa" w:w="10"/>
              <w:left w:type="dxa" w:w="90"/>
              <w:bottom w:type="dxa" w:w="35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D.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Un os plat du bassin</w:t>
            </w:r>
          </w:p>
        </w:tc>
      </w:tr>
    </w:tbl>
    <w:p>
      <w:pPr>
        <w:keepNext/>
        <w:spacing w:after="30" w:before="70"/>
      </w:pPr>
      <w:r>
        <w:rPr>
          <w:rFonts w:ascii="Calibri" w:cs="Calibri" w:eastAsia="Calibri" w:hAnsi="Calibri"/>
          <w:b/>
          <w:bCs/>
          <w:color w:val="8C1D40"/>
          <w:sz w:val="21"/>
          <w:szCs w:val="21"/>
        </w:rPr>
        <w:t xml:space="preserve">18.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Un mécanisme de compression latérale sur le bassin entraîne le plus souvent :</w:t>
      </w:r>
    </w:p>
    <w:tbl>
      <w:tblPr>
        <w:tblW w:type="dxa" w:w="104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233"/>
        <w:gridCol w:w="5233"/>
      </w:tblGrid>
      <w:tr>
        <w:trPr>
          <w:cantSplit/>
        </w:trPr>
        <w:tc>
          <w:tcPr>
            <w:tcW w:type="dxa" w:w="5233"/>
            <w:tcMar>
              <w:top w:type="dxa" w:w="10"/>
              <w:left w:type="dxa" w:w="90"/>
              <w:bottom w:type="dxa" w:w="35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A.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Une rotation externe des hémi-bassins</w:t>
            </w:r>
          </w:p>
        </w:tc>
        <w:tc>
          <w:tcPr>
            <w:tcW w:type="dxa" w:w="5233"/>
            <w:tcMar>
              <w:top w:type="dxa" w:w="10"/>
              <w:left w:type="dxa" w:w="90"/>
              <w:bottom w:type="dxa" w:w="35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B.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Une rotation interne d'un ou des deux hémi-bassins</w:t>
            </w:r>
          </w:p>
        </w:tc>
      </w:tr>
      <w:tr>
        <w:trPr>
          <w:cantSplit/>
        </w:trPr>
        <w:tc>
          <w:tcPr>
            <w:tcW w:type="dxa" w:w="5233"/>
            <w:tcMar>
              <w:top w:type="dxa" w:w="10"/>
              <w:left w:type="dxa" w:w="90"/>
              <w:bottom w:type="dxa" w:w="35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C.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Une fracture isolée du coccyx</w:t>
            </w:r>
          </w:p>
        </w:tc>
        <w:tc>
          <w:tcPr>
            <w:tcW w:type="dxa" w:w="5233"/>
            <w:tcMar>
              <w:top w:type="dxa" w:w="10"/>
              <w:left w:type="dxa" w:w="90"/>
              <w:bottom w:type="dxa" w:w="35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D.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Une luxation de la hanche</w:t>
            </w:r>
          </w:p>
        </w:tc>
      </w:tr>
    </w:tbl>
    <w:p>
      <w:pPr>
        <w:keepNext/>
        <w:spacing w:after="30" w:before="70"/>
      </w:pPr>
      <w:r>
        <w:rPr>
          <w:rFonts w:ascii="Calibri" w:cs="Calibri" w:eastAsia="Calibri" w:hAnsi="Calibri"/>
          <w:b/>
          <w:bCs/>
          <w:color w:val="8C1D40"/>
          <w:sz w:val="21"/>
          <w:szCs w:val="21"/>
        </w:rPr>
        <w:t xml:space="preserve">19.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Dans le traitement orthopédique du bassin, la suspension en hamac dure :</w:t>
      </w:r>
    </w:p>
    <w:tbl>
      <w:tblPr>
        <w:tblW w:type="dxa" w:w="104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233"/>
        <w:gridCol w:w="5233"/>
      </w:tblGrid>
      <w:tr>
        <w:trPr>
          <w:cantSplit/>
        </w:trPr>
        <w:tc>
          <w:tcPr>
            <w:tcW w:type="dxa" w:w="5233"/>
            <w:tcMar>
              <w:top w:type="dxa" w:w="10"/>
              <w:left w:type="dxa" w:w="90"/>
              <w:bottom w:type="dxa" w:w="35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A.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7 jours</w:t>
            </w:r>
          </w:p>
        </w:tc>
        <w:tc>
          <w:tcPr>
            <w:tcW w:type="dxa" w:w="5233"/>
            <w:tcMar>
              <w:top w:type="dxa" w:w="10"/>
              <w:left w:type="dxa" w:w="90"/>
              <w:bottom w:type="dxa" w:w="35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B.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21 jours</w:t>
            </w:r>
          </w:p>
        </w:tc>
      </w:tr>
      <w:tr>
        <w:trPr>
          <w:cantSplit/>
        </w:trPr>
        <w:tc>
          <w:tcPr>
            <w:tcW w:type="dxa" w:w="5233"/>
            <w:tcMar>
              <w:top w:type="dxa" w:w="10"/>
              <w:left w:type="dxa" w:w="90"/>
              <w:bottom w:type="dxa" w:w="35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C.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45 jours</w:t>
            </w:r>
          </w:p>
        </w:tc>
        <w:tc>
          <w:tcPr>
            <w:tcW w:type="dxa" w:w="5233"/>
            <w:tcMar>
              <w:top w:type="dxa" w:w="10"/>
              <w:left w:type="dxa" w:w="90"/>
              <w:bottom w:type="dxa" w:w="35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D.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60 jours</w:t>
            </w:r>
          </w:p>
        </w:tc>
      </w:tr>
    </w:tbl>
    <w:p>
      <w:pPr>
        <w:keepNext/>
        <w:spacing w:after="30" w:before="70"/>
      </w:pPr>
      <w:r>
        <w:rPr>
          <w:rFonts w:ascii="Calibri" w:cs="Calibri" w:eastAsia="Calibri" w:hAnsi="Calibri"/>
          <w:b/>
          <w:bCs/>
          <w:color w:val="8C1D40"/>
          <w:sz w:val="21"/>
          <w:szCs w:val="21"/>
        </w:rPr>
        <w:t xml:space="preserve">20.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La phase de choc compensé se caractérise notamment par une pression artérielle inférieure à :</w:t>
      </w:r>
    </w:p>
    <w:tbl>
      <w:tblPr>
        <w:tblW w:type="dxa" w:w="104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233"/>
        <w:gridCol w:w="5233"/>
      </w:tblGrid>
      <w:tr>
        <w:trPr>
          <w:cantSplit/>
        </w:trPr>
        <w:tc>
          <w:tcPr>
            <w:tcW w:type="dxa" w:w="5233"/>
            <w:tcMar>
              <w:top w:type="dxa" w:w="10"/>
              <w:left w:type="dxa" w:w="90"/>
              <w:bottom w:type="dxa" w:w="35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A.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100 mmHg</w:t>
            </w:r>
          </w:p>
        </w:tc>
        <w:tc>
          <w:tcPr>
            <w:tcW w:type="dxa" w:w="5233"/>
            <w:tcMar>
              <w:top w:type="dxa" w:w="10"/>
              <w:left w:type="dxa" w:w="90"/>
              <w:bottom w:type="dxa" w:w="35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B.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70 mmHg</w:t>
            </w:r>
          </w:p>
        </w:tc>
      </w:tr>
      <w:tr>
        <w:trPr>
          <w:cantSplit/>
        </w:trPr>
        <w:tc>
          <w:tcPr>
            <w:tcW w:type="dxa" w:w="5233"/>
            <w:tcMar>
              <w:top w:type="dxa" w:w="10"/>
              <w:left w:type="dxa" w:w="90"/>
              <w:bottom w:type="dxa" w:w="35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C.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50 mmHg</w:t>
            </w:r>
          </w:p>
        </w:tc>
        <w:tc>
          <w:tcPr>
            <w:tcW w:type="dxa" w:w="5233"/>
            <w:tcMar>
              <w:top w:type="dxa" w:w="10"/>
              <w:left w:type="dxa" w:w="90"/>
              <w:bottom w:type="dxa" w:w="35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D.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40 mmHg</w:t>
            </w:r>
          </w:p>
        </w:tc>
      </w:tr>
    </w:tbl>
    <w:p>
      <w:pPr>
        <w:keepNext/>
        <w:spacing w:after="30" w:before="70"/>
      </w:pPr>
      <w:r>
        <w:rPr>
          <w:rFonts w:ascii="Calibri" w:cs="Calibri" w:eastAsia="Calibri" w:hAnsi="Calibri"/>
          <w:b/>
          <w:bCs/>
          <w:color w:val="8C1D40"/>
          <w:sz w:val="21"/>
          <w:szCs w:val="21"/>
        </w:rPr>
        <w:t xml:space="preserve">21.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Une septicémie à germe Gram négatif (ex : salmonella) provoque un choc de type :</w:t>
      </w:r>
    </w:p>
    <w:tbl>
      <w:tblPr>
        <w:tblW w:type="dxa" w:w="104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233"/>
        <w:gridCol w:w="5233"/>
      </w:tblGrid>
      <w:tr>
        <w:trPr>
          <w:cantSplit/>
        </w:trPr>
        <w:tc>
          <w:tcPr>
            <w:tcW w:type="dxa" w:w="5233"/>
            <w:tcMar>
              <w:top w:type="dxa" w:w="10"/>
              <w:left w:type="dxa" w:w="90"/>
              <w:bottom w:type="dxa" w:w="35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A.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Cardiogénique</w:t>
            </w:r>
          </w:p>
        </w:tc>
        <w:tc>
          <w:tcPr>
            <w:tcW w:type="dxa" w:w="5233"/>
            <w:tcMar>
              <w:top w:type="dxa" w:w="10"/>
              <w:left w:type="dxa" w:w="90"/>
              <w:bottom w:type="dxa" w:w="35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B.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Hypovolémique</w:t>
            </w:r>
          </w:p>
        </w:tc>
      </w:tr>
      <w:tr>
        <w:trPr>
          <w:cantSplit/>
        </w:trPr>
        <w:tc>
          <w:tcPr>
            <w:tcW w:type="dxa" w:w="5233"/>
            <w:tcMar>
              <w:top w:type="dxa" w:w="10"/>
              <w:left w:type="dxa" w:w="90"/>
              <w:bottom w:type="dxa" w:w="35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C.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Septique (bactérien)</w:t>
            </w:r>
          </w:p>
        </w:tc>
        <w:tc>
          <w:tcPr>
            <w:tcW w:type="dxa" w:w="5233"/>
            <w:tcMar>
              <w:top w:type="dxa" w:w="10"/>
              <w:left w:type="dxa" w:w="90"/>
              <w:bottom w:type="dxa" w:w="35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D.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Anaphylactique</w:t>
            </w:r>
          </w:p>
        </w:tc>
      </w:tr>
    </w:tbl>
    <w:p>
      <w:pPr>
        <w:keepNext/>
        <w:spacing w:after="30" w:before="70"/>
      </w:pPr>
      <w:r>
        <w:rPr>
          <w:rFonts w:ascii="Calibri" w:cs="Calibri" w:eastAsia="Calibri" w:hAnsi="Calibri"/>
          <w:b/>
          <w:bCs/>
          <w:color w:val="8C1D40"/>
          <w:sz w:val="21"/>
          <w:szCs w:val="21"/>
        </w:rPr>
        <w:t xml:space="preserve">22.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Le débit urinaire minimal recherché chez un patient en état de choc est de :</w:t>
      </w:r>
    </w:p>
    <w:tbl>
      <w:tblPr>
        <w:tblW w:type="dxa" w:w="104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233"/>
        <w:gridCol w:w="5233"/>
      </w:tblGrid>
      <w:tr>
        <w:trPr>
          <w:cantSplit/>
        </w:trPr>
        <w:tc>
          <w:tcPr>
            <w:tcW w:type="dxa" w:w="5233"/>
            <w:tcMar>
              <w:top w:type="dxa" w:w="10"/>
              <w:left w:type="dxa" w:w="90"/>
              <w:bottom w:type="dxa" w:w="35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A.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10 ml/h</w:t>
            </w:r>
          </w:p>
        </w:tc>
        <w:tc>
          <w:tcPr>
            <w:tcW w:type="dxa" w:w="5233"/>
            <w:tcMar>
              <w:top w:type="dxa" w:w="10"/>
              <w:left w:type="dxa" w:w="90"/>
              <w:bottom w:type="dxa" w:w="35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B.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50 ml/h</w:t>
            </w:r>
          </w:p>
        </w:tc>
      </w:tr>
      <w:tr>
        <w:trPr>
          <w:cantSplit/>
        </w:trPr>
        <w:tc>
          <w:tcPr>
            <w:tcW w:type="dxa" w:w="5233"/>
            <w:tcMar>
              <w:top w:type="dxa" w:w="10"/>
              <w:left w:type="dxa" w:w="90"/>
              <w:bottom w:type="dxa" w:w="35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C.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100 ml/h</w:t>
            </w:r>
          </w:p>
        </w:tc>
        <w:tc>
          <w:tcPr>
            <w:tcW w:type="dxa" w:w="5233"/>
            <w:tcMar>
              <w:top w:type="dxa" w:w="10"/>
              <w:left w:type="dxa" w:w="90"/>
              <w:bottom w:type="dxa" w:w="35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D.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200 ml/h</w:t>
            </w:r>
          </w:p>
        </w:tc>
      </w:tr>
    </w:tbl>
    <w:p>
      <w:pPr>
        <w:keepNext/>
        <w:spacing w:after="30" w:before="70"/>
      </w:pPr>
      <w:r>
        <w:rPr>
          <w:rFonts w:ascii="Calibri" w:cs="Calibri" w:eastAsia="Calibri" w:hAnsi="Calibri"/>
          <w:b/>
          <w:bCs/>
          <w:color w:val="8C1D40"/>
          <w:sz w:val="21"/>
          <w:szCs w:val="21"/>
        </w:rPr>
        <w:t xml:space="preserve">23.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Lors du ramassage d'un traumatisé de la route, le rachis cervical doit être maintenu :</w:t>
      </w:r>
    </w:p>
    <w:tbl>
      <w:tblPr>
        <w:tblW w:type="dxa" w:w="104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233"/>
        <w:gridCol w:w="5233"/>
      </w:tblGrid>
      <w:tr>
        <w:trPr>
          <w:cantSplit/>
        </w:trPr>
        <w:tc>
          <w:tcPr>
            <w:tcW w:type="dxa" w:w="5233"/>
            <w:tcMar>
              <w:top w:type="dxa" w:w="10"/>
              <w:left w:type="dxa" w:w="90"/>
              <w:bottom w:type="dxa" w:w="35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A.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En flexion forcée</w:t>
            </w:r>
          </w:p>
        </w:tc>
        <w:tc>
          <w:tcPr>
            <w:tcW w:type="dxa" w:w="5233"/>
            <w:tcMar>
              <w:top w:type="dxa" w:w="10"/>
              <w:left w:type="dxa" w:w="90"/>
              <w:bottom w:type="dxa" w:w="35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B.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En rectitude, par traction axiale</w:t>
            </w:r>
          </w:p>
        </w:tc>
      </w:tr>
      <w:tr>
        <w:trPr>
          <w:cantSplit/>
        </w:trPr>
        <w:tc>
          <w:tcPr>
            <w:tcW w:type="dxa" w:w="5233"/>
            <w:tcMar>
              <w:top w:type="dxa" w:w="10"/>
              <w:left w:type="dxa" w:w="90"/>
              <w:bottom w:type="dxa" w:w="35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C.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En rotation latérale rapide</w:t>
            </w:r>
          </w:p>
        </w:tc>
        <w:tc>
          <w:tcPr>
            <w:tcW w:type="dxa" w:w="5233"/>
            <w:tcMar>
              <w:top w:type="dxa" w:w="10"/>
              <w:left w:type="dxa" w:w="90"/>
              <w:bottom w:type="dxa" w:w="35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D.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En extension forcée puis rotation</w:t>
            </w:r>
          </w:p>
        </w:tc>
      </w:tr>
    </w:tbl>
    <w:p>
      <w:pPr>
        <w:keepNext/>
        <w:spacing w:after="30" w:before="70"/>
      </w:pPr>
      <w:r>
        <w:rPr>
          <w:rFonts w:ascii="Calibri" w:cs="Calibri" w:eastAsia="Calibri" w:hAnsi="Calibri"/>
          <w:b/>
          <w:bCs/>
          <w:color w:val="8C1D40"/>
          <w:sz w:val="21"/>
          <w:szCs w:val="21"/>
        </w:rPr>
        <w:t xml:space="preserve">24.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Le polytraumatisé se définit exactement comme un blessé :</w:t>
      </w:r>
    </w:p>
    <w:tbl>
      <w:tblPr>
        <w:tblW w:type="dxa" w:w="104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233"/>
        <w:gridCol w:w="5233"/>
      </w:tblGrid>
      <w:tr>
        <w:trPr>
          <w:cantSplit/>
        </w:trPr>
        <w:tc>
          <w:tcPr>
            <w:tcW w:type="dxa" w:w="5233"/>
            <w:tcMar>
              <w:top w:type="dxa" w:w="10"/>
              <w:left w:type="dxa" w:w="90"/>
              <w:bottom w:type="dxa" w:w="35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A.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Présentant une seule fracture grave</w:t>
            </w:r>
          </w:p>
        </w:tc>
        <w:tc>
          <w:tcPr>
            <w:tcW w:type="dxa" w:w="5233"/>
            <w:tcMar>
              <w:top w:type="dxa" w:w="10"/>
              <w:left w:type="dxa" w:w="90"/>
              <w:bottom w:type="dxa" w:w="35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B.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Présentant plusieurs fractures sans risque vital</w:t>
            </w:r>
          </w:p>
        </w:tc>
      </w:tr>
      <w:tr>
        <w:trPr>
          <w:cantSplit/>
        </w:trPr>
        <w:tc>
          <w:tcPr>
            <w:tcW w:type="dxa" w:w="5233"/>
            <w:tcMar>
              <w:top w:type="dxa" w:w="10"/>
              <w:left w:type="dxa" w:w="90"/>
              <w:bottom w:type="dxa" w:w="35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C.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Présentant plusieurs traumatismes dont un au moins engage le pronostic vital</w:t>
            </w:r>
          </w:p>
        </w:tc>
        <w:tc>
          <w:tcPr>
            <w:tcW w:type="dxa" w:w="5233"/>
            <w:tcMar>
              <w:top w:type="dxa" w:w="10"/>
              <w:left w:type="dxa" w:w="90"/>
              <w:bottom w:type="dxa" w:w="35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D.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Présentant uniquement des plaies cutanées multiples</w:t>
            </w:r>
          </w:p>
        </w:tc>
      </w:tr>
    </w:tbl>
    <w:p>
      <w:pPr>
        <w:keepNext/>
        <w:spacing w:after="30" w:before="70"/>
      </w:pPr>
      <w:r>
        <w:rPr>
          <w:rFonts w:ascii="Calibri" w:cs="Calibri" w:eastAsia="Calibri" w:hAnsi="Calibri"/>
          <w:b/>
          <w:bCs/>
          <w:color w:val="8C1D40"/>
          <w:sz w:val="21"/>
          <w:szCs w:val="21"/>
        </w:rPr>
        <w:t xml:space="preserve">25.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Chez le polytraumatisé en détresse circulatoire, le cathéter du système cave supérieur permet surtout de :</w:t>
      </w:r>
    </w:p>
    <w:tbl>
      <w:tblPr>
        <w:tblW w:type="dxa" w:w="104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233"/>
        <w:gridCol w:w="5233"/>
      </w:tblGrid>
      <w:tr>
        <w:trPr>
          <w:cantSplit/>
        </w:trPr>
        <w:tc>
          <w:tcPr>
            <w:tcW w:type="dxa" w:w="5233"/>
            <w:tcMar>
              <w:top w:type="dxa" w:w="10"/>
              <w:left w:type="dxa" w:w="90"/>
              <w:bottom w:type="dxa" w:w="35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A.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Réaliser uniquement des injections intramusculaires</w:t>
            </w:r>
          </w:p>
        </w:tc>
        <w:tc>
          <w:tcPr>
            <w:tcW w:type="dxa" w:w="5233"/>
            <w:tcMar>
              <w:top w:type="dxa" w:w="10"/>
              <w:left w:type="dxa" w:w="90"/>
              <w:bottom w:type="dxa" w:w="35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B.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Surveiller la PVC et assurer perfusions/transfusions</w:t>
            </w:r>
          </w:p>
        </w:tc>
      </w:tr>
      <w:tr>
        <w:trPr>
          <w:cantSplit/>
        </w:trPr>
        <w:tc>
          <w:tcPr>
            <w:tcW w:type="dxa" w:w="5233"/>
            <w:tcMar>
              <w:top w:type="dxa" w:w="10"/>
              <w:left w:type="dxa" w:w="90"/>
              <w:bottom w:type="dxa" w:w="35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C.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Remplacer la sonde vésicale</w:t>
            </w:r>
          </w:p>
        </w:tc>
        <w:tc>
          <w:tcPr>
            <w:tcW w:type="dxa" w:w="5233"/>
            <w:tcMar>
              <w:top w:type="dxa" w:w="10"/>
              <w:left w:type="dxa" w:w="90"/>
              <w:bottom w:type="dxa" w:w="35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D.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Éviter la radiographie pulmonaire</w:t>
            </w:r>
          </w:p>
        </w:tc>
      </w:tr>
    </w:tbl>
    <w:p>
      <w:pPr>
        <w:spacing w:after="0" w:before="80"/>
      </w:pPr>
    </w:p>
    <w:tbl>
      <w:tblPr>
        <w:tblW w:type="dxa" w:w="104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466"/>
      </w:tblGrid>
      <w:tr>
        <w:trPr>
          <w:cantSplit/>
        </w:trPr>
        <w:tc>
          <w:tcPr>
            <w:tcW w:type="dxa" w:w="10466"/>
            <w:shd w:fill="1F3864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CORRIGÉ</w:t>
            </w:r>
          </w:p>
        </w:tc>
      </w:tr>
    </w:tbl>
    <w:p>
      <w:pPr>
        <w:spacing w:after="30" w:before="70"/>
      </w:pPr>
      <w:r>
        <w:rPr>
          <w:rFonts w:ascii="Calibri" w:cs="Calibri" w:eastAsia="Calibri" w:hAnsi="Calibri"/>
          <w:b/>
          <w:bCs/>
          <w:color w:val="1F3864"/>
          <w:sz w:val="18"/>
          <w:szCs w:val="18"/>
        </w:rPr>
        <w:t xml:space="preserve">QCD (1 à 35)</w:t>
      </w:r>
    </w:p>
    <w:tbl>
      <w:tblPr>
        <w:tblW w:type="dxa" w:w="10466"/>
        <w:tblBorders>
          <w:top w:val="single" w:color="D9D9D9" w:sz="2"/>
          <w:left w:val="single" w:color="D9D9D9" w:sz="2"/>
          <w:bottom w:val="single" w:color="D9D9D9" w:sz="2"/>
          <w:right w:val="single" w:color="D9D9D9" w:sz="2"/>
          <w:insideH w:val="single" w:color="D9D9D9" w:sz="2"/>
          <w:insideV w:val="single" w:color="D9D9D9" w:sz="2"/>
        </w:tblBorders>
      </w:tblPr>
      <w:tblGrid>
        <w:gridCol w:w="1495"/>
        <w:gridCol w:w="1495"/>
        <w:gridCol w:w="1495"/>
        <w:gridCol w:w="1495"/>
        <w:gridCol w:w="1495"/>
        <w:gridCol w:w="1495"/>
        <w:gridCol w:w="1495"/>
      </w:tblGrid>
      <w:tr>
        <w:trPr>
          <w:cantSplit/>
        </w:trPr>
        <w:tc>
          <w:tcPr>
            <w:tcW w:type="dxa" w:w="1495"/>
            <w:shd w:fill="FFFFFF" w:color="auto" w:val="clear"/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 – F</w:t>
            </w:r>
          </w:p>
        </w:tc>
        <w:tc>
          <w:tcPr>
            <w:tcW w:type="dxa" w:w="1495"/>
            <w:shd w:fill="FFFFFF" w:color="auto" w:val="clear"/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 – V</w:t>
            </w:r>
          </w:p>
        </w:tc>
        <w:tc>
          <w:tcPr>
            <w:tcW w:type="dxa" w:w="1495"/>
            <w:shd w:fill="FFFFFF" w:color="auto" w:val="clear"/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 – F</w:t>
            </w:r>
          </w:p>
        </w:tc>
        <w:tc>
          <w:tcPr>
            <w:tcW w:type="dxa" w:w="1495"/>
            <w:shd w:fill="FFFFFF" w:color="auto" w:val="clear"/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 – V</w:t>
            </w:r>
          </w:p>
        </w:tc>
        <w:tc>
          <w:tcPr>
            <w:tcW w:type="dxa" w:w="1495"/>
            <w:shd w:fill="FFFFFF" w:color="auto" w:val="clear"/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5 – V</w:t>
            </w:r>
          </w:p>
        </w:tc>
        <w:tc>
          <w:tcPr>
            <w:tcW w:type="dxa" w:w="1495"/>
            <w:shd w:fill="FFFFFF" w:color="auto" w:val="clear"/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6 – F</w:t>
            </w:r>
          </w:p>
        </w:tc>
        <w:tc>
          <w:tcPr>
            <w:tcW w:type="dxa" w:w="1495"/>
            <w:shd w:fill="FFFFFF" w:color="auto" w:val="clear"/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7 – V</w:t>
            </w:r>
          </w:p>
        </w:tc>
      </w:tr>
      <w:tr>
        <w:trPr>
          <w:cantSplit/>
        </w:trPr>
        <w:tc>
          <w:tcPr>
            <w:tcW w:type="dxa" w:w="1495"/>
            <w:shd w:fill="F2F2F2" w:color="auto" w:val="clear"/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8 – V</w:t>
            </w:r>
          </w:p>
        </w:tc>
        <w:tc>
          <w:tcPr>
            <w:tcW w:type="dxa" w:w="1495"/>
            <w:shd w:fill="F2F2F2" w:color="auto" w:val="clear"/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9 – F</w:t>
            </w:r>
          </w:p>
        </w:tc>
        <w:tc>
          <w:tcPr>
            <w:tcW w:type="dxa" w:w="1495"/>
            <w:shd w:fill="F2F2F2" w:color="auto" w:val="clear"/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10 – V</w:t>
            </w:r>
          </w:p>
        </w:tc>
        <w:tc>
          <w:tcPr>
            <w:tcW w:type="dxa" w:w="1495"/>
            <w:shd w:fill="F2F2F2" w:color="auto" w:val="clear"/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11 – V</w:t>
            </w:r>
          </w:p>
        </w:tc>
        <w:tc>
          <w:tcPr>
            <w:tcW w:type="dxa" w:w="1495"/>
            <w:shd w:fill="F2F2F2" w:color="auto" w:val="clear"/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12 – F</w:t>
            </w:r>
          </w:p>
        </w:tc>
        <w:tc>
          <w:tcPr>
            <w:tcW w:type="dxa" w:w="1495"/>
            <w:shd w:fill="F2F2F2" w:color="auto" w:val="clear"/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13 – V</w:t>
            </w:r>
          </w:p>
        </w:tc>
        <w:tc>
          <w:tcPr>
            <w:tcW w:type="dxa" w:w="1495"/>
            <w:shd w:fill="F2F2F2" w:color="auto" w:val="clear"/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14 – F</w:t>
            </w:r>
          </w:p>
        </w:tc>
      </w:tr>
      <w:tr>
        <w:trPr>
          <w:cantSplit/>
        </w:trPr>
        <w:tc>
          <w:tcPr>
            <w:tcW w:type="dxa" w:w="1495"/>
            <w:shd w:fill="FFFFFF" w:color="auto" w:val="clear"/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15 – V</w:t>
            </w:r>
          </w:p>
        </w:tc>
        <w:tc>
          <w:tcPr>
            <w:tcW w:type="dxa" w:w="1495"/>
            <w:shd w:fill="FFFFFF" w:color="auto" w:val="clear"/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16 – V</w:t>
            </w:r>
          </w:p>
        </w:tc>
        <w:tc>
          <w:tcPr>
            <w:tcW w:type="dxa" w:w="1495"/>
            <w:shd w:fill="FFFFFF" w:color="auto" w:val="clear"/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17 – F</w:t>
            </w:r>
          </w:p>
        </w:tc>
        <w:tc>
          <w:tcPr>
            <w:tcW w:type="dxa" w:w="1495"/>
            <w:shd w:fill="FFFFFF" w:color="auto" w:val="clear"/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18 – V</w:t>
            </w:r>
          </w:p>
        </w:tc>
        <w:tc>
          <w:tcPr>
            <w:tcW w:type="dxa" w:w="1495"/>
            <w:shd w:fill="FFFFFF" w:color="auto" w:val="clear"/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19 – V</w:t>
            </w:r>
          </w:p>
        </w:tc>
        <w:tc>
          <w:tcPr>
            <w:tcW w:type="dxa" w:w="1495"/>
            <w:shd w:fill="FFFFFF" w:color="auto" w:val="clear"/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20 – F</w:t>
            </w:r>
          </w:p>
        </w:tc>
        <w:tc>
          <w:tcPr>
            <w:tcW w:type="dxa" w:w="1495"/>
            <w:shd w:fill="FFFFFF" w:color="auto" w:val="clear"/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21 – V</w:t>
            </w:r>
          </w:p>
        </w:tc>
      </w:tr>
      <w:tr>
        <w:trPr>
          <w:cantSplit/>
        </w:trPr>
        <w:tc>
          <w:tcPr>
            <w:tcW w:type="dxa" w:w="1495"/>
            <w:shd w:fill="F2F2F2" w:color="auto" w:val="clear"/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22 – V</w:t>
            </w:r>
          </w:p>
        </w:tc>
        <w:tc>
          <w:tcPr>
            <w:tcW w:type="dxa" w:w="1495"/>
            <w:shd w:fill="F2F2F2" w:color="auto" w:val="clear"/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23 – F</w:t>
            </w:r>
          </w:p>
        </w:tc>
        <w:tc>
          <w:tcPr>
            <w:tcW w:type="dxa" w:w="1495"/>
            <w:shd w:fill="F2F2F2" w:color="auto" w:val="clear"/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24 – V</w:t>
            </w:r>
          </w:p>
        </w:tc>
        <w:tc>
          <w:tcPr>
            <w:tcW w:type="dxa" w:w="1495"/>
            <w:shd w:fill="F2F2F2" w:color="auto" w:val="clear"/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25 – V</w:t>
            </w:r>
          </w:p>
        </w:tc>
        <w:tc>
          <w:tcPr>
            <w:tcW w:type="dxa" w:w="1495"/>
            <w:shd w:fill="F2F2F2" w:color="auto" w:val="clear"/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26 – V</w:t>
            </w:r>
          </w:p>
        </w:tc>
        <w:tc>
          <w:tcPr>
            <w:tcW w:type="dxa" w:w="1495"/>
            <w:shd w:fill="F2F2F2" w:color="auto" w:val="clear"/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27 – F</w:t>
            </w:r>
          </w:p>
        </w:tc>
        <w:tc>
          <w:tcPr>
            <w:tcW w:type="dxa" w:w="1495"/>
            <w:shd w:fill="F2F2F2" w:color="auto" w:val="clear"/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28 – V</w:t>
            </w:r>
          </w:p>
        </w:tc>
      </w:tr>
      <w:tr>
        <w:trPr>
          <w:cantSplit/>
        </w:trPr>
        <w:tc>
          <w:tcPr>
            <w:tcW w:type="dxa" w:w="1495"/>
            <w:shd w:fill="FFFFFF" w:color="auto" w:val="clear"/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29 – F</w:t>
            </w:r>
          </w:p>
        </w:tc>
        <w:tc>
          <w:tcPr>
            <w:tcW w:type="dxa" w:w="1495"/>
            <w:shd w:fill="FFFFFF" w:color="auto" w:val="clear"/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30 – V</w:t>
            </w:r>
          </w:p>
        </w:tc>
        <w:tc>
          <w:tcPr>
            <w:tcW w:type="dxa" w:w="1495"/>
            <w:shd w:fill="FFFFFF" w:color="auto" w:val="clear"/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31 – F</w:t>
            </w:r>
          </w:p>
        </w:tc>
        <w:tc>
          <w:tcPr>
            <w:tcW w:type="dxa" w:w="1495"/>
            <w:shd w:fill="FFFFFF" w:color="auto" w:val="clear"/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32 – V</w:t>
            </w:r>
          </w:p>
        </w:tc>
        <w:tc>
          <w:tcPr>
            <w:tcW w:type="dxa" w:w="1495"/>
            <w:shd w:fill="FFFFFF" w:color="auto" w:val="clear"/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33 – F</w:t>
            </w:r>
          </w:p>
        </w:tc>
        <w:tc>
          <w:tcPr>
            <w:tcW w:type="dxa" w:w="1495"/>
            <w:shd w:fill="FFFFFF" w:color="auto" w:val="clear"/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34 – F</w:t>
            </w:r>
          </w:p>
        </w:tc>
        <w:tc>
          <w:tcPr>
            <w:tcW w:type="dxa" w:w="1495"/>
            <w:shd w:fill="FFFFFF" w:color="auto" w:val="clear"/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35 – V</w:t>
            </w:r>
          </w:p>
        </w:tc>
      </w:tr>
    </w:tbl>
    <w:p>
      <w:pPr>
        <w:spacing w:after="30" w:before="70"/>
      </w:pPr>
      <w:r>
        <w:rPr>
          <w:rFonts w:ascii="Calibri" w:cs="Calibri" w:eastAsia="Calibri" w:hAnsi="Calibri"/>
          <w:b/>
          <w:bCs/>
          <w:color w:val="1F3864"/>
          <w:sz w:val="18"/>
          <w:szCs w:val="18"/>
        </w:rPr>
        <w:t xml:space="preserve">QCM (1 à 25)</w:t>
      </w:r>
    </w:p>
    <w:tbl>
      <w:tblPr>
        <w:tblW w:type="dxa" w:w="10466"/>
        <w:tblBorders>
          <w:top w:val="single" w:color="D9D9D9" w:sz="2"/>
          <w:left w:val="single" w:color="D9D9D9" w:sz="2"/>
          <w:bottom w:val="single" w:color="D9D9D9" w:sz="2"/>
          <w:right w:val="single" w:color="D9D9D9" w:sz="2"/>
          <w:insideH w:val="single" w:color="D9D9D9" w:sz="2"/>
          <w:insideV w:val="single" w:color="D9D9D9" w:sz="2"/>
        </w:tblBorders>
      </w:tblPr>
      <w:tblGrid>
        <w:gridCol w:w="2093"/>
        <w:gridCol w:w="2093"/>
        <w:gridCol w:w="2093"/>
        <w:gridCol w:w="2093"/>
        <w:gridCol w:w="2093"/>
      </w:tblGrid>
      <w:tr>
        <w:trPr>
          <w:cantSplit/>
        </w:trPr>
        <w:tc>
          <w:tcPr>
            <w:tcW w:type="dxa" w:w="2093"/>
            <w:shd w:fill="FFFFFF" w:color="auto" w:val="clear"/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 – D</w:t>
            </w:r>
          </w:p>
        </w:tc>
        <w:tc>
          <w:tcPr>
            <w:tcW w:type="dxa" w:w="2093"/>
            <w:shd w:fill="FFFFFF" w:color="auto" w:val="clear"/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 – B</w:t>
            </w:r>
          </w:p>
        </w:tc>
        <w:tc>
          <w:tcPr>
            <w:tcW w:type="dxa" w:w="2093"/>
            <w:shd w:fill="FFFFFF" w:color="auto" w:val="clear"/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 – B</w:t>
            </w:r>
          </w:p>
        </w:tc>
        <w:tc>
          <w:tcPr>
            <w:tcW w:type="dxa" w:w="2093"/>
            <w:shd w:fill="FFFFFF" w:color="auto" w:val="clear"/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 – B</w:t>
            </w:r>
          </w:p>
        </w:tc>
        <w:tc>
          <w:tcPr>
            <w:tcW w:type="dxa" w:w="2093"/>
            <w:shd w:fill="FFFFFF" w:color="auto" w:val="clear"/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5 – B</w:t>
            </w:r>
          </w:p>
        </w:tc>
      </w:tr>
      <w:tr>
        <w:trPr>
          <w:cantSplit/>
        </w:trPr>
        <w:tc>
          <w:tcPr>
            <w:tcW w:type="dxa" w:w="2093"/>
            <w:shd w:fill="F2F2F2" w:color="auto" w:val="clear"/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6 – C</w:t>
            </w:r>
          </w:p>
        </w:tc>
        <w:tc>
          <w:tcPr>
            <w:tcW w:type="dxa" w:w="2093"/>
            <w:shd w:fill="F2F2F2" w:color="auto" w:val="clear"/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7 – B</w:t>
            </w:r>
          </w:p>
        </w:tc>
        <w:tc>
          <w:tcPr>
            <w:tcW w:type="dxa" w:w="2093"/>
            <w:shd w:fill="F2F2F2" w:color="auto" w:val="clear"/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8 – B</w:t>
            </w:r>
          </w:p>
        </w:tc>
        <w:tc>
          <w:tcPr>
            <w:tcW w:type="dxa" w:w="2093"/>
            <w:shd w:fill="F2F2F2" w:color="auto" w:val="clear"/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9 – B</w:t>
            </w:r>
          </w:p>
        </w:tc>
        <w:tc>
          <w:tcPr>
            <w:tcW w:type="dxa" w:w="2093"/>
            <w:shd w:fill="F2F2F2" w:color="auto" w:val="clear"/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10 – C</w:t>
            </w:r>
          </w:p>
        </w:tc>
      </w:tr>
      <w:tr>
        <w:trPr>
          <w:cantSplit/>
        </w:trPr>
        <w:tc>
          <w:tcPr>
            <w:tcW w:type="dxa" w:w="2093"/>
            <w:shd w:fill="FFFFFF" w:color="auto" w:val="clear"/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11 – C</w:t>
            </w:r>
          </w:p>
        </w:tc>
        <w:tc>
          <w:tcPr>
            <w:tcW w:type="dxa" w:w="2093"/>
            <w:shd w:fill="FFFFFF" w:color="auto" w:val="clear"/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12 – C</w:t>
            </w:r>
          </w:p>
        </w:tc>
        <w:tc>
          <w:tcPr>
            <w:tcW w:type="dxa" w:w="2093"/>
            <w:shd w:fill="FFFFFF" w:color="auto" w:val="clear"/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13 – B</w:t>
            </w:r>
          </w:p>
        </w:tc>
        <w:tc>
          <w:tcPr>
            <w:tcW w:type="dxa" w:w="2093"/>
            <w:shd w:fill="FFFFFF" w:color="auto" w:val="clear"/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14 – B</w:t>
            </w:r>
          </w:p>
        </w:tc>
        <w:tc>
          <w:tcPr>
            <w:tcW w:type="dxa" w:w="2093"/>
            <w:shd w:fill="FFFFFF" w:color="auto" w:val="clear"/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15 – A</w:t>
            </w:r>
          </w:p>
        </w:tc>
      </w:tr>
      <w:tr>
        <w:trPr>
          <w:cantSplit/>
        </w:trPr>
        <w:tc>
          <w:tcPr>
            <w:tcW w:type="dxa" w:w="2093"/>
            <w:shd w:fill="F2F2F2" w:color="auto" w:val="clear"/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16 – C</w:t>
            </w:r>
          </w:p>
        </w:tc>
        <w:tc>
          <w:tcPr>
            <w:tcW w:type="dxa" w:w="2093"/>
            <w:shd w:fill="F2F2F2" w:color="auto" w:val="clear"/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17 – B</w:t>
            </w:r>
          </w:p>
        </w:tc>
        <w:tc>
          <w:tcPr>
            <w:tcW w:type="dxa" w:w="2093"/>
            <w:shd w:fill="F2F2F2" w:color="auto" w:val="clear"/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18 – B</w:t>
            </w:r>
          </w:p>
        </w:tc>
        <w:tc>
          <w:tcPr>
            <w:tcW w:type="dxa" w:w="2093"/>
            <w:shd w:fill="F2F2F2" w:color="auto" w:val="clear"/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19 – B</w:t>
            </w:r>
          </w:p>
        </w:tc>
        <w:tc>
          <w:tcPr>
            <w:tcW w:type="dxa" w:w="2093"/>
            <w:shd w:fill="F2F2F2" w:color="auto" w:val="clear"/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20 – B</w:t>
            </w:r>
          </w:p>
        </w:tc>
      </w:tr>
      <w:tr>
        <w:trPr>
          <w:cantSplit/>
        </w:trPr>
        <w:tc>
          <w:tcPr>
            <w:tcW w:type="dxa" w:w="2093"/>
            <w:shd w:fill="FFFFFF" w:color="auto" w:val="clear"/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21 – C</w:t>
            </w:r>
          </w:p>
        </w:tc>
        <w:tc>
          <w:tcPr>
            <w:tcW w:type="dxa" w:w="2093"/>
            <w:shd w:fill="FFFFFF" w:color="auto" w:val="clear"/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22 – B</w:t>
            </w:r>
          </w:p>
        </w:tc>
        <w:tc>
          <w:tcPr>
            <w:tcW w:type="dxa" w:w="2093"/>
            <w:shd w:fill="FFFFFF" w:color="auto" w:val="clear"/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23 – B</w:t>
            </w:r>
          </w:p>
        </w:tc>
        <w:tc>
          <w:tcPr>
            <w:tcW w:type="dxa" w:w="2093"/>
            <w:shd w:fill="FFFFFF" w:color="auto" w:val="clear"/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24 – C</w:t>
            </w:r>
          </w:p>
        </w:tc>
        <w:tc>
          <w:tcPr>
            <w:tcW w:type="dxa" w:w="2093"/>
            <w:shd w:fill="FFFFFF" w:color="auto" w:val="clear"/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25 – B</w:t>
            </w:r>
          </w:p>
        </w:tc>
      </w:tr>
    </w:tbl>
    <w:sectPr>
      <w:footerReference w:type="default" r:id="rId7"/>
      <w:pgSz w:w="11906" w:h="16838" w:orient="portrait"/>
      <w:pgMar w:top="620" w:right="720" w:bottom="6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95959"/>
        <w:sz w:val="15"/>
        <w:szCs w:val="15"/>
      </w:rPr>
      <w:t xml:space="preserve">INFAS — TD Traumatologie (Pathologies Chirurgicales, L2 IDE)   Page </w:t>
    </w:r>
    <w:r>
      <w:rPr>
        <w:rFonts w:ascii="Calibri" w:cs="Calibri" w:eastAsia="Calibri" w:hAnsi="Calibri"/>
        <w:color w:val="595959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95959"/>
        <w:sz w:val="15"/>
        <w:szCs w:val="15"/>
      </w:rPr>
      <w:t xml:space="preserve"> / </w:t>
    </w:r>
    <w:r>
      <w:rPr>
        <w:rFonts w:ascii="Calibri" w:cs="Calibri" w:eastAsia="Calibri" w:hAnsi="Calibri"/>
        <w:color w:val="595959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2026-07-19T07:20:39.881Z</dcterms:created>
  <dcterms:modified xsi:type="dcterms:W3CDTF">2026-07-19T07:20:39.881Z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