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0"/>
      </w:pPr>
    </w:p>
    <w:p>
      <w:pPr>
        <w:spacing w:after="80"/>
        <w:jc w:val="center"/>
      </w:pPr>
      <w:r>
        <w:rPr>
          <w:rFonts w:ascii="Calibri" w:cs="Calibri" w:eastAsia="Calibri" w:hAnsi="Calibri"/>
          <w:b/>
          <w:bCs/>
          <w:color w:val="1B3A5C"/>
          <w:spacing w:val="20"/>
          <w:sz w:val="30"/>
          <w:szCs w:val="30"/>
        </w:rPr>
        <w:t xml:space="preserve">INFAS</w:t>
      </w:r>
    </w:p>
    <w:p>
      <w:pPr>
        <w:spacing w:after="40"/>
        <w:jc w:val="center"/>
      </w:pPr>
      <w:r>
        <w:rPr>
          <w:rFonts w:ascii="Calibri" w:cs="Calibri" w:eastAsia="Calibri" w:hAnsi="Calibri"/>
          <w:i/>
          <w:iCs/>
          <w:color w:val="58595B"/>
          <w:sz w:val="20"/>
          <w:szCs w:val="20"/>
        </w:rPr>
        <w:t xml:space="preserve">Institut National de Formation des Agents de Santé</w:t>
      </w:r>
    </w:p>
    <w:p>
      <w:pPr>
        <w:spacing w:after="500"/>
        <w:jc w:val="center"/>
      </w:pPr>
      <w:r>
        <w:rPr>
          <w:rFonts w:ascii="Calibri" w:cs="Calibri" w:eastAsia="Calibri" w:hAnsi="Calibri"/>
          <w:i/>
          <w:iCs/>
          <w:color w:val="58595B"/>
          <w:sz w:val="20"/>
          <w:szCs w:val="20"/>
        </w:rPr>
        <w:t xml:space="preserve">Unité Pédagogique d'Anatomie, Physiologie et de Chirurgie</w:t>
      </w:r>
    </w:p>
    <w:p>
      <w:pPr>
        <w:pBdr>
          <w:bottom w:val="single" w:color="7A1F3D" w:sz="16" w:space="1"/>
        </w:pBdr>
        <w:spacing w:after="500"/>
        <w:jc w:val="center"/>
      </w:pPr>
      <w:r>
        <w:rPr>
          <w:sz w:val="2"/>
          <w:szCs w:val="2"/>
        </w:rPr>
        <w:t xml:space="preserve">        </w:t>
      </w:r>
    </w:p>
    <w:p>
      <w:pPr>
        <w:spacing w:after="120"/>
        <w:jc w:val="center"/>
      </w:pPr>
      <w:r>
        <w:rPr>
          <w:rFonts w:ascii="Calibri" w:cs="Calibri" w:eastAsia="Calibri" w:hAnsi="Calibri"/>
          <w:b/>
          <w:bCs/>
          <w:color w:val="0E7C7B"/>
          <w:spacing w:val="30"/>
          <w:sz w:val="24"/>
          <w:szCs w:val="24"/>
        </w:rPr>
        <w:t xml:space="preserve">TRAVAUX DIRIGÉS  •  EXERCICES D'APPLICATION</w:t>
      </w:r>
    </w:p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Pathologies Chirurgicales</w:t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1B3A5C"/>
          <w:sz w:val="56"/>
          <w:szCs w:val="56"/>
        </w:rPr>
        <w:t xml:space="preserve">Digestives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8595B"/>
          <w:sz w:val="26"/>
          <w:szCs w:val="26"/>
        </w:rPr>
        <w:t xml:space="preserve">Appendicite Aiguë  •  Occlusions Intestinales Aiguës  •  Péritonites</w:t>
      </w:r>
    </w:p>
    <w:p>
      <w:pPr>
        <w:spacing w:after="130"/>
        <w:jc w:val="center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CHAPITRE 1  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Appendicite Aiguë</w:t>
      </w:r>
    </w:p>
    <w:p>
      <w:pPr>
        <w:spacing w:after="130"/>
        <w:jc w:val="center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CHAPITRE 2  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Occlusions Intestinales Aiguës</w:t>
      </w:r>
    </w:p>
    <w:p>
      <w:pPr>
        <w:spacing w:after="130"/>
        <w:jc w:val="center"/>
      </w:pPr>
      <w:r>
        <w:rPr>
          <w:rFonts w:ascii="Calibri" w:cs="Calibri" w:eastAsia="Calibri" w:hAnsi="Calibri"/>
          <w:b/>
          <w:bCs/>
          <w:color w:val="1B3A5C"/>
          <w:sz w:val="22"/>
          <w:szCs w:val="22"/>
        </w:rPr>
        <w:t xml:space="preserve">CHAPITRE 3   </w:t>
      </w:r>
      <w:r>
        <w:rPr>
          <w:rFonts w:ascii="Calibri" w:cs="Calibri" w:eastAsia="Calibri" w:hAnsi="Calibri"/>
          <w:color w:val="2B2B2B"/>
          <w:sz w:val="22"/>
          <w:szCs w:val="22"/>
        </w:rPr>
        <w:t xml:space="preserve">Péritonites</w:t>
      </w:r>
    </w:p>
    <w:p>
      <w:pPr>
        <w:spacing w:after="200" w:before="5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Sciences Infirmières — Licence 2 (L2)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58595B"/>
          <w:sz w:val="20"/>
          <w:szCs w:val="20"/>
        </w:rPr>
        <w:t xml:space="preserve">Questions à Choix Double (QCD) et Questions à Choix Multiple (QCM)</w:t>
      </w:r>
    </w:p>
    <w:p>
      <w:pPr>
        <w:spacing w:before="900"/>
        <w:jc w:val="center"/>
      </w:pPr>
      <w:r>
        <w:rPr>
          <w:rFonts w:ascii="Calibri" w:cs="Calibri" w:eastAsia="Calibri" w:hAnsi="Calibri"/>
          <w:b/>
          <w:bCs/>
          <w:color w:val="7A1F3D"/>
          <w:spacing w:val="10"/>
          <w:sz w:val="20"/>
          <w:szCs w:val="20"/>
        </w:rPr>
        <w:t xml:space="preserve">DOCUMENT D'EXERCICES — SANS CORRIGÉ</w:t>
      </w:r>
    </w:p>
    <w:p>
      <w:r>
        <w:br w:type="page"/>
      </w:r>
    </w:p>
    <w:p>
      <w:pPr>
        <w:pStyle w:val="Heading1"/>
        <w:pBdr>
          <w:bottom w:val="single" w:color="7A1F3D" w:sz="12" w:space="6"/>
        </w:pBdr>
        <w:spacing w:after="400"/>
      </w:pPr>
      <w:r>
        <w:rPr>
          <w:rFonts w:ascii="Calibri" w:cs="Calibri" w:eastAsia="Calibri" w:hAnsi="Calibri"/>
          <w:b/>
          <w:bCs/>
          <w:color w:val="1B3A5C"/>
          <w:sz w:val="34"/>
          <w:szCs w:val="34"/>
        </w:rPr>
        <w:t xml:space="preserve">SOMMAIRE</w:t>
      </w:r>
    </w:p>
    <w:p>
      <w:pPr>
        <w:tabs>
          <w:tab w:val="right" w:pos="9026" w:leader="dot"/>
        </w:tabs>
        <w:spacing w:after="160"/>
        <w:ind w:left="0"/>
      </w:pPr>
      <w:hyperlink w:history="1" w:anchor="ch1">
        <w:r>
          <w:rPr>
            <w:rFonts w:ascii="Calibri" w:cs="Calibri" w:eastAsia="Calibri" w:hAnsi="Calibri"/>
            <w:b/>
            <w:bCs/>
            <w:color w:val="1B3A5C"/>
            <w:sz w:val="24"/>
            <w:szCs w:val="24"/>
          </w:rPr>
          <w:t xml:space="preserve">Chapitre 1 — Appendicite Aiguë</w:t>
        </w:r>
        <w:r>
          <w:rPr>
            <w:sz w:val="21"/>
            <w:szCs w:val="21"/>
          </w:rPr>
          <w:t xml:space="preserve">	</w:t>
        </w:r>
      </w:hyperlink>
    </w:p>
    <w:p>
      <w:pPr>
        <w:tabs>
          <w:tab w:val="right" w:pos="9026" w:leader="dot"/>
        </w:tabs>
        <w:spacing w:after="90"/>
        <w:ind w:left="360"/>
      </w:pPr>
      <w:hyperlink w:history="1" w:anchor="ch1-obj">
        <w:r>
          <w:rPr>
            <w:rFonts w:ascii="Calibri" w:cs="Calibri" w:eastAsia="Calibri" w:hAnsi="Calibri"/>
            <w:b w:val="false"/>
            <w:bCs w:val="false"/>
            <w:color w:val="2B2B2B"/>
            <w:sz w:val="21"/>
            <w:szCs w:val="21"/>
          </w:rPr>
          <w:t xml:space="preserve">Objectifs</w:t>
        </w:r>
        <w:r>
          <w:rPr>
            <w:sz w:val="21"/>
            <w:szCs w:val="21"/>
          </w:rPr>
          <w:t xml:space="preserve">	</w:t>
        </w:r>
      </w:hyperlink>
    </w:p>
    <w:p>
      <w:pPr>
        <w:tabs>
          <w:tab w:val="right" w:pos="9026" w:leader="dot"/>
        </w:tabs>
        <w:spacing w:after="90"/>
        <w:ind w:left="360"/>
      </w:pPr>
      <w:hyperlink w:history="1" w:anchor="ch1-qcd">
        <w:r>
          <w:rPr>
            <w:rFonts w:ascii="Calibri" w:cs="Calibri" w:eastAsia="Calibri" w:hAnsi="Calibri"/>
            <w:b w:val="false"/>
            <w:bCs w:val="false"/>
            <w:color w:val="2B2B2B"/>
            <w:sz w:val="21"/>
            <w:szCs w:val="21"/>
          </w:rPr>
          <w:t xml:space="preserve">Questions à Choix Double (QCD) — 15 items</w:t>
        </w:r>
        <w:r>
          <w:rPr>
            <w:sz w:val="21"/>
            <w:szCs w:val="21"/>
          </w:rPr>
          <w:t xml:space="preserve">	</w:t>
        </w:r>
      </w:hyperlink>
    </w:p>
    <w:p>
      <w:pPr>
        <w:tabs>
          <w:tab w:val="right" w:pos="9026" w:leader="dot"/>
        </w:tabs>
        <w:spacing w:after="90"/>
        <w:ind w:left="360"/>
      </w:pPr>
      <w:hyperlink w:history="1" w:anchor="ch1-qcm">
        <w:r>
          <w:rPr>
            <w:rFonts w:ascii="Calibri" w:cs="Calibri" w:eastAsia="Calibri" w:hAnsi="Calibri"/>
            <w:b w:val="false"/>
            <w:bCs w:val="false"/>
            <w:color w:val="2B2B2B"/>
            <w:sz w:val="21"/>
            <w:szCs w:val="21"/>
          </w:rPr>
          <w:t xml:space="preserve">Questions à Choix Multiple (QCM) — 15 items</w:t>
        </w:r>
        <w:r>
          <w:rPr>
            <w:sz w:val="21"/>
            <w:szCs w:val="21"/>
          </w:rPr>
          <w:t xml:space="preserve">	</w:t>
        </w:r>
      </w:hyperlink>
    </w:p>
    <w:p>
      <w:pPr>
        <w:tabs>
          <w:tab w:val="right" w:pos="9026" w:leader="dot"/>
        </w:tabs>
        <w:spacing w:after="160"/>
        <w:ind w:left="0"/>
      </w:pPr>
      <w:hyperlink w:history="1" w:anchor="ch2">
        <w:r>
          <w:rPr>
            <w:rFonts w:ascii="Calibri" w:cs="Calibri" w:eastAsia="Calibri" w:hAnsi="Calibri"/>
            <w:b/>
            <w:bCs/>
            <w:color w:val="1B3A5C"/>
            <w:sz w:val="24"/>
            <w:szCs w:val="24"/>
          </w:rPr>
          <w:t xml:space="preserve">Chapitre 2 — Occlusions Intestinales Aiguës</w:t>
        </w:r>
        <w:r>
          <w:rPr>
            <w:sz w:val="21"/>
            <w:szCs w:val="21"/>
          </w:rPr>
          <w:t xml:space="preserve">	</w:t>
        </w:r>
      </w:hyperlink>
    </w:p>
    <w:p>
      <w:pPr>
        <w:tabs>
          <w:tab w:val="right" w:pos="9026" w:leader="dot"/>
        </w:tabs>
        <w:spacing w:after="90"/>
        <w:ind w:left="360"/>
      </w:pPr>
      <w:hyperlink w:history="1" w:anchor="ch2-obj">
        <w:r>
          <w:rPr>
            <w:rFonts w:ascii="Calibri" w:cs="Calibri" w:eastAsia="Calibri" w:hAnsi="Calibri"/>
            <w:b w:val="false"/>
            <w:bCs w:val="false"/>
            <w:color w:val="2B2B2B"/>
            <w:sz w:val="21"/>
            <w:szCs w:val="21"/>
          </w:rPr>
          <w:t xml:space="preserve">Objectifs</w:t>
        </w:r>
        <w:r>
          <w:rPr>
            <w:sz w:val="21"/>
            <w:szCs w:val="21"/>
          </w:rPr>
          <w:t xml:space="preserve">	</w:t>
        </w:r>
      </w:hyperlink>
    </w:p>
    <w:p>
      <w:pPr>
        <w:tabs>
          <w:tab w:val="right" w:pos="9026" w:leader="dot"/>
        </w:tabs>
        <w:spacing w:after="90"/>
        <w:ind w:left="360"/>
      </w:pPr>
      <w:hyperlink w:history="1" w:anchor="ch2-qcd">
        <w:r>
          <w:rPr>
            <w:rFonts w:ascii="Calibri" w:cs="Calibri" w:eastAsia="Calibri" w:hAnsi="Calibri"/>
            <w:b w:val="false"/>
            <w:bCs w:val="false"/>
            <w:color w:val="2B2B2B"/>
            <w:sz w:val="21"/>
            <w:szCs w:val="21"/>
          </w:rPr>
          <w:t xml:space="preserve">Questions à Choix Double (QCD) — 15 items</w:t>
        </w:r>
        <w:r>
          <w:rPr>
            <w:sz w:val="21"/>
            <w:szCs w:val="21"/>
          </w:rPr>
          <w:t xml:space="preserve">	</w:t>
        </w:r>
      </w:hyperlink>
    </w:p>
    <w:p>
      <w:pPr>
        <w:tabs>
          <w:tab w:val="right" w:pos="9026" w:leader="dot"/>
        </w:tabs>
        <w:spacing w:after="90"/>
        <w:ind w:left="360"/>
      </w:pPr>
      <w:hyperlink w:history="1" w:anchor="ch2-qcm">
        <w:r>
          <w:rPr>
            <w:rFonts w:ascii="Calibri" w:cs="Calibri" w:eastAsia="Calibri" w:hAnsi="Calibri"/>
            <w:b w:val="false"/>
            <w:bCs w:val="false"/>
            <w:color w:val="2B2B2B"/>
            <w:sz w:val="21"/>
            <w:szCs w:val="21"/>
          </w:rPr>
          <w:t xml:space="preserve">Questions à Choix Multiple (QCM) — 15 items</w:t>
        </w:r>
        <w:r>
          <w:rPr>
            <w:sz w:val="21"/>
            <w:szCs w:val="21"/>
          </w:rPr>
          <w:t xml:space="preserve">	</w:t>
        </w:r>
      </w:hyperlink>
    </w:p>
    <w:p>
      <w:pPr>
        <w:tabs>
          <w:tab w:val="right" w:pos="9026" w:leader="dot"/>
        </w:tabs>
        <w:spacing w:after="160"/>
        <w:ind w:left="0"/>
      </w:pPr>
      <w:hyperlink w:history="1" w:anchor="ch3">
        <w:r>
          <w:rPr>
            <w:rFonts w:ascii="Calibri" w:cs="Calibri" w:eastAsia="Calibri" w:hAnsi="Calibri"/>
            <w:b/>
            <w:bCs/>
            <w:color w:val="1B3A5C"/>
            <w:sz w:val="24"/>
            <w:szCs w:val="24"/>
          </w:rPr>
          <w:t xml:space="preserve">Chapitre 3 — Péritonites</w:t>
        </w:r>
        <w:r>
          <w:rPr>
            <w:sz w:val="21"/>
            <w:szCs w:val="21"/>
          </w:rPr>
          <w:t xml:space="preserve">	</w:t>
        </w:r>
      </w:hyperlink>
    </w:p>
    <w:p>
      <w:pPr>
        <w:tabs>
          <w:tab w:val="right" w:pos="9026" w:leader="dot"/>
        </w:tabs>
        <w:spacing w:after="90"/>
        <w:ind w:left="360"/>
      </w:pPr>
      <w:hyperlink w:history="1" w:anchor="ch3-obj">
        <w:r>
          <w:rPr>
            <w:rFonts w:ascii="Calibri" w:cs="Calibri" w:eastAsia="Calibri" w:hAnsi="Calibri"/>
            <w:b w:val="false"/>
            <w:bCs w:val="false"/>
            <w:color w:val="2B2B2B"/>
            <w:sz w:val="21"/>
            <w:szCs w:val="21"/>
          </w:rPr>
          <w:t xml:space="preserve">Objectifs</w:t>
        </w:r>
        <w:r>
          <w:rPr>
            <w:sz w:val="21"/>
            <w:szCs w:val="21"/>
          </w:rPr>
          <w:t xml:space="preserve">	</w:t>
        </w:r>
      </w:hyperlink>
    </w:p>
    <w:p>
      <w:pPr>
        <w:tabs>
          <w:tab w:val="right" w:pos="9026" w:leader="dot"/>
        </w:tabs>
        <w:spacing w:after="90"/>
        <w:ind w:left="360"/>
      </w:pPr>
      <w:hyperlink w:history="1" w:anchor="ch3-qcd">
        <w:r>
          <w:rPr>
            <w:rFonts w:ascii="Calibri" w:cs="Calibri" w:eastAsia="Calibri" w:hAnsi="Calibri"/>
            <w:b w:val="false"/>
            <w:bCs w:val="false"/>
            <w:color w:val="2B2B2B"/>
            <w:sz w:val="21"/>
            <w:szCs w:val="21"/>
          </w:rPr>
          <w:t xml:space="preserve">Questions à Choix Double (QCD) — 15 items</w:t>
        </w:r>
        <w:r>
          <w:rPr>
            <w:sz w:val="21"/>
            <w:szCs w:val="21"/>
          </w:rPr>
          <w:t xml:space="preserve">	</w:t>
        </w:r>
      </w:hyperlink>
    </w:p>
    <w:p>
      <w:pPr>
        <w:tabs>
          <w:tab w:val="right" w:pos="9026" w:leader="dot"/>
        </w:tabs>
        <w:spacing w:after="90"/>
        <w:ind w:left="360"/>
      </w:pPr>
      <w:hyperlink w:history="1" w:anchor="ch3-qcm">
        <w:r>
          <w:rPr>
            <w:rFonts w:ascii="Calibri" w:cs="Calibri" w:eastAsia="Calibri" w:hAnsi="Calibri"/>
            <w:b w:val="false"/>
            <w:bCs w:val="false"/>
            <w:color w:val="2B2B2B"/>
            <w:sz w:val="21"/>
            <w:szCs w:val="21"/>
          </w:rPr>
          <w:t xml:space="preserve">Questions à Choix Multiple (QCM) — 15 items</w:t>
        </w:r>
        <w:r>
          <w:rPr>
            <w:sz w:val="21"/>
            <w:szCs w:val="21"/>
          </w:rPr>
          <w:t xml:space="preserve">	</w:t>
        </w:r>
      </w:hyperlink>
    </w:p>
    <w:p>
      <w:r>
        <w:br w:type="page"/>
      </w:r>
    </w:p>
    <w:p>
      <w:pPr>
        <w:pStyle w:val="Heading1"/>
        <w:pBdr>
          <w:bottom w:val="single" w:color="1B3A5C" w:sz="12" w:space="8"/>
        </w:pBdr>
        <w:spacing w:after="260" w:before="100"/>
      </w:pPr>
      <w:bookmarkStart w:name="ch1" w:id="1"/>
      <w:r>
        <w:rPr>
          <w:rFonts w:ascii="Calibri" w:cs="Calibri" w:eastAsia="Calibri" w:hAnsi="Calibri"/>
          <w:b/>
          <w:bCs/>
          <w:color w:val="0E7C7B"/>
          <w:sz w:val="32"/>
          <w:szCs w:val="32"/>
        </w:rPr>
        <w:t xml:space="preserve">CHAPITRE 1  —  </w:t>
      </w: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APPENDICITE AIGUË</w:t>
      </w:r>
      <w:bookmarkEnd w:id="1"/>
    </w:p>
    <w:p>
      <w:pPr>
        <w:pStyle w:val="Heading2"/>
        <w:keepNext/>
        <w:shd w:fill="E7F2F1" w:color="auto" w:val="clear"/>
        <w:spacing w:after="160" w:before="320"/>
      </w:pPr>
      <w:bookmarkStart w:name="ch1-obj" w:id="1"/>
      <w:r>
        <w:rPr>
          <w:rFonts w:ascii="Calibri" w:cs="Calibri" w:eastAsia="Calibri" w:hAnsi="Calibri"/>
          <w:b/>
          <w:bCs/>
          <w:color w:val="0E7C7B"/>
          <w:sz w:val="25"/>
          <w:szCs w:val="25"/>
        </w:rPr>
        <w:t xml:space="preserve">OBJECTIFS</w:t>
      </w:r>
      <w:bookmarkEnd w:id="1"/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color="1B3A5C" w:sz="4"/>
              <w:left w:val="single" w:color="7A1F3D" w:sz="32"/>
              <w:bottom w:val="single" w:color="1B3A5C" w:sz="4"/>
              <w:right w:val="single" w:color="1B3A5C" w:sz="4"/>
            </w:tcBorders>
            <w:shd w:fill="EAF0F6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1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DÉFINIR l'appendicite aiguë</w:t>
            </w:r>
          </w:p>
          <w:p>
            <w:pPr>
              <w:spacing w:after="11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CITER trois formes anatomopathologiques de l'appendicite aiguë</w:t>
            </w:r>
          </w:p>
          <w:p>
            <w:pPr>
              <w:spacing w:after="11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CITER trois signes fonctionnels et deux signes physiques de l'appendicite aiguë</w:t>
            </w:r>
          </w:p>
          <w:p>
            <w:pPr>
              <w:spacing w:after="11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ÉNUMÉRER trois complications évolutives de l'appendicite aiguë</w:t>
            </w:r>
          </w:p>
          <w:p>
            <w:pPr>
              <w:spacing w:after="11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PROPOSER un traitement des appendicites aiguës et de leurs formes compliquées</w:t>
            </w:r>
          </w:p>
          <w:p>
            <w:pPr>
              <w:spacing w:after="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DÉCRIRE les principales interventions infirmières péri-opératoires chez un patient appendicectomisé</w:t>
            </w:r>
          </w:p>
        </w:tc>
      </w:tr>
    </w:tbl>
    <w:p>
      <w:pPr>
        <w:pStyle w:val="Heading2"/>
        <w:keepNext/>
        <w:shd w:fill="EAF0F6" w:color="auto" w:val="clear"/>
        <w:spacing w:after="160" w:before="320"/>
      </w:pPr>
      <w:bookmarkStart w:name="ch1-qcd" w:id="1"/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QUESTIONS À CHOIX DOUBLE (QCD) — Vrai ou Faux</w:t>
      </w:r>
      <w:bookmarkEnd w:id="1"/>
    </w:p>
    <w:p>
      <w:pPr>
        <w:keepNext/>
        <w:spacing w:after="200"/>
      </w:pPr>
      <w:r>
        <w:rPr>
          <w:rFonts w:ascii="Calibri" w:cs="Calibri" w:eastAsia="Calibri" w:hAnsi="Calibri"/>
          <w:i/>
          <w:iCs/>
          <w:color w:val="58595B"/>
          <w:sz w:val="20"/>
          <w:szCs w:val="20"/>
        </w:rPr>
        <w:t xml:space="preserve">Consigne : pour chaque proposition, cochez la case VRAI ou FAUX correspondante.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12"/>
        <w:gridCol w:w="1000"/>
        <w:gridCol w:w="1000"/>
      </w:tblGrid>
      <w:tr>
        <w:trPr>
          <w:cantSplit/>
          <w:tblHeader/>
        </w:trPr>
        <w:tc>
          <w:tcPr>
            <w:tcW w:type="dxa" w:w="5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6512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Proposition</w:t>
            </w:r>
          </w:p>
        </w:tc>
        <w:tc>
          <w:tcPr>
            <w:tcW w:type="dxa" w:w="1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VRAI</w:t>
            </w:r>
          </w:p>
        </w:tc>
        <w:tc>
          <w:tcPr>
            <w:tcW w:type="dxa" w:w="1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FAUX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L'appendicite aiguë représente l'urgence abdominale la plus fréquente.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Elle est particulièrement fréquente chez le nourrisson de moins de 3 ans.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3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Son pic de fréquence se situe entre 10 et 30 ans.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4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Il existe un parallélisme anatomoclinique constant dans l'appendicite aiguë, ce qui rend le diagnostic aisé.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5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L'appendice est un diverticule intestinal borgne contenant du tissu lymphoïde, et mesure habituellement 8 à 10 cm.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6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La voie hématogène est le mode de contamination habituel de l'appendice.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7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On distingue trois formes anatomopathologiques de l'appendicite : catarrhale, phlegmoneuse et gangreneuse.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8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La diarrhée est un signe fréquent dans la forme typique de l'appendicite aiguë de l'adulte jeune.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9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Le toucher rectal réveille une douleur du cul-de-sac de Douglas en cas d'appendicite aiguë.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10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La NFS montre habituellement une hyperleucocytose supérieure à 10 000 éléments/mm3 à polynucléaires neutrophiles.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11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L'échographie abdominale évoque le diagnostic devant un épaississement de la paroi appendiculaire inférieur à 8 mm.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12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La tomodensitométrie abdominale est l'examen d'imagerie de référence pour le diagnostic de l'appendicite aiguë.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13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L'appendicite toxique est une forme bénigne, sans retentissement sur l'état général.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14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Le traitement du plastron appendiculaire est chirurgical d'emblée, sans phase médicale préalable.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15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Chez la femme enceinte, l'appendicectomie est encadrée d'un traitement tocolytique.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p>
      <w:pPr>
        <w:pStyle w:val="Heading2"/>
        <w:keepNext/>
        <w:shd w:fill="E7F2F1" w:color="auto" w:val="clear"/>
        <w:spacing w:after="160" w:before="320"/>
      </w:pPr>
      <w:bookmarkStart w:name="ch1-qcm" w:id="1"/>
      <w:r>
        <w:rPr>
          <w:rFonts w:ascii="Calibri" w:cs="Calibri" w:eastAsia="Calibri" w:hAnsi="Calibri"/>
          <w:b/>
          <w:bCs/>
          <w:color w:val="0E7C7B"/>
          <w:sz w:val="25"/>
          <w:szCs w:val="25"/>
        </w:rPr>
        <w:t xml:space="preserve">QUESTIONS À CHOIX MULTIPLE (QCM)</w:t>
      </w:r>
      <w:bookmarkEnd w:id="1"/>
    </w:p>
    <w:p>
      <w:pPr>
        <w:keepNext/>
        <w:spacing w:after="200"/>
      </w:pPr>
      <w:r>
        <w:rPr>
          <w:rFonts w:ascii="Calibri" w:cs="Calibri" w:eastAsia="Calibri" w:hAnsi="Calibri"/>
          <w:i/>
          <w:iCs/>
          <w:color w:val="58595B"/>
          <w:sz w:val="20"/>
          <w:szCs w:val="20"/>
        </w:rPr>
        <w:t xml:space="preserve">Consigne : pour chaque question, cochez la seule réponse exacte parmi les propositions A, B, C et D.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Quel est le pic de fréquence de l'appendicite aiguë ?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Avant 3 ans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Entre 10 et 30 ans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Entre 40 et 60 ans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Après 70 ans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Quelle est la longueur habituelle de l'appendice ?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2 à 4 cm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4 à 6 cm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8 à 10 cm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12 à 15 cm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Quelle est la voie de contamination habituelle de l'appendice ?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Voie hématogène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Voie lymphatique exclusive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Voie transplacentaire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Voie endogène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Parmi les propositions suivantes, laquelle n'est PAS une cause de contamination de l'appendice par voie endogène ?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Décharge bacillémique liée à une septicémie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Stercolithe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Hyperplasie du tissu lymphoïde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Corps étranger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Combien de formes anatomopathologiques d'appendicite aiguë sont classiquement décrites ?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Deux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Trois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Quatre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Cinq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Laquelle des propositions suivantes NE fait PAS partie des formes anatomopathologiques de l'appendicite ?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Catarrhale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Phlegmoneuse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Ulcéreuse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Gangreneuse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Dans la forme typique de l'appendicite aiguë, la température se situe habituellement entre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36° et 37°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39,5° et 40°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37° et 37,5°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38° et 38,5°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Quel signe physique est classiquement recherché à l'inspection de la fosse iliaque droite en cas d'appendicite aiguë ?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diminution de l'amplitude des mouvements respiratoires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augmentation de l'amplitude des mouvements respiratoires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 météorisme majeur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cicatrice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9.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Le toucher rectal, en cas d'appendicite aiguë typique, retrouve typiquement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ampoule rectale vide et indolore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douleur du cul-de-sac de Douglas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 fécalome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masse dure et indolore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Le seuil d'hyperleucocytose habituellement retenu à la NFS en cas d'appendicite aiguë est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Supérieur à 5 000 éléments/mm3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Supérieur à 15 000 éléments/mm3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Supérieur à 10 000 éléments/mm3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Supérieur à 8 000 éléments/mm3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11.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Quel examen d'imagerie est considéré comme l'examen de référence pour le diagnostic de l'appendicite aiguë ?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L'abdomen sans préparation (ASP)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tomodensitométrie abdominale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L'échographie abdominale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Le lavement baryté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12.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Parmi les propositions suivantes, laquelle correspond à une forme grave d'emblée de l'appendicite aiguë ?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L'appendicite toxique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L'appendicite rétrocæcale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L'appendicite mésocœliaque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L'appendicite herniaire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13.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Devant une douleur de la fosse iliaque droite chez la femme, quel diagnostic différentiel chirurgical doit être évoqué en priorité ?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cystite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grossesse extra-utérine droite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gastrite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lombalgie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14.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Quelle est l'indication thérapeutique en cas d'abcès appendiculaire ?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Simple surveillance clinique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Antibiothérapie seule, sans geste chirurgical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Drainage suivi d'appendicectomie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Laparotomie exploratrice sans appendicectomie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15.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Après une appendicectomie sans drainage, l'ablation des fils de suture se fait habituellement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Entre le 1er et le 2e jour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Entre le 10e et le 12e jour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Après le 21e jour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Entre le 5e et le 7e jour</w:t>
      </w:r>
    </w:p>
    <w:p>
      <w:r>
        <w:br w:type="page"/>
      </w:r>
    </w:p>
    <w:p>
      <w:pPr>
        <w:pStyle w:val="Heading1"/>
        <w:pBdr>
          <w:bottom w:val="single" w:color="1B3A5C" w:sz="12" w:space="8"/>
        </w:pBdr>
        <w:spacing w:after="260" w:before="100"/>
      </w:pPr>
      <w:bookmarkStart w:name="ch2" w:id="1"/>
      <w:r>
        <w:rPr>
          <w:rFonts w:ascii="Calibri" w:cs="Calibri" w:eastAsia="Calibri" w:hAnsi="Calibri"/>
          <w:b/>
          <w:bCs/>
          <w:color w:val="0E7C7B"/>
          <w:sz w:val="32"/>
          <w:szCs w:val="32"/>
        </w:rPr>
        <w:t xml:space="preserve">CHAPITRE 2  —  </w:t>
      </w: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OCCLUSIONS INTESTINALES AIGUËS</w:t>
      </w:r>
      <w:bookmarkEnd w:id="1"/>
    </w:p>
    <w:p>
      <w:pPr>
        <w:pStyle w:val="Heading2"/>
        <w:keepNext/>
        <w:shd w:fill="E7F2F1" w:color="auto" w:val="clear"/>
        <w:spacing w:after="160" w:before="320"/>
      </w:pPr>
      <w:bookmarkStart w:name="ch2-obj" w:id="1"/>
      <w:r>
        <w:rPr>
          <w:rFonts w:ascii="Calibri" w:cs="Calibri" w:eastAsia="Calibri" w:hAnsi="Calibri"/>
          <w:b/>
          <w:bCs/>
          <w:color w:val="0E7C7B"/>
          <w:sz w:val="25"/>
          <w:szCs w:val="25"/>
        </w:rPr>
        <w:t xml:space="preserve">OBJECTIFS</w:t>
      </w:r>
      <w:bookmarkEnd w:id="1"/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color="1B3A5C" w:sz="4"/>
              <w:left w:val="single" w:color="7A1F3D" w:sz="32"/>
              <w:bottom w:val="single" w:color="1B3A5C" w:sz="4"/>
              <w:right w:val="single" w:color="1B3A5C" w:sz="4"/>
            </w:tcBorders>
            <w:shd w:fill="EAF0F6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1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DÉFINIR l'occlusion intestinale aiguë</w:t>
            </w:r>
          </w:p>
          <w:p>
            <w:pPr>
              <w:spacing w:after="11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CITER les trois processus étiologiques de l'occlusion intestinale</w:t>
            </w:r>
          </w:p>
          <w:p>
            <w:pPr>
              <w:spacing w:after="11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DÉCRIRE les signes fonctionnels et le signe physique du syndrome occlusif</w:t>
            </w:r>
          </w:p>
          <w:p>
            <w:pPr>
              <w:spacing w:after="11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DISTINGUER les caractéristiques cliniques et radiologiques de l'occlusion du grêle et de l'occlusion colique</w:t>
            </w:r>
          </w:p>
          <w:p>
            <w:pPr>
              <w:spacing w:after="11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ÉNUMÉRER les gestes de réanimation d'urgence devant une occlusion intestinale aiguë</w:t>
            </w:r>
          </w:p>
          <w:p>
            <w:pPr>
              <w:spacing w:after="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PROPOSER une conduite thérapeutique adaptée selon le mécanisme de l'occlusion</w:t>
            </w:r>
          </w:p>
        </w:tc>
      </w:tr>
    </w:tbl>
    <w:p>
      <w:pPr>
        <w:pStyle w:val="Heading2"/>
        <w:keepNext/>
        <w:shd w:fill="EAF0F6" w:color="auto" w:val="clear"/>
        <w:spacing w:after="160" w:before="320"/>
      </w:pPr>
      <w:bookmarkStart w:name="ch2-qcd" w:id="1"/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QUESTIONS À CHOIX DOUBLE (QCD) — Vrai ou Faux</w:t>
      </w:r>
      <w:bookmarkEnd w:id="1"/>
    </w:p>
    <w:p>
      <w:pPr>
        <w:keepNext/>
        <w:spacing w:after="200"/>
      </w:pPr>
      <w:r>
        <w:rPr>
          <w:rFonts w:ascii="Calibri" w:cs="Calibri" w:eastAsia="Calibri" w:hAnsi="Calibri"/>
          <w:i/>
          <w:iCs/>
          <w:color w:val="58595B"/>
          <w:sz w:val="20"/>
          <w:szCs w:val="20"/>
        </w:rPr>
        <w:t xml:space="preserve">Consigne : pour chaque proposition, cochez la case VRAI ou FAUX correspondante.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12"/>
        <w:gridCol w:w="1000"/>
        <w:gridCol w:w="1000"/>
      </w:tblGrid>
      <w:tr>
        <w:trPr>
          <w:cantSplit/>
          <w:tblHeader/>
        </w:trPr>
        <w:tc>
          <w:tcPr>
            <w:tcW w:type="dxa" w:w="5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6512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Proposition</w:t>
            </w:r>
          </w:p>
        </w:tc>
        <w:tc>
          <w:tcPr>
            <w:tcW w:type="dxa" w:w="1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VRAI</w:t>
            </w:r>
          </w:p>
        </w:tc>
        <w:tc>
          <w:tcPr>
            <w:tcW w:type="dxa" w:w="1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FAUX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L'occlusion intestinale aiguë correspond à un arrêt complet et persistant du transit des matières et des gaz dans un segment intestinal donné.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Toute occlusion intestinale est une affection grave nécessitant une thérapeutique urgente associant réanimation médicale et geste chirurgical.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3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Les occlusions intestinales relèvent d'un seul et même mécanisme physiopathologique.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4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La strangulation se caractérise par des lésions vasculaires pouvant conduire à la nécrose puis à la perforation de l'anse intestinale.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5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Le volvulus correspond à l'incarcération d'une anse intestinale dans un orifice interne de la cavité abdominale.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6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Une hypokaliémie peut être à l'origine d'une occlusion fonctionnelle.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7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Dans le syndrome occlusif, la contracture abdominale à la palpation est un signe constant.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8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L'arrêt des matières et des gaz constitue le signe fonctionnel majeur de l'occlusion, bien qu'il puisse être difficile à préciser cliniquement.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9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L'image hydroaérique retrouvée sur l'abdomen sans préparation est le signe radiologique essentiel de l'occlusion intestinale.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10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L'hématocrite est habituellement abaissé au cours de l'occlusion intestinale du fait de l'hypovolémie.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11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Dans l'occlusion du grêle, les vomissements sont précoces et abondants, contrairement à l'occlusion colique où ils sont tardifs et rares.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12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Dans l'occlusion colique, l'état général est rapidement et sévèrement altéré dès le début des symptômes.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13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La pose d'une sonde urinaire à demeure n'est pas indiquée dans la prise en charge initiale d'une occlusion intestinale.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14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En cas de volvulus avec anse intestinale saine, le traitement consiste à réintégrer et fixer l'anse.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15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Le pronostic des reprises chirurgicales pour occlusion post-opératoire est habituellement favorable, indépendamment de l'âge du patient.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p>
      <w:pPr>
        <w:pStyle w:val="Heading2"/>
        <w:keepNext/>
        <w:shd w:fill="E7F2F1" w:color="auto" w:val="clear"/>
        <w:spacing w:after="160" w:before="320"/>
      </w:pPr>
      <w:bookmarkStart w:name="ch2-qcm" w:id="1"/>
      <w:r>
        <w:rPr>
          <w:rFonts w:ascii="Calibri" w:cs="Calibri" w:eastAsia="Calibri" w:hAnsi="Calibri"/>
          <w:b/>
          <w:bCs/>
          <w:color w:val="0E7C7B"/>
          <w:sz w:val="25"/>
          <w:szCs w:val="25"/>
        </w:rPr>
        <w:t xml:space="preserve">QUESTIONS À CHOIX MULTIPLE (QCM)</w:t>
      </w:r>
      <w:bookmarkEnd w:id="1"/>
    </w:p>
    <w:p>
      <w:pPr>
        <w:keepNext/>
        <w:spacing w:after="200"/>
      </w:pPr>
      <w:r>
        <w:rPr>
          <w:rFonts w:ascii="Calibri" w:cs="Calibri" w:eastAsia="Calibri" w:hAnsi="Calibri"/>
          <w:i/>
          <w:iCs/>
          <w:color w:val="58595B"/>
          <w:sz w:val="20"/>
          <w:szCs w:val="20"/>
        </w:rPr>
        <w:t xml:space="preserve">Consigne : pour chaque question, cochez la seule réponse exacte parmi les propositions A, B, C et D.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L'occlusion intestinale aiguë se définit comme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 ralentissement transitoire du transit intestinal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 arrêt complet et persistant du transit des matières et des gaz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accélération du transit intestinal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distension abdominale isolée sans trouble du transit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Parmi les mécanismes suivants, lequel correspond à une occlusion par strangulation ?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tumeur sténosante de la paroi intestinale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 fécalome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 volvulus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compression extrinsèque par une bride sans torsion vasculaire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Quelle est la cause la plus fréquente d'occlusion mécanique par obturation de la lumière intestinale ?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 bézoard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 fécalome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 calcul biliaire migré (iléus biliaire)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Toutes ces réponses peuvent être en cause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Les occlusions fonctionnelles résultent essentiellement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D'un dérèglement du système nerveux intestinal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D'un obstacle anatomique fixe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D'une tumeur colique sténosante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D'une invagination intestinale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Parmi les signes fonctionnels du syndrome occlusif, lequel est considéré comme le signe majeur définissant l'occlusion ?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Les douleurs abdominales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L'arrêt des matières et des gaz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Les vomissements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Le météorisme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À la palpation de l'abdomen en cas d'occlusion intestinale, on retrouve classiquement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contracture généralisée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défense localisée systématique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paroi souple ou tendue, élastique et douloureuse, sans contracture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 ventre de bois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Parmi les anomalies suivantes, laquelle n'est PAS habituellement retrouvée au cours de l'occlusion intestinale ?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Hyperleucocytose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Hyperazotémie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Hypokaliémie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Hématocrite abaissé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Le signe radiologique essentiel affirmant le diagnostic d'occlusion intestinale sur l'abdomen sans préparation est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L'image hydroaérique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Le pneumopéritoine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grisaille diffuse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Le calcul radio-opaque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9.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Dans l'occlusion du grêle, les images hydroaériques à l'ASP sont typiquement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Périphériques et peu nombreuses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Centrales, multiples, plus hautes que larges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Absentes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Uniquement coliques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Dans l'occlusion colique, le météorisme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Tardif et discret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Localisé exclusivement à l'épigastre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Précoce, important, et dessine volontiers le cadre colique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Absent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11.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Devant une occlusion par strangulation, la période préopératoire de réanimation doit être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Prolongée de plusieurs jours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Inutile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Retardée jusqu'à normalisation complète de l'ionogramme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Brève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12.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Le premier geste de réanimation à réaliser devant une occlusion intestinale aiguë est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mise en place d'une sonde gastro-duodénale en aspiration et d'une perfusion avec bilan biologique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L'antibiothérapie systématique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laparotomie immédiate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Le lavement baryté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13.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En cas de volvulus du côlon avec anse sphacélée, le traitement consiste en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simple détorsion sans résection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résection colique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surveillance simple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 lavement évacuateur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14.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Devant une occlusion par foyer septique circonscrit (cholécystite), le traitement peut se limiter à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chirurgie d'emblée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simple surveillance sans traitement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L'antibiothérapie et la réanimation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Le lavement baryté seul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15.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Le pronostic des occlusions post-opératoires nécessitant une reprise chirurgicale est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Toujours excellent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Sans rapport avec l'âge du patient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Meilleur que celui des occlusions non opérées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Mauvais, d'autant plus péjoratif que le patient est âgé</w:t>
      </w:r>
    </w:p>
    <w:p>
      <w:r>
        <w:br w:type="page"/>
      </w:r>
    </w:p>
    <w:p>
      <w:pPr>
        <w:pStyle w:val="Heading1"/>
        <w:pBdr>
          <w:bottom w:val="single" w:color="1B3A5C" w:sz="12" w:space="8"/>
        </w:pBdr>
        <w:spacing w:after="260" w:before="100"/>
      </w:pPr>
      <w:bookmarkStart w:name="ch3" w:id="1"/>
      <w:r>
        <w:rPr>
          <w:rFonts w:ascii="Calibri" w:cs="Calibri" w:eastAsia="Calibri" w:hAnsi="Calibri"/>
          <w:b/>
          <w:bCs/>
          <w:color w:val="0E7C7B"/>
          <w:sz w:val="32"/>
          <w:szCs w:val="32"/>
        </w:rPr>
        <w:t xml:space="preserve">CHAPITRE 3  —  </w:t>
      </w:r>
      <w:r>
        <w:rPr>
          <w:rFonts w:ascii="Calibri" w:cs="Calibri" w:eastAsia="Calibri" w:hAnsi="Calibri"/>
          <w:b/>
          <w:bCs/>
          <w:color w:val="1B3A5C"/>
          <w:sz w:val="32"/>
          <w:szCs w:val="32"/>
        </w:rPr>
        <w:t xml:space="preserve">PÉRITONITES</w:t>
      </w:r>
      <w:bookmarkEnd w:id="1"/>
    </w:p>
    <w:p>
      <w:pPr>
        <w:pStyle w:val="Heading2"/>
        <w:keepNext/>
        <w:shd w:fill="E7F2F1" w:color="auto" w:val="clear"/>
        <w:spacing w:after="160" w:before="320"/>
      </w:pPr>
      <w:bookmarkStart w:name="ch3-obj" w:id="1"/>
      <w:r>
        <w:rPr>
          <w:rFonts w:ascii="Calibri" w:cs="Calibri" w:eastAsia="Calibri" w:hAnsi="Calibri"/>
          <w:b/>
          <w:bCs/>
          <w:color w:val="0E7C7B"/>
          <w:sz w:val="25"/>
          <w:szCs w:val="25"/>
        </w:rPr>
        <w:t xml:space="preserve">OBJECTIFS</w:t>
      </w:r>
      <w:bookmarkEnd w:id="1"/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72"/>
      </w:tblGrid>
      <w:tr>
        <w:trPr>
          <w:cantSplit/>
        </w:trPr>
        <w:tc>
          <w:tcPr>
            <w:tcW w:type="dxa" w:w="9072"/>
            <w:tcBorders>
              <w:top w:val="single" w:color="1B3A5C" w:sz="4"/>
              <w:left w:val="single" w:color="7A1F3D" w:sz="32"/>
              <w:bottom w:val="single" w:color="1B3A5C" w:sz="4"/>
              <w:right w:val="single" w:color="1B3A5C" w:sz="4"/>
            </w:tcBorders>
            <w:shd w:fill="EAF0F6" w:color="auto" w:val="clear"/>
            <w:tcMar>
              <w:top w:type="dxa" w:w="180"/>
              <w:left w:type="dxa" w:w="260"/>
              <w:bottom w:type="dxa" w:w="180"/>
              <w:right w:type="dxa" w:w="260"/>
            </w:tcMar>
          </w:tcPr>
          <w:p>
            <w:pPr>
              <w:spacing w:after="11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DÉFINIR la péritonite</w:t>
            </w:r>
          </w:p>
          <w:p>
            <w:pPr>
              <w:spacing w:after="11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CITER les principales étiologies de la péritonite</w:t>
            </w:r>
          </w:p>
          <w:p>
            <w:pPr>
              <w:spacing w:after="11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DÉCRIRE les deux périodes cliniques de la péritonite aiguë diffuse</w:t>
            </w:r>
          </w:p>
          <w:p>
            <w:pPr>
              <w:spacing w:after="11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CITER les différents types anatomocliniques de péritonite</w:t>
            </w:r>
          </w:p>
          <w:p>
            <w:pPr>
              <w:spacing w:after="11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ÉNUMÉRER les examens complémentaires du bilan préopératoire d'une péritonite</w:t>
            </w:r>
          </w:p>
          <w:p>
            <w:pPr>
              <w:spacing w:after="0"/>
              <w:ind w:left="200" w:hanging="200"/>
            </w:pPr>
            <w:r>
              <w:rPr>
                <w:rFonts w:ascii="Calibri" w:cs="Calibri" w:eastAsia="Calibri" w:hAnsi="Calibri"/>
                <w:b/>
                <w:bCs/>
                <w:color w:val="7A1F3D"/>
                <w:sz w:val="22"/>
                <w:szCs w:val="22"/>
              </w:rPr>
              <w:t xml:space="preserve">▪  </w:t>
            </w:r>
            <w:r>
              <w:rPr>
                <w:rFonts w:ascii="Calibri" w:cs="Calibri" w:eastAsia="Calibri" w:hAnsi="Calibri"/>
                <w:color w:val="2B2B2B"/>
                <w:sz w:val="22"/>
                <w:szCs w:val="22"/>
              </w:rPr>
              <w:t xml:space="preserve">DÉCRIRE les interventions infirmières pré- et post-opératoires chez un patient présentant une péritonite</w:t>
            </w:r>
          </w:p>
        </w:tc>
      </w:tr>
    </w:tbl>
    <w:p>
      <w:pPr>
        <w:pStyle w:val="Heading2"/>
        <w:keepNext/>
        <w:shd w:fill="EAF0F6" w:color="auto" w:val="clear"/>
        <w:spacing w:after="160" w:before="320"/>
      </w:pPr>
      <w:bookmarkStart w:name="ch3-qcd" w:id="1"/>
      <w:r>
        <w:rPr>
          <w:rFonts w:ascii="Calibri" w:cs="Calibri" w:eastAsia="Calibri" w:hAnsi="Calibri"/>
          <w:b/>
          <w:bCs/>
          <w:color w:val="1B3A5C"/>
          <w:sz w:val="25"/>
          <w:szCs w:val="25"/>
        </w:rPr>
        <w:t xml:space="preserve">QUESTIONS À CHOIX DOUBLE (QCD) — Vrai ou Faux</w:t>
      </w:r>
      <w:bookmarkEnd w:id="1"/>
    </w:p>
    <w:p>
      <w:pPr>
        <w:keepNext/>
        <w:spacing w:after="200"/>
      </w:pPr>
      <w:r>
        <w:rPr>
          <w:rFonts w:ascii="Calibri" w:cs="Calibri" w:eastAsia="Calibri" w:hAnsi="Calibri"/>
          <w:i/>
          <w:iCs/>
          <w:color w:val="58595B"/>
          <w:sz w:val="20"/>
          <w:szCs w:val="20"/>
        </w:rPr>
        <w:t xml:space="preserve">Consigne : pour chaque proposition, cochez la case VRAI ou FAUX correspondante.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6512"/>
        <w:gridCol w:w="1000"/>
        <w:gridCol w:w="1000"/>
      </w:tblGrid>
      <w:tr>
        <w:trPr>
          <w:cantSplit/>
          <w:tblHeader/>
        </w:trPr>
        <w:tc>
          <w:tcPr>
            <w:tcW w:type="dxa" w:w="56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6512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Proposition</w:t>
            </w:r>
          </w:p>
        </w:tc>
        <w:tc>
          <w:tcPr>
            <w:tcW w:type="dxa" w:w="1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VRAI</w:t>
            </w:r>
          </w:p>
        </w:tc>
        <w:tc>
          <w:tcPr>
            <w:tcW w:type="dxa" w:w="1000"/>
            <w:tcBorders>
              <w:top w:val="single" w:color="1B3A5C" w:sz="4"/>
              <w:left w:val="single" w:color="1B3A5C" w:sz="4"/>
              <w:bottom w:val="single" w:color="1B3A5C" w:sz="4"/>
              <w:right w:val="single" w:color="1B3A5C" w:sz="4"/>
            </w:tcBorders>
            <w:shd w:fill="1B3A5C" w:color="auto" w:val="clear"/>
            <w:tcMar>
              <w:top w:type="dxa" w:w="100"/>
              <w:left w:type="dxa" w:w="100"/>
              <w:bottom w:type="dxa" w:w="10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FAUX</w:t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La péritonite est une inflammation de la cavité péritonéale, habituellement d'origine bactérienne.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2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Les micro-organismes responsables d'une péritonite proviennent exclusivement d'une contamination externe par blessure.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3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Seule l'appendicite rompue peut être à l'origine d'une péritonite, les autres pathologies digestives n'étant jamais en cause.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4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Les péritonites aiguës diffuses constituent une urgence abdominale mettant en danger immédiat la vie du malade.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5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Dans la période initiale de la péritonite aiguë diffuse, on observe habituellement un relâchement de la paroi abdominale à la palpation.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6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Le pneumopéritoine se traduit radiologiquement par un croissant gazeux interhépato-phrénique visible en position verticale.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7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À la période terminale de la péritonite, les vomissements ont tendance à disparaître progressivement.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8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À la période terminale, la contracture abdominale initiale fait place à une tension marquée du ventre.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9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La péritonite tuberculeuse touche exclusivement la femme et n'atteint jamais l'homme.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10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La péritonite encapsulante se caractérise par la présence de kystes hydatiques multiples dans la cavité péritonéale.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11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Le traitement de l'échinococcose péritonéale est uniquement chirurgical.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12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Sur le plan physiopathologique, le liquide initialement déversé dans la cavité abdominale est stérile avant d'être contaminé par des bactéries en quelques heures.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13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Au cours de la péritonite, le péristaltisme intestinal reste augmenté durant toute l'évolution de la maladie.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14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Le bilan préopératoire d'une péritonite comprend notamment la NFS, l'urée, la créatininémie, le groupe sanguin-Rhésus, l'ECG et la radiographie pulmonaire.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4F6F8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  <w:tr>
        <w:trPr>
          <w:cantSplit/>
        </w:trPr>
        <w:tc>
          <w:tcPr>
            <w:tcW w:type="dxa" w:w="56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B2B2B"/>
                <w:sz w:val="20"/>
                <w:szCs w:val="20"/>
              </w:rPr>
              <w:t xml:space="preserve">15</w:t>
            </w:r>
          </w:p>
        </w:tc>
        <w:tc>
          <w:tcPr>
            <w:tcW w:type="dxa" w:w="6512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>La laparotomie est l'intervention chirurgicale de choix dans le traitement de la péritonite.</w:t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9CDD1" w:sz="4"/>
              <w:left w:val="single" w:color="C9CDD1" w:sz="4"/>
              <w:bottom w:val="single" w:color="C9CDD1" w:sz="4"/>
              <w:right w:val="single" w:color="C9CDD1" w:sz="4"/>
            </w:tcBorders>
            <w:shd w:fill="FFFFFF" w:color="auto" w:val="clear"/>
            <w:tcMar>
              <w:top w:type="dxa" w:w="90"/>
              <w:left w:type="dxa" w:w="110"/>
              <w:bottom w:type="dxa" w:w="90"/>
              <w:right w:type="dxa" w:w="11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2B2B2B"/>
                <w:sz w:val="20"/>
                <w:szCs w:val="20"/>
              </w:rPr>
              <w:t xml:space="preserve"/>
            </w:r>
          </w:p>
        </w:tc>
      </w:tr>
    </w:tbl>
    <w:p>
      <w:pPr>
        <w:spacing w:before="100"/>
      </w:pPr>
    </w:p>
    <w:p>
      <w:pPr>
        <w:pStyle w:val="Heading2"/>
        <w:keepNext/>
        <w:shd w:fill="E7F2F1" w:color="auto" w:val="clear"/>
        <w:spacing w:after="160" w:before="320"/>
      </w:pPr>
      <w:bookmarkStart w:name="ch3-qcm" w:id="1"/>
      <w:r>
        <w:rPr>
          <w:rFonts w:ascii="Calibri" w:cs="Calibri" w:eastAsia="Calibri" w:hAnsi="Calibri"/>
          <w:b/>
          <w:bCs/>
          <w:color w:val="0E7C7B"/>
          <w:sz w:val="25"/>
          <w:szCs w:val="25"/>
        </w:rPr>
        <w:t xml:space="preserve">QUESTIONS À CHOIX MULTIPLE (QCM)</w:t>
      </w:r>
      <w:bookmarkEnd w:id="1"/>
    </w:p>
    <w:p>
      <w:pPr>
        <w:keepNext/>
        <w:spacing w:after="200"/>
      </w:pPr>
      <w:r>
        <w:rPr>
          <w:rFonts w:ascii="Calibri" w:cs="Calibri" w:eastAsia="Calibri" w:hAnsi="Calibri"/>
          <w:i/>
          <w:iCs/>
          <w:color w:val="58595B"/>
          <w:sz w:val="20"/>
          <w:szCs w:val="20"/>
        </w:rPr>
        <w:t xml:space="preserve">Consigne : pour chaque question, cochez la seule réponse exacte parmi les propositions A, B, C et D.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La péritonite se définit comme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inflammation de la muqueuse gastrique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inflammation de la cavité péritonéale, habituellement d'origine bactérienne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inflammation isolée du mésentère sans atteinte péritonéale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accumulation stérile de liquide péritonéal sans inflammation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Parmi les propositions suivantes, laquelle ne figure PAS parmi les causes courantes de péritonite ?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cholécystite aiguë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pancréatite aiguë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migraine chronique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salpingite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Les péritonites aiguës diffuses sont considérées comme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pathologie bénigne ne nécessitant pas d'hospitalisation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affection exclusivement chronique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contre-indication à la chirurgie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urgence abdominale mettant en danger immédiat la vie du malade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À la période initiale de la péritonite aiguë diffuse, l'examen de l'abdomen révèle typiquement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immobilité diaphragmatique et une contracture abdominale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 abdomen souple et indolore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 météorisme majeur isolé sans douleur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matité déclive isolée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Le signe radiologique évocateur d'une perforation digestive au cours d'une péritonite est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L'image hydroaérique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Le pneumopéritoine (croissant gazeux interhépato-phrénique)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cocarde barytée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Le niveau liquide colique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À la période terminale de la péritonite non traitée, les vomissements deviennent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Absents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Uniquement alimentaires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Incessants, bilieux puis porracés puis fécaloïdes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Hémorragiques exclusivement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Les péritonites localisées peuvent notamment se présenter sous la forme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D'un abcès sous-phrénique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D'un abcès appendiculaire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D'une pelvi-péritonite génitale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Toutes ces réponses sont exactes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La péritonite tuberculeuse, forme de péritonite chronique, est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Plus fréquente chez la femme que chez l'homme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Plus fréquente chez l'homme que chez la femme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Strictement limitée à l'enfant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Sans lien avec l'état général du patient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9.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Parmi les causes prédisposantes de la péritonite tuberculeuse figurent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L'hypertension artérielle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grossesse, l'accouchement et l'alcoolisme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Le diabète de type 1 exclusivement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vaccination BCG récente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10.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La péritonite encapsulante se caractérise par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Des kystes hydatiques multiples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ascite chyleuse isolée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membrane blanche et nacrée englobant tout ou partie de l'intestin grêle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perforation digestive aiguë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11.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L'échinococcose péritonéale résulte le plus souvent de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infection bactérienne banale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tuberculose péritonéale évoluée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complication d'appendicite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rupture d'un kyste hydatique primitif, notamment hépatique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12.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Sur le plan physiopathologique, le liquide qui s'écoule initialement dans la cavité abdominale au cours d'une péritonite est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Stérile avant de se contaminer en quelques heures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Déjà fortement contaminé par des bactéries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Toujours hémorragique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Composé uniquement de bile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13.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Le tube digestif réagit à la péritonite par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 arrêt immédiat et définitif du péristaltisme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hypermobilité initiale suivie d'un iléus paralytique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accélération permanente du transit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Aucune modification du péristaltisme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14.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Le bilan préopératoire recommandé devant une péritonite comprend notamment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Uniquement une échographie abdominale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 lavement baryté systématique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NFS, l'urée, la créatininémie, le groupe sanguin-Rhésus, l'ECG et la radiographie pulmonaire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Une coloscopie totale</w:t>
      </w:r>
    </w:p>
    <w:p>
      <w:pPr>
        <w:keepNext/>
        <w:spacing w:after="80" w:before="200"/>
        <w:ind w:left="0" w:hanging="0"/>
      </w:pPr>
      <w:r>
        <w:rPr>
          <w:rFonts w:ascii="Calibri" w:cs="Calibri" w:eastAsia="Calibri" w:hAnsi="Calibri"/>
          <w:b/>
          <w:bCs/>
          <w:color w:val="0E7C7B"/>
          <w:sz w:val="22"/>
          <w:szCs w:val="22"/>
        </w:rPr>
        <w:t xml:space="preserve">15.  </w:t>
      </w:r>
      <w:r>
        <w:rPr>
          <w:rFonts w:ascii="Calibri" w:cs="Calibri" w:eastAsia="Calibri" w:hAnsi="Calibri"/>
          <w:b/>
          <w:bCs/>
          <w:color w:val="2B2B2B"/>
          <w:sz w:val="22"/>
          <w:szCs w:val="22"/>
        </w:rPr>
        <w:t xml:space="preserve">Le traitement chirurgical de référence de la péritonite est :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A.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cœlioscopie exploratrice seule, sans lavage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B.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simple ponction évacuatrice sous échographie</w:t>
      </w:r>
    </w:p>
    <w:p>
      <w:pPr>
        <w:keepNext/>
        <w:spacing w:after="6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C.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L'abstention chirurgicale avec antibiothérapie seule</w:t>
      </w:r>
    </w:p>
    <w:p>
      <w:pPr>
        <w:keepNext w:val="false"/>
        <w:spacing w:after="40"/>
        <w:ind w:left="500" w:hanging="300"/>
      </w:pPr>
      <w:r>
        <w:rPr>
          <w:rFonts w:ascii="Calibri" w:cs="Calibri" w:eastAsia="Calibri" w:hAnsi="Calibri"/>
          <w:b/>
          <w:bCs/>
          <w:color w:val="1B3A5C"/>
          <w:sz w:val="21"/>
          <w:szCs w:val="21"/>
        </w:rPr>
        <w:t xml:space="preserve">D.  </w:t>
      </w:r>
      <w:r>
        <w:rPr>
          <w:rFonts w:ascii="Calibri" w:cs="Calibri" w:eastAsia="Calibri" w:hAnsi="Calibri"/>
          <w:color w:val="2B2B2B"/>
          <w:sz w:val="21"/>
          <w:szCs w:val="21"/>
        </w:rPr>
        <w:t xml:space="preserve">La laparotomie, permettant traitement de la cause, prélèvement bactériologique, lavage et drainage</w:t>
      </w:r>
    </w:p>
    <w:sectPr>
      <w:headerReference w:type="default" r:id="rId7"/>
      <w:footerReference w:type="default" r:id="rId8"/>
      <w:pgSz w:w="11905" w:h="16837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DD1" w:sz="4" w:space="4"/>
      </w:pBdr>
      <w:tabs>
        <w:tab w:val="right" w:pos="9026"/>
      </w:tabs>
    </w:pPr>
    <w:r>
      <w:rPr>
        <w:rFonts w:ascii="Calibri" w:cs="Calibri" w:eastAsia="Calibri" w:hAnsi="Calibri"/>
        <w:color w:val="58595B"/>
        <w:sz w:val="16"/>
        <w:szCs w:val="16"/>
      </w:rPr>
      <w:t xml:space="preserve">Sciences Infirmières — L2</w:t>
    </w:r>
    <w:r>
      <w:rPr>
        <w:sz w:val="16"/>
        <w:szCs w:val="16"/>
      </w:rPr>
      <w:t xml:space="preserve">	</w:t>
    </w:r>
    <w:r>
      <w:rPr>
        <w:rFonts w:ascii="Calibri" w:cs="Calibri" w:eastAsia="Calibri" w:hAnsi="Calibri"/>
        <w:color w:val="58595B"/>
        <w:sz w:val="16"/>
        <w:szCs w:val="16"/>
      </w:rPr>
      <w:t xml:space="preserve">Page </w:t>
    </w:r>
    <w:r>
      <w:rPr>
        <w:rFonts w:ascii="Calibri" w:cs="Calibri" w:eastAsia="Calibri" w:hAnsi="Calibri"/>
        <w:color w:val="58595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8595B"/>
        <w:sz w:val="16"/>
        <w:szCs w:val="16"/>
      </w:rPr>
      <w:t xml:space="preserve"> / </w:t>
    </w:r>
    <w:r>
      <w:rPr>
        <w:rFonts w:ascii="Calibri" w:cs="Calibri" w:eastAsia="Calibri" w:hAnsi="Calibri"/>
        <w:color w:val="58595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9CDD1" w:sz="4" w:space="4"/>
      </w:pBdr>
      <w:jc w:val="right"/>
    </w:pPr>
    <w:r>
      <w:rPr>
        <w:rFonts w:ascii="Calibri" w:cs="Calibri" w:eastAsia="Calibri" w:hAnsi="Calibri"/>
        <w:i/>
        <w:iCs/>
        <w:color w:val="58595B"/>
        <w:sz w:val="16"/>
        <w:szCs w:val="16"/>
      </w:rPr>
      <w:t xml:space="preserve">Pathologies Chirurgicales Digestives — Exercices L2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Pathologies Chirurgicales Digestives — TD QCD/QCM</dc:title>
  <dc:creator>INFAS</dc:creator>
  <cp:lastModifiedBy>Un-named</cp:lastModifiedBy>
  <cp:revision>1</cp:revision>
  <dcterms:created xsi:type="dcterms:W3CDTF">2026-07-10T18:00:43.552Z</dcterms:created>
  <dcterms:modified xsi:type="dcterms:W3CDTF">2026-07-10T18:00:43.552Z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