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300"/>
      </w:pP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F4E5F"/>
          <w:sz w:val="22"/>
          <w:szCs w:val="22"/>
        </w:rPr>
        <w:t xml:space="preserve">INSTITUT NATIONAL DE FORMATION DES AGENTS DE SANTÉ</w:t>
      </w:r>
    </w:p>
    <w:p>
      <w:pPr>
        <w:spacing w:after="5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Licence 2 Sage-femme / Maïeuticien — Unité Pédagogique de Médecine, Cellule VIH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8B1E2E"/>
          <w:sz w:val="56"/>
          <w:szCs w:val="56"/>
        </w:rPr>
        <w:t xml:space="preserve">VIH - SIDA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1F4E5F"/>
          <w:sz w:val="30"/>
          <w:szCs w:val="30"/>
        </w:rPr>
        <w:t xml:space="preserve">Travaux Dirigés — Banque de questions par chapitre</w:t>
      </w:r>
    </w:p>
    <w:p>
      <w:pPr>
        <w:spacing w:after="7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15 QCD et 10 QCM par chapitre — sans corrigé</w:t>
      </w:r>
    </w:p>
    <w:tbl>
      <w:tblPr>
        <w:tblW w:type="dxa" w:w="5000"/>
        <w:jc w:val="center"/>
        <w:tblBorders>
          <w:top w:val="single" w:color="8B1E2E" w:sz="12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</w:tblGrid>
      <w:tr>
        <w:tc>
          <w:tcPr>
            <w:tcW w:type="dxa" w:w="5000"/>
          </w:tcPr>
          <w:p/>
        </w:tc>
      </w:tr>
    </w:tbl>
    <w:p>
      <w:pPr>
        <w:spacing w:after="700"/>
      </w:pP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 chapitres : traitement ARV, molécules, interactions, modalités thérapeutiques,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prévention, suivi, soins et soutien, et les six volets OEV</w:t>
      </w:r>
    </w:p>
    <w:p>
      <w:pPr>
        <w:spacing w:after="5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(éducation, économique, protection, psychosocial, abri et soins, prévention jeunes)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Document réalisé à partir du cours officiel « Cours de VIH SIDA » — INFAS</w:t>
      </w:r>
    </w:p>
    <w:p>
      <w:pPr>
        <w:pStyle w:val="Heading1"/>
        <w:pageBreakBefore/>
      </w:pPr>
      <w:r>
        <w:t xml:space="preserve">Sommaire</w:t>
      </w:r>
    </w:p>
    <w:p>
      <w:pPr>
        <w:spacing w:after="120"/>
      </w:pPr>
    </w:p>
    <w:p>
      <w:pPr>
        <w:tabs>
          <w:tab w:val="right" w:pos="9638" w:leader="dot"/>
        </w:tabs>
        <w:spacing w:after="1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Introduction et directives du traitement ARV</w:t>
      </w:r>
      <w:r>
        <w:ptab w:alignment="right" w:relativeTo="margin" w:leader="dot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</w:t>
      </w:r>
    </w:p>
    <w:p>
      <w:pPr>
        <w:tabs>
          <w:tab w:val="right" w:pos="9638" w:leader="dot"/>
        </w:tabs>
        <w:spacing w:after="1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Présentation des molécules antirétrovirales</w:t>
      </w:r>
      <w:r>
        <w:ptab w:alignment="right" w:relativeTo="margin" w:leader="dot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</w:t>
      </w:r>
    </w:p>
    <w:p>
      <w:pPr>
        <w:tabs>
          <w:tab w:val="right" w:pos="9638" w:leader="dot"/>
        </w:tabs>
        <w:spacing w:after="1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Interactions alimentaires et médicamenteuses</w:t>
      </w:r>
      <w:r>
        <w:ptab w:alignment="right" w:relativeTo="margin" w:leader="dot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</w:t>
      </w:r>
    </w:p>
    <w:p>
      <w:pPr>
        <w:tabs>
          <w:tab w:val="right" w:pos="9638" w:leader="dot"/>
        </w:tabs>
        <w:spacing w:after="1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Modalités thérapeutiques</w:t>
      </w:r>
      <w:r>
        <w:ptab w:alignment="right" w:relativeTo="margin" w:leader="dot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</w:t>
      </w:r>
    </w:p>
    <w:p>
      <w:pPr>
        <w:tabs>
          <w:tab w:val="right" w:pos="9638" w:leader="dot"/>
        </w:tabs>
        <w:spacing w:after="1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Prévention (prophylaxie)</w:t>
      </w:r>
      <w:r>
        <w:ptab w:alignment="right" w:relativeTo="margin" w:leader="dot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15</w:t>
      </w:r>
    </w:p>
    <w:p>
      <w:pPr>
        <w:tabs>
          <w:tab w:val="right" w:pos="9638" w:leader="dot"/>
        </w:tabs>
        <w:spacing w:after="1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Suivi du traitement ARV</w:t>
      </w:r>
      <w:r>
        <w:ptab w:alignment="right" w:relativeTo="margin" w:leader="dot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18</w:t>
      </w:r>
    </w:p>
    <w:p>
      <w:pPr>
        <w:tabs>
          <w:tab w:val="right" w:pos="9638" w:leader="dot"/>
        </w:tabs>
        <w:spacing w:after="1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Soins et soutien</w:t>
      </w:r>
      <w:r>
        <w:ptab w:alignment="right" w:relativeTo="margin" w:leader="dot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21</w:t>
      </w:r>
    </w:p>
    <w:p>
      <w:pPr>
        <w:tabs>
          <w:tab w:val="right" w:pos="9638" w:leader="dot"/>
        </w:tabs>
        <w:spacing w:after="1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OEV : Soutien à l'éducation et à la mise en apprentissage</w:t>
      </w:r>
      <w:r>
        <w:ptab w:alignment="right" w:relativeTo="margin" w:leader="dot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24</w:t>
      </w:r>
    </w:p>
    <w:p>
      <w:pPr>
        <w:tabs>
          <w:tab w:val="right" w:pos="9638" w:leader="dot"/>
        </w:tabs>
        <w:spacing w:after="1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OEV : Soutien pour le renforcement économique</w:t>
      </w:r>
      <w:r>
        <w:ptab w:alignment="right" w:relativeTo="margin" w:leader="dot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27</w:t>
      </w:r>
    </w:p>
    <w:p>
      <w:pPr>
        <w:tabs>
          <w:tab w:val="right" w:pos="9638" w:leader="dot"/>
        </w:tabs>
        <w:spacing w:after="1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OEV : Soutien à la protection</w:t>
      </w:r>
      <w:r>
        <w:ptab w:alignment="right" w:relativeTo="margin" w:leader="dot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30</w:t>
      </w:r>
    </w:p>
    <w:p>
      <w:pPr>
        <w:tabs>
          <w:tab w:val="right" w:pos="9638" w:leader="dot"/>
        </w:tabs>
        <w:spacing w:after="1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OEV : Soutien psychosocial</w:t>
      </w:r>
      <w:r>
        <w:ptab w:alignment="right" w:relativeTo="margin" w:leader="dot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33</w:t>
      </w:r>
    </w:p>
    <w:p>
      <w:pPr>
        <w:tabs>
          <w:tab w:val="right" w:pos="9638" w:leader="dot"/>
        </w:tabs>
        <w:spacing w:after="1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OEV : Soutien pour l'abri et les soins</w:t>
      </w:r>
      <w:r>
        <w:ptab w:alignment="right" w:relativeTo="margin" w:leader="dot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36</w:t>
      </w:r>
    </w:p>
    <w:p>
      <w:pPr>
        <w:tabs>
          <w:tab w:val="right" w:pos="9638" w:leader="dot"/>
        </w:tabs>
        <w:spacing w:after="1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 OEV : Interventions de prévention pour enfants, adolescents et jeunes adultes vulnérables au VIH</w:t>
      </w:r>
      <w:r>
        <w:ptab w:alignment="right" w:relativeTo="margin" w:leader="dot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39</w:t>
      </w:r>
    </w:p>
    <w:p>
      <w:pPr>
        <w:pStyle w:val="Heading1"/>
        <w:pageBreakBefore/>
      </w:pPr>
      <w:r>
        <w:t xml:space="preserve">Chapitre 1 — Introduction et directives du traitement ARV</w:t>
      </w:r>
    </w:p>
    <w:p>
      <w:pPr>
        <w:pStyle w:val="Heading2"/>
      </w:pPr>
      <w:r>
        <w:t xml:space="preserve">I. QCD — Questions à choix direct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A pour vrai et B pour faux.</w:t>
      </w:r>
    </w:p>
    <w:p>
      <w:pPr>
        <w:pStyle w:val="ListParagraph"/>
        <w:numPr>
          <w:ilvl w:val="0"/>
          <w:numId w:val="2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HAART est un traitement antirétroviral utilisant une association d'au moins trois molécules.</w:t>
      </w:r>
    </w:p>
    <w:p>
      <w:pPr>
        <w:pStyle w:val="ListParagraph"/>
        <w:numPr>
          <w:ilvl w:val="0"/>
          <w:numId w:val="2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HAART signifie « Highly Active AntiRetroviral Therapy ».</w:t>
      </w:r>
    </w:p>
    <w:p>
      <w:pPr>
        <w:pStyle w:val="ListParagraph"/>
        <w:numPr>
          <w:ilvl w:val="0"/>
          <w:numId w:val="2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TARV nécessite l'association de molécules appartenant à une seule et même classe thérapeutique.</w:t>
      </w:r>
    </w:p>
    <w:p>
      <w:pPr>
        <w:pStyle w:val="ListParagraph"/>
        <w:numPr>
          <w:ilvl w:val="0"/>
          <w:numId w:val="2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traitement antirétroviral permet de réduire fortement et durablement la charge virale.</w:t>
      </w:r>
    </w:p>
    <w:p>
      <w:pPr>
        <w:pStyle w:val="ListParagraph"/>
        <w:numPr>
          <w:ilvl w:val="0"/>
          <w:numId w:val="2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TARV a pour objectif d'éradiquer définitivement le VIH de l'organisme.</w:t>
      </w:r>
    </w:p>
    <w:p>
      <w:pPr>
        <w:pStyle w:val="ListParagraph"/>
        <w:numPr>
          <w:ilvl w:val="0"/>
          <w:numId w:val="2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L'amélioration de l'espérance de vie fait partie des intérêts du TARV.</w:t>
      </w:r>
    </w:p>
    <w:p>
      <w:pPr>
        <w:pStyle w:val="ListParagraph"/>
        <w:numPr>
          <w:ilvl w:val="0"/>
          <w:numId w:val="2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traitement antirétroviral doit être adapté au type de VIH (VIH-1, VIH-2 ou VIH 1+2).</w:t>
      </w:r>
    </w:p>
    <w:p>
      <w:pPr>
        <w:pStyle w:val="ListParagraph"/>
        <w:numPr>
          <w:ilvl w:val="0"/>
          <w:numId w:val="2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Les 5 principes fondamentaux de la relation soignant-patient sont résumés par le sigle « 5A ».</w:t>
      </w:r>
    </w:p>
    <w:p>
      <w:pPr>
        <w:pStyle w:val="ListParagraph"/>
        <w:numPr>
          <w:ilvl w:val="0"/>
          <w:numId w:val="2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patient peut arrêter son traitement dès que sa charge virale devient indétectable.</w:t>
      </w:r>
    </w:p>
    <w:p>
      <w:pPr>
        <w:pStyle w:val="ListParagraph"/>
        <w:numPr>
          <w:ilvl w:val="0"/>
          <w:numId w:val="2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patient doit revenir chercher ses médicaments seulement après épuisement total de son stock.</w:t>
      </w:r>
    </w:p>
    <w:p>
      <w:pPr>
        <w:pStyle w:val="ListParagraph"/>
        <w:numPr>
          <w:ilvl w:val="0"/>
          <w:numId w:val="2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suivi clinique du TARV comprend la surveillance du poids et de la tension artérielle.</w:t>
      </w:r>
    </w:p>
    <w:p>
      <w:pPr>
        <w:pStyle w:val="ListParagraph"/>
        <w:numPr>
          <w:ilvl w:val="0"/>
          <w:numId w:val="2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L'indice de Karnofsky fait partie des éléments de surveillance clinique du TARV.</w:t>
      </w:r>
    </w:p>
    <w:p>
      <w:pPr>
        <w:pStyle w:val="ListParagraph"/>
        <w:numPr>
          <w:ilvl w:val="0"/>
          <w:numId w:val="2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suivi paraclinique du TARV comprend une surveillance hématologique, immunologique, biochimique et virologique.</w:t>
      </w:r>
    </w:p>
    <w:p>
      <w:pPr>
        <w:pStyle w:val="ListParagraph"/>
        <w:numPr>
          <w:ilvl w:val="0"/>
          <w:numId w:val="2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Une mauvaise observance thérapeutique favorise l'émergence de résistances virales.</w:t>
      </w:r>
    </w:p>
    <w:p>
      <w:pPr>
        <w:pStyle w:val="ListParagraph"/>
        <w:numPr>
          <w:ilvl w:val="0"/>
          <w:numId w:val="2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prise en charge du VIH ne nécessite pas de travail en équipe multidisciplinaire.</w:t>
      </w:r>
    </w:p>
    <w:p>
      <w:pPr>
        <w:pStyle w:val="Heading2"/>
        <w:spacing w:before="260"/>
      </w:pPr>
      <w:r>
        <w:t xml:space="preserve">II. QCM — Questions à choix multiples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Veuillez cocher la ou les réponse(s) juste(s).</w:t>
      </w:r>
    </w:p>
    <w:p>
      <w:pPr>
        <w:pStyle w:val="ListParagraph"/>
        <w:numPr>
          <w:ilvl w:val="0"/>
          <w:numId w:val="3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sigle HAART signifie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Human AntiRetroviral Active Therapy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Highly Active AntiRetroviral Therapy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Hautement Actif Anti-Rétroviral Traitement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High Adherence AntiRetroviral Treatment</w:t>
      </w:r>
    </w:p>
    <w:p>
      <w:pPr>
        <w:pStyle w:val="ListParagraph"/>
        <w:numPr>
          <w:ilvl w:val="0"/>
          <w:numId w:val="3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 traitement antirétroviral efficace associe au minimum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Deux molécules d'une même classe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Trois molécules appartenant à au moins deux classes thérapeutiques différentes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seule molécule à forte dose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Quatre classes thérapeutiques différentes obligatoirement</w:t>
      </w:r>
    </w:p>
    <w:p>
      <w:pPr>
        <w:pStyle w:val="ListParagraph"/>
        <w:numPr>
          <w:ilvl w:val="0"/>
          <w:numId w:val="3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Parmi les intérêts suivants, lequel ne fait PAS partie des bénéfices attendus du HAART ?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réduction de la charge virale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L'éradication complète et définitive du virus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L'amélioration de la qualité de vie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réduction du nombre de nouvelles contaminations</w:t>
      </w:r>
    </w:p>
    <w:p>
      <w:pPr>
        <w:pStyle w:val="ListParagraph"/>
        <w:numPr>
          <w:ilvl w:val="0"/>
          <w:numId w:val="3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Les 5 principes fondamentaux du counseling résumés par le sigle « 5A » incluent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Apprécier, Aviser, s'Accorder, Assister, Arranger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Accueillir, Analyser, Administrer, Ajuster, Archiver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Adhérer, Adapter, Alerter, Assurer, Améliorer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Aucune de ces réponses</w:t>
      </w:r>
    </w:p>
    <w:p>
      <w:pPr>
        <w:pStyle w:val="ListParagraph"/>
        <w:numPr>
          <w:ilvl w:val="0"/>
          <w:numId w:val="3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traitement antirétroviral doit être adapté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Uniquement au poids du patient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Uniquement à l'âge du patient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Au type de VIH et au mode de vie du patient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Uniquement à la disponibilité des molécules</w:t>
      </w:r>
    </w:p>
    <w:p>
      <w:pPr>
        <w:pStyle w:val="ListParagraph"/>
        <w:numPr>
          <w:ilvl w:val="0"/>
          <w:numId w:val="3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Concernant le renouvellement de son traitement, le patient doit revenir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jour même où son stock est épuisé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semaine avant l'épuisement de son stock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 mois après l'épuisement de son stock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Uniquement en cas de symptômes</w:t>
      </w:r>
    </w:p>
    <w:p>
      <w:pPr>
        <w:pStyle w:val="ListParagraph"/>
        <w:numPr>
          <w:ilvl w:val="0"/>
          <w:numId w:val="3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Parmi les éléments suivants, lequel appartient à la surveillance clinique (et non paraclinique) du TARV ?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bilan hématologique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bilan virologique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tension artérielle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bilan immunologique</w:t>
      </w:r>
    </w:p>
    <w:p>
      <w:pPr>
        <w:pStyle w:val="ListParagraph"/>
        <w:numPr>
          <w:ilvl w:val="0"/>
          <w:numId w:val="3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suivi paraclinique du patient sous TARV comprend notamment une surveillance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Hématologique, immunologique, biochimique et virologique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Uniquement radiologique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Uniquement psychologique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Uniquement sociale</w:t>
      </w:r>
    </w:p>
    <w:p>
      <w:pPr>
        <w:pStyle w:val="ListParagraph"/>
        <w:numPr>
          <w:ilvl w:val="0"/>
          <w:numId w:val="3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mauvaise association des ARV associée à une mauvaise observance entraîne principalement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amélioration paradoxale de l'état du patient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 échec thérapeutique et l'émergence de résistances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élimination plus rapide du virus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Aucune conséquence si le traitement est repris plus tard</w:t>
      </w:r>
    </w:p>
    <w:p>
      <w:pPr>
        <w:pStyle w:val="ListParagraph"/>
        <w:numPr>
          <w:ilvl w:val="0"/>
          <w:numId w:val="3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prise en charge du patient sous TARV repose sur un travail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Strictement individuel du médecin prescripteur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Multidisciplinaire, en équipe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Réservé exclusivement aux pharmaciens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Uniquement administratif</w:t>
      </w:r>
    </w:p>
    <w:p>
      <w:pPr>
        <w:pStyle w:val="Heading1"/>
        <w:pageBreakBefore/>
      </w:pPr>
      <w:r>
        <w:t xml:space="preserve">Chapitre 2 — Présentation des molécules antirétrovirales</w:t>
      </w:r>
    </w:p>
    <w:p>
      <w:pPr>
        <w:pStyle w:val="Heading2"/>
      </w:pPr>
      <w:r>
        <w:t xml:space="preserve">I. QCD — Questions à choix direct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A pour vrai et B pour faux.</w:t>
      </w:r>
    </w:p>
    <w:p>
      <w:pPr>
        <w:pStyle w:val="ListParagraph"/>
        <w:numPr>
          <w:ilvl w:val="0"/>
          <w:numId w:val="4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Les ARV bloquent le cycle de réplication du VIH mais ne détruisent pas directement le virus.</w:t>
      </w:r>
    </w:p>
    <w:p>
      <w:pPr>
        <w:pStyle w:val="ListParagraph"/>
        <w:numPr>
          <w:ilvl w:val="0"/>
          <w:numId w:val="4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Les ARV sont qualifiés de « virucides » car ils détruisent le virus.</w:t>
      </w:r>
    </w:p>
    <w:p>
      <w:pPr>
        <w:pStyle w:val="ListParagraph"/>
        <w:numPr>
          <w:ilvl w:val="0"/>
          <w:numId w:val="4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système nerveux central constitue un sanctuaire viral inaccessible aux ARV.</w:t>
      </w:r>
    </w:p>
    <w:p>
      <w:pPr>
        <w:pStyle w:val="ListParagraph"/>
        <w:numPr>
          <w:ilvl w:val="0"/>
          <w:numId w:val="4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Les antirétroviraux se répartissent en quatre classes thérapeutiques différentes.</w:t>
      </w:r>
    </w:p>
    <w:p>
      <w:pPr>
        <w:pStyle w:val="ListParagraph"/>
        <w:numPr>
          <w:ilvl w:val="0"/>
          <w:numId w:val="4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Les inhibiteurs de fusion et d'entrée bloquent la réplication virale en agissant sur l'enzyme protéase.</w:t>
      </w:r>
    </w:p>
    <w:p>
      <w:pPr>
        <w:pStyle w:val="ListParagraph"/>
        <w:numPr>
          <w:ilvl w:val="0"/>
          <w:numId w:val="4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Les inhibiteurs de la transcriptase inverse comprennent les INTI et les INNTI.</w:t>
      </w:r>
    </w:p>
    <w:p>
      <w:pPr>
        <w:pStyle w:val="ListParagraph"/>
        <w:numPr>
          <w:ilvl w:val="0"/>
          <w:numId w:val="4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VIH-2 est sensible à toutes les classes thérapeutiques d'ARV, au même titre que le VIH-1.</w:t>
      </w:r>
    </w:p>
    <w:p>
      <w:pPr>
        <w:pStyle w:val="ListParagraph"/>
        <w:numPr>
          <w:ilvl w:val="0"/>
          <w:numId w:val="4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Zidovudine (AZT) appartient à la classe des inhibiteurs nucléosidiques de la transcriptase inverse.</w:t>
      </w:r>
    </w:p>
    <w:p>
      <w:pPr>
        <w:pStyle w:val="ListParagraph"/>
        <w:numPr>
          <w:ilvl w:val="0"/>
          <w:numId w:val="4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Ténofovir (TDF), bien que classé parmi les INTI, est en réalité un analogue nucléotidique.</w:t>
      </w:r>
    </w:p>
    <w:p>
      <w:pPr>
        <w:pStyle w:val="ListParagraph"/>
        <w:numPr>
          <w:ilvl w:val="0"/>
          <w:numId w:val="4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L'Abacavir peut provoquer une réaction d'hypersensibilité potentiellement grave, notamment chez les sujets africains.</w:t>
      </w:r>
    </w:p>
    <w:p>
      <w:pPr>
        <w:pStyle w:val="ListParagraph"/>
        <w:numPr>
          <w:ilvl w:val="0"/>
          <w:numId w:val="4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Névirapine peut être utilisée indifféremment chez les patients infectés par le VIH-1 ou le VIH-2.</w:t>
      </w:r>
    </w:p>
    <w:p>
      <w:pPr>
        <w:pStyle w:val="ListParagraph"/>
        <w:numPr>
          <w:ilvl w:val="0"/>
          <w:numId w:val="4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Ritonavir est aujourd'hui principalement utilisé comme « booster » d'un autre inhibiteur de protéase plutôt que seul.</w:t>
      </w:r>
    </w:p>
    <w:p>
      <w:pPr>
        <w:pStyle w:val="ListParagraph"/>
        <w:numPr>
          <w:ilvl w:val="0"/>
          <w:numId w:val="4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syndrome de reconstitution immunitaire survient généralement plusieurs années après le début du traitement ARV.</w:t>
      </w:r>
    </w:p>
    <w:p>
      <w:pPr>
        <w:pStyle w:val="ListParagraph"/>
        <w:numPr>
          <w:ilvl w:val="0"/>
          <w:numId w:val="4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Devant un syndrome de reconstitution immunitaire, il faut systématiquement arrêter le traitement ARV en cours.</w:t>
      </w:r>
    </w:p>
    <w:p>
      <w:pPr>
        <w:pStyle w:val="ListParagraph"/>
        <w:numPr>
          <w:ilvl w:val="0"/>
          <w:numId w:val="4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Selon la classification OMS, un effet secondaire de grade 4 est un effet gravissime engageant le pronostic vital.</w:t>
      </w:r>
    </w:p>
    <w:p>
      <w:pPr>
        <w:pStyle w:val="Heading2"/>
        <w:spacing w:before="260"/>
      </w:pPr>
      <w:r>
        <w:t xml:space="preserve">II. QCM — Questions à choix multiples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Veuillez cocher la ou les réponse(s) juste(s).</w:t>
      </w:r>
    </w:p>
    <w:p>
      <w:pPr>
        <w:pStyle w:val="ListParagraph"/>
        <w:numPr>
          <w:ilvl w:val="0"/>
          <w:numId w:val="5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Les antirétroviraux agissent en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Détruisant directement les particules virales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Bloquant le cycle de réplication du virus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Renforçant uniquement le système immunitaire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Empêchant la transmission mère-enfant uniquement</w:t>
      </w:r>
    </w:p>
    <w:p>
      <w:pPr>
        <w:pStyle w:val="ListParagraph"/>
        <w:numPr>
          <w:ilvl w:val="0"/>
          <w:numId w:val="5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réservoir viral inaccessible aux ARV, du fait de la barrière hémato-encéphalique, est constitué par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foie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moelle osseuse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système nerveux central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Les ganglions lymphatiques</w:t>
      </w:r>
    </w:p>
    <w:p>
      <w:pPr>
        <w:pStyle w:val="ListParagraph"/>
        <w:numPr>
          <w:ilvl w:val="0"/>
          <w:numId w:val="5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Les quatre classes thérapeutiques d'ARV sont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INTI, INNTI, inhibiteurs de l'intégrase, inhibiteurs de protéase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Inhibiteurs de fusion/entrée, INTI/INNTI, inhibiteurs de l'intégrase, inhibiteurs de protéase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Antibiotiques, antiviraux, antifongiques, antiparasitaires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INTI, IP, vaccins, immunoglobulines</w:t>
      </w:r>
    </w:p>
    <w:p>
      <w:pPr>
        <w:pStyle w:val="ListParagraph"/>
        <w:numPr>
          <w:ilvl w:val="0"/>
          <w:numId w:val="5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Les inhibiteurs de protéase empêchent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L'entrée du virus dans la cellule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formation de l'ADN proviral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L'assemblage de nouvelles particules virales infectieuses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L'intégration de l'ADN viral dans le génome cellulaire</w:t>
      </w:r>
    </w:p>
    <w:p>
      <w:pPr>
        <w:pStyle w:val="ListParagraph"/>
        <w:numPr>
          <w:ilvl w:val="0"/>
          <w:numId w:val="5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Concernant la sensibilité aux ARV, le VIH-2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Est sensible à toutes les classes, comme le VIH-1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N'est pas sensible aux INNTI et à un inhibiteur de protéase (ATV)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N'est sensible à aucune classe d'ARV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N'est sensible qu'aux inhibiteurs de fusion</w:t>
      </w:r>
    </w:p>
    <w:p>
      <w:pPr>
        <w:pStyle w:val="ListParagraph"/>
        <w:numPr>
          <w:ilvl w:val="0"/>
          <w:numId w:val="5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Parmi les molécules suivantes, laquelle appartient à la classe des INTI ?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Névirapine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Dolutégravir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Zidovudine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Ritonavir</w:t>
      </w:r>
    </w:p>
    <w:p>
      <w:pPr>
        <w:pStyle w:val="ListParagraph"/>
        <w:numPr>
          <w:ilvl w:val="0"/>
          <w:numId w:val="5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Névirapine est indiquée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Chez le VIH-1 uniquement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Chez le VIH-2 uniquement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Indifféremment chez le VIH-1 et le VIH-2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Uniquement en association avec un inhibiteur de fusion</w:t>
      </w:r>
    </w:p>
    <w:p>
      <w:pPr>
        <w:pStyle w:val="ListParagraph"/>
        <w:numPr>
          <w:ilvl w:val="0"/>
          <w:numId w:val="5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L'effet indésirable de classe le plus caractéristique du Ténofovir est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toxicité hématologique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néphrotoxicité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Les troubles neuropsychiatriques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lipodystrophie exclusive</w:t>
      </w:r>
    </w:p>
    <w:p>
      <w:pPr>
        <w:pStyle w:val="ListParagraph"/>
        <w:numPr>
          <w:ilvl w:val="0"/>
          <w:numId w:val="5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syndrome de reconstitution immunitaire se caractérise par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augmentation des CD4, une baisse de la charge virale et l'aggravation d'une infection opportuniste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baisse des CD4 et une augmentation de la charge virale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disparition immédiate de toute infection opportuniste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 phénomène qui survient uniquement après un an de traitement</w:t>
      </w:r>
    </w:p>
    <w:p>
      <w:pPr>
        <w:pStyle w:val="ListParagraph"/>
        <w:numPr>
          <w:ilvl w:val="0"/>
          <w:numId w:val="5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Selon la classification OMS de la toxicité des ARV, un effet secondaire de grade 3 impose généralement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simple surveillance médicale sans autre mesure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L'arrêt du traitement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poursuite du traitement sans aucune surveillance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hospitalisation systématique en soins intensifs uniquement</w:t>
      </w:r>
    </w:p>
    <w:p>
      <w:pPr>
        <w:pStyle w:val="Heading1"/>
        <w:pageBreakBefore/>
      </w:pPr>
      <w:r>
        <w:t xml:space="preserve">Chapitre 3 — Interactions alimentaires et médicamenteuses</w:t>
      </w:r>
    </w:p>
    <w:p>
      <w:pPr>
        <w:pStyle w:val="Heading2"/>
      </w:pPr>
      <w:r>
        <w:t xml:space="preserve">I. QCD — Questions à choix direct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A pour vrai et B pour faux.</w:t>
      </w:r>
    </w:p>
    <w:p>
      <w:pPr>
        <w:pStyle w:val="ListParagraph"/>
        <w:numPr>
          <w:ilvl w:val="0"/>
          <w:numId w:val="6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Les interactions alimentaires et médicamenteuses peuvent diminuer l'efficacité des ARV ou augmenter leur toxicité.</w:t>
      </w:r>
    </w:p>
    <w:p>
      <w:pPr>
        <w:pStyle w:val="ListParagraph"/>
        <w:numPr>
          <w:ilvl w:val="0"/>
          <w:numId w:val="6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Tous les antirétroviraux ont une meilleure biodisponibilité lorsqu'ils sont pris à jeun.</w:t>
      </w:r>
    </w:p>
    <w:p>
      <w:pPr>
        <w:pStyle w:val="ListParagraph"/>
        <w:numPr>
          <w:ilvl w:val="0"/>
          <w:numId w:val="6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Ritonavir à faible dose est utilisé pour « booster » les concentrations d'autres inhibiteurs de protéase.</w:t>
      </w:r>
    </w:p>
    <w:p>
      <w:pPr>
        <w:pStyle w:val="ListParagraph"/>
        <w:numPr>
          <w:ilvl w:val="0"/>
          <w:numId w:val="6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Nelfinavir est très sensible à l'effet booster du Ritonavir.</w:t>
      </w:r>
    </w:p>
    <w:p>
      <w:pPr>
        <w:pStyle w:val="ListParagraph"/>
        <w:numPr>
          <w:ilvl w:val="0"/>
          <w:numId w:val="6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Rifampicine est un inducteur enzymatique puissant.</w:t>
      </w:r>
    </w:p>
    <w:p>
      <w:pPr>
        <w:pStyle w:val="ListParagraph"/>
        <w:numPr>
          <w:ilvl w:val="0"/>
          <w:numId w:val="6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Rifampicine est contre-indiquée avec tous les inhibiteurs de protéase non associés au Ritonavir.</w:t>
      </w:r>
    </w:p>
    <w:p>
      <w:pPr>
        <w:pStyle w:val="ListParagraph"/>
        <w:numPr>
          <w:ilvl w:val="0"/>
          <w:numId w:val="6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L'association Rifampicine-Efavirenz est possible.</w:t>
      </w:r>
    </w:p>
    <w:p>
      <w:pPr>
        <w:pStyle w:val="ListParagraph"/>
        <w:numPr>
          <w:ilvl w:val="0"/>
          <w:numId w:val="6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 cas de traitement antituberculeux par Rifampicine associé au LPV/r, il faut réduire la dose de Ritonavir.</w:t>
      </w:r>
    </w:p>
    <w:p>
      <w:pPr>
        <w:pStyle w:val="ListParagraph"/>
        <w:numPr>
          <w:ilvl w:val="0"/>
          <w:numId w:val="6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Les inhibiteurs de protéase et certains INNTI peuvent réduire l'efficacité des contraceptifs oraux.</w:t>
      </w:r>
    </w:p>
    <w:p>
      <w:pPr>
        <w:pStyle w:val="ListParagraph"/>
        <w:numPr>
          <w:ilvl w:val="0"/>
          <w:numId w:val="6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Dolutégravir augmente les concentrations de la metformine, imposant une surveillance de la glycémie.</w:t>
      </w:r>
    </w:p>
    <w:p>
      <w:pPr>
        <w:pStyle w:val="ListParagraph"/>
        <w:numPr>
          <w:ilvl w:val="0"/>
          <w:numId w:val="6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Les anti-acides topiques peuvent être pris en même temps que n'importe quel ARV sans délai.</w:t>
      </w:r>
    </w:p>
    <w:p>
      <w:pPr>
        <w:pStyle w:val="ListParagraph"/>
        <w:numPr>
          <w:ilvl w:val="0"/>
          <w:numId w:val="6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L'association de l'Artémisinine avec le Dolutégravir se fait sans effet notable.</w:t>
      </w:r>
    </w:p>
    <w:p>
      <w:pPr>
        <w:pStyle w:val="ListParagraph"/>
        <w:numPr>
          <w:ilvl w:val="0"/>
          <w:numId w:val="6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L'association Quinine-Ritonavir entraîne une diminution des concentrations de quinine.</w:t>
      </w:r>
    </w:p>
    <w:p>
      <w:pPr>
        <w:pStyle w:val="ListParagraph"/>
        <w:numPr>
          <w:ilvl w:val="0"/>
          <w:numId w:val="6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Les concentrations de codéine augmentent lorsqu'elle est associée au Ritonavir.</w:t>
      </w:r>
    </w:p>
    <w:p>
      <w:pPr>
        <w:pStyle w:val="ListParagraph"/>
        <w:numPr>
          <w:ilvl w:val="0"/>
          <w:numId w:val="6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Il existe actuellement de nombreuses données validées sur les interactions entre ARV et médications traditionnelles dans notre contexte.</w:t>
      </w:r>
    </w:p>
    <w:p>
      <w:pPr>
        <w:pStyle w:val="Heading2"/>
        <w:spacing w:before="260"/>
      </w:pPr>
      <w:r>
        <w:t xml:space="preserve">II. QCM — Questions à choix multiples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Veuillez cocher la ou les réponse(s) juste(s).</w:t>
      </w:r>
    </w:p>
    <w:p>
      <w:pPr>
        <w:pStyle w:val="ListParagraph"/>
        <w:numPr>
          <w:ilvl w:val="0"/>
          <w:numId w:val="7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interaction médicamenteuse défavorable avec les ARV peut entraîner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diminution de l'efficacité des ARV uniquement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augmentation de la toxicité uniquement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diminution de l'efficacité ou une augmentation de la toxicité selon les cas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Aucune conséquence clinique significative</w:t>
      </w:r>
    </w:p>
    <w:p>
      <w:pPr>
        <w:pStyle w:val="ListParagraph"/>
        <w:numPr>
          <w:ilvl w:val="0"/>
          <w:numId w:val="7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terme « booster » un inhibiteur de protéase signifie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Diminuer sa concentration plasmatique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Augmenter sa concentration plasmatique grâce au Ritonavir à faible dose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remplacer par un autre IP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L'associer à un antituberculeux</w:t>
      </w:r>
    </w:p>
    <w:p>
      <w:pPr>
        <w:pStyle w:val="ListParagraph"/>
        <w:numPr>
          <w:ilvl w:val="0"/>
          <w:numId w:val="7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Parmi les inhibiteurs de protéase, celui qui est peu sensible à l'effet booster du Ritonavir est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Lopinavir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Nelfinavir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L'Atazanavir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Darunavir</w:t>
      </w:r>
    </w:p>
    <w:p>
      <w:pPr>
        <w:pStyle w:val="ListParagraph"/>
        <w:numPr>
          <w:ilvl w:val="0"/>
          <w:numId w:val="7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Rifampicine est contre-indiquée avec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Tous les inhibiteurs de protéase non boostés par le Ritonavir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L'Efavirenz uniquement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trithérapie INTI (ABC/AZT/3TC)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Dolutégravir uniquement</w:t>
      </w:r>
    </w:p>
    <w:p>
      <w:pPr>
        <w:pStyle w:val="ListParagraph"/>
        <w:numPr>
          <w:ilvl w:val="0"/>
          <w:numId w:val="7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 cas d'association Rifampicine-LPV/r, la conduite recommandée est de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Arrêter définitivement le LPV/r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Rebooster le LPV/r avec 100 mg supplémentaires de Ritonavir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Diminuer la dose de LPV/r de moitié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Remplacer la Rifampicine par un autre antituberculeux sans exception</w:t>
      </w:r>
    </w:p>
    <w:p>
      <w:pPr>
        <w:pStyle w:val="ListParagraph"/>
        <w:numPr>
          <w:ilvl w:val="0"/>
          <w:numId w:val="7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Lors de l'association Rifampicine et TDF+3TC+DTG (TLD), il est recommandé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 ne rien changer au schéma thérapeutique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 prendre une dose supplémentaire de 50 mg de Dolutégravir 12 heures après le TLD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D'arrêter le TLD pendant toute la durée du traitement antituberculeux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 doubler la dose de Rifampicine</w:t>
      </w:r>
    </w:p>
    <w:p>
      <w:pPr>
        <w:pStyle w:val="ListParagraph"/>
        <w:numPr>
          <w:ilvl w:val="0"/>
          <w:numId w:val="7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Certains inhibiteurs de protéase et INNTI peuvent interagir avec les contraceptifs oraux en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Réduisant l'efficacité contraceptive, imposant une double méthode de contraception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Renforçant systématiquement l'efficacité contraceptive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N'ayant aucune interaction connue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Rendant la contraception orale obligatoire</w:t>
      </w:r>
    </w:p>
    <w:p>
      <w:pPr>
        <w:pStyle w:val="ListParagraph"/>
        <w:numPr>
          <w:ilvl w:val="0"/>
          <w:numId w:val="7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Concernant l'association Artémisinine et INNTI, il est recommandé de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L'associer sans précaution particulière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Déconseiller cette association en raison d'une diminution des concentrations de l'antipaludéen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Augmenter systématiquement la dose d'INNTI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L'associer uniquement chez l'enfant</w:t>
      </w:r>
    </w:p>
    <w:p>
      <w:pPr>
        <w:pStyle w:val="ListParagraph"/>
        <w:numPr>
          <w:ilvl w:val="0"/>
          <w:numId w:val="7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Concernant l'association Quinine et INNTI, il faut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Diminuer la dose de quinine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Augmenter la dose de quinine du fait d'une diminution de ses concentrations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Arrêter la quinine définitivement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Ne prendre aucune précaution</w:t>
      </w:r>
    </w:p>
    <w:p>
      <w:pPr>
        <w:pStyle w:val="ListParagraph"/>
        <w:numPr>
          <w:ilvl w:val="0"/>
          <w:numId w:val="7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Pour rechercher les interactions médicamenteuses entre ARV et autres traitements, le site internet recommandé est celui de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L'Organisation Mondiale de la Santé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L'université de Liverpool (hiv-druginteractions.org)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CDC américain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Ministère de la Santé de Côte d'Ivoire</w:t>
      </w:r>
    </w:p>
    <w:p>
      <w:pPr>
        <w:pStyle w:val="Heading1"/>
        <w:pageBreakBefore/>
      </w:pPr>
      <w:r>
        <w:t xml:space="preserve">Chapitre 4 — Modalités thérapeutiques</w:t>
      </w:r>
    </w:p>
    <w:p>
      <w:pPr>
        <w:pStyle w:val="Heading2"/>
      </w:pPr>
      <w:r>
        <w:t xml:space="preserve">I. QCD — Questions à choix direct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A pour vrai et B pour faux.</w:t>
      </w:r>
    </w:p>
    <w:p>
      <w:pPr>
        <w:pStyle w:val="ListParagraph"/>
        <w:numPr>
          <w:ilvl w:val="0"/>
          <w:numId w:val="8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Selon l'approche « Tester et Traiter Tous », tout patient dépisté positif au VIH est éligible au TARV quel que soit son taux de CD4.</w:t>
      </w:r>
    </w:p>
    <w:p>
      <w:pPr>
        <w:pStyle w:val="ListParagraph"/>
        <w:numPr>
          <w:ilvl w:val="0"/>
          <w:numId w:val="8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L'éligibilité au TARV dans l'approche « Tester et Traiter Tous » dépend du stade clinique du patient.</w:t>
      </w:r>
    </w:p>
    <w:p>
      <w:pPr>
        <w:pStyle w:val="ListParagraph"/>
        <w:numPr>
          <w:ilvl w:val="0"/>
          <w:numId w:val="8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Une prophylaxie primaire au cotrimoxazole doit être instituée en complément du TARV.</w:t>
      </w:r>
    </w:p>
    <w:p>
      <w:pPr>
        <w:pStyle w:val="ListParagraph"/>
        <w:numPr>
          <w:ilvl w:val="0"/>
          <w:numId w:val="8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schéma de première ligne préférentiel chez l'adulte infecté par le VIH-1 est TDF+3TC+DTG (TLD).</w:t>
      </w:r>
    </w:p>
    <w:p>
      <w:pPr>
        <w:pStyle w:val="ListParagraph"/>
        <w:numPr>
          <w:ilvl w:val="0"/>
          <w:numId w:val="8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Chez le VIH-2 ou en cas de double infection (VIH1+VIH2), le schéma alternatif recommandé est TDF+3TC+EFV.</w:t>
      </w:r>
    </w:p>
    <w:p>
      <w:pPr>
        <w:pStyle w:val="ListParagraph"/>
        <w:numPr>
          <w:ilvl w:val="0"/>
          <w:numId w:val="8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Ténofovir doit être évité en cas d'insuffisance rénale.</w:t>
      </w:r>
    </w:p>
    <w:p>
      <w:pPr>
        <w:pStyle w:val="ListParagraph"/>
        <w:numPr>
          <w:ilvl w:val="0"/>
          <w:numId w:val="8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L'Efavirenz peut être utilisé sans restriction chez tout patient présentant des troubles neuropsychiatriques graves.</w:t>
      </w:r>
    </w:p>
    <w:p>
      <w:pPr>
        <w:pStyle w:val="ListParagraph"/>
        <w:numPr>
          <w:ilvl w:val="0"/>
          <w:numId w:val="8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 cas de co-infection TB/VIH, une dose supplémentaire de Dolutégravir est recommandée 12 heures après la prise du TLD.</w:t>
      </w:r>
    </w:p>
    <w:p>
      <w:pPr>
        <w:pStyle w:val="ListParagraph"/>
        <w:numPr>
          <w:ilvl w:val="0"/>
          <w:numId w:val="8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 cas de trouble de la fonction rénale, il est recommandé de remplacer le TDF par l'ABC.</w:t>
      </w:r>
    </w:p>
    <w:p>
      <w:pPr>
        <w:pStyle w:val="ListParagraph"/>
        <w:numPr>
          <w:ilvl w:val="0"/>
          <w:numId w:val="8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Chez l'enfant de moins de 10 ans pesant moins de 20 kg, la dose de Dolutégravir recommandée est de 50 mg.</w:t>
      </w:r>
    </w:p>
    <w:p>
      <w:pPr>
        <w:pStyle w:val="ListParagraph"/>
        <w:numPr>
          <w:ilvl w:val="0"/>
          <w:numId w:val="8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prescription du TLD chez l'enfant/adolescent nécessite un poids d'au moins 35 kg et un âge d'au moins 12 ans.</w:t>
      </w:r>
    </w:p>
    <w:p>
      <w:pPr>
        <w:pStyle w:val="ListParagraph"/>
        <w:numPr>
          <w:ilvl w:val="0"/>
          <w:numId w:val="8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Chez l'adolescente réglée, la prescription du Dolutégravir doit s'accompagner d'informations sur la contraception.</w:t>
      </w:r>
    </w:p>
    <w:p>
      <w:pPr>
        <w:pStyle w:val="ListParagraph"/>
        <w:numPr>
          <w:ilvl w:val="0"/>
          <w:numId w:val="8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Chez la femme enceinte infectée par le VIH-1, reçue au premier trimestre, le schéma recommandé est TDF+3TC+EFV.</w:t>
      </w:r>
    </w:p>
    <w:p>
      <w:pPr>
        <w:pStyle w:val="ListParagraph"/>
        <w:numPr>
          <w:ilvl w:val="0"/>
          <w:numId w:val="8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Chez la femme enceinte reçue à partir du deuxième trimestre, quel que soit le type de VIH, le schéma recommandé est TDF+3TC+DTG (TLD).</w:t>
      </w:r>
    </w:p>
    <w:p>
      <w:pPr>
        <w:pStyle w:val="ListParagraph"/>
        <w:numPr>
          <w:ilvl w:val="0"/>
          <w:numId w:val="8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Une femme déjà sous TARV efficace qui débute une grossesse doit obligatoirement changer de schéma thérapeutique.</w:t>
      </w:r>
    </w:p>
    <w:p>
      <w:pPr>
        <w:pStyle w:val="Heading2"/>
        <w:spacing w:before="260"/>
      </w:pPr>
      <w:r>
        <w:t xml:space="preserve">II. QCM — Questions à choix multiples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Veuillez cocher la ou les réponse(s) juste(s).</w:t>
      </w:r>
    </w:p>
    <w:p>
      <w:pPr>
        <w:pStyle w:val="ListParagraph"/>
        <w:numPr>
          <w:ilvl w:val="0"/>
          <w:numId w:val="9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Selon l'approche « Tester et Traiter Tous », un patient dépisté positif au VIH est éligible au TARV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Uniquement si son taux de CD4 est bas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Uniquement au stade clinique avancé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Quel que soit son taux de CD4 et son stade clinique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Uniquement en cas de grossesse</w:t>
      </w:r>
    </w:p>
    <w:p>
      <w:pPr>
        <w:pStyle w:val="ListParagraph"/>
        <w:numPr>
          <w:ilvl w:val="0"/>
          <w:numId w:val="9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schéma thérapeutique préférentiel de première ligne chez l'adulte infecté par le VIH-1 est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AZT+3TC+NVP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TDF+3TC+DTG (TLD)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ABC+3TC+LPV/r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TDF+3TC+EFV exclusivement</w:t>
      </w:r>
    </w:p>
    <w:p>
      <w:pPr>
        <w:pStyle w:val="ListParagraph"/>
        <w:numPr>
          <w:ilvl w:val="0"/>
          <w:numId w:val="9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Chez l'adulte infecté par le VIH-2 ou en dual (VIH1+VIH2), le schéma recommandé est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TDF+3TC+DTG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TDF+3TC+LPV/r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ABC+3TC+AZT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TDF+3TC+EFV</w:t>
      </w:r>
    </w:p>
    <w:p>
      <w:pPr>
        <w:pStyle w:val="ListParagraph"/>
        <w:numPr>
          <w:ilvl w:val="0"/>
          <w:numId w:val="9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Ténofovir doit être évité notamment en cas de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Diabète bien contrôlé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Insuffisance rénale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Grossesse au premier trimestre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Co-infection tuberculeuse</w:t>
      </w:r>
    </w:p>
    <w:p>
      <w:pPr>
        <w:pStyle w:val="ListParagraph"/>
        <w:numPr>
          <w:ilvl w:val="0"/>
          <w:numId w:val="9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 cas de co-infection TB/VIH sous TLD, la conduite recommandée est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D'arrêter le TLD pendant le traitement antituberculeux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D'ajouter une dose supplémentaire de 50 mg de Dolutégravir 12 heures après le TLD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 remplacer le TLD par un schéma à base d'Efavirenz systématiquement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 doubler la dose de TDF</w:t>
      </w:r>
    </w:p>
    <w:p>
      <w:pPr>
        <w:pStyle w:val="ListParagraph"/>
        <w:numPr>
          <w:ilvl w:val="0"/>
          <w:numId w:val="9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 cas de trouble de la fonction rénale chez un patient sous TDF, il faut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Remplacer le TDF par l'ABC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Augmenter la dose de TDF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Associer le TDF à la Rifampicine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Arrêter tout traitement ARV</w:t>
      </w:r>
    </w:p>
    <w:p>
      <w:pPr>
        <w:pStyle w:val="ListParagraph"/>
        <w:numPr>
          <w:ilvl w:val="0"/>
          <w:numId w:val="9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Chez l'enfant de moins de 10 ans pesant 35 kg ou plus, le schéma préférentiel est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ABC+3TC+DTG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TDF+3TC+DTG (TLD)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AZT+3TC+NVP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ABC+3TC+LPV/r exclusivement</w:t>
      </w:r>
    </w:p>
    <w:p>
      <w:pPr>
        <w:pStyle w:val="ListParagraph"/>
        <w:numPr>
          <w:ilvl w:val="0"/>
          <w:numId w:val="9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dose de Dolutégravir recommandée chez l'enfant pesant moins de 20 kg est de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10 mg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25 mg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50 mg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100 mg</w:t>
      </w:r>
    </w:p>
    <w:p>
      <w:pPr>
        <w:pStyle w:val="ListParagraph"/>
        <w:numPr>
          <w:ilvl w:val="0"/>
          <w:numId w:val="9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Chez la femme enceinte infectée par le VIH-1 et reçue au premier trimestre de grossesse, le schéma recommandé est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TDF+3TC+DTG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TDF+3TC+EFV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TDF+3TC+LPV/r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ABC+3TC+AZT</w:t>
      </w:r>
    </w:p>
    <w:p>
      <w:pPr>
        <w:pStyle w:val="ListParagraph"/>
        <w:numPr>
          <w:ilvl w:val="0"/>
          <w:numId w:val="9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femme sous TARV efficace qui débute une grossesse doit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Arrêter immédiatement son traitement jusqu'à l'accouchement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Poursuivre son traitement en cours s'il est toujours efficace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Changer systématiquement pour un schéma à base d'Efavirenz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Être mise sous monothérapie par précaution</w:t>
      </w:r>
    </w:p>
    <w:p>
      <w:pPr>
        <w:pStyle w:val="Heading1"/>
        <w:pageBreakBefore/>
      </w:pPr>
      <w:r>
        <w:t xml:space="preserve">Chapitre 5 — Prévention (prophylaxie)</w:t>
      </w:r>
    </w:p>
    <w:p>
      <w:pPr>
        <w:pStyle w:val="Heading2"/>
      </w:pPr>
      <w:r>
        <w:t xml:space="preserve">I. QCD — Questions à choix direct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A pour vrai et B pour faux.</w:t>
      </w:r>
    </w:p>
    <w:p>
      <w:pPr>
        <w:pStyle w:val="ListParagraph"/>
        <w:numPr>
          <w:ilvl w:val="0"/>
          <w:numId w:val="10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femme enceinte séropositive au VIH reçoit un traitement antirétroviral à vie, selon l'option B+.</w:t>
      </w:r>
    </w:p>
    <w:p>
      <w:pPr>
        <w:pStyle w:val="ListParagraph"/>
        <w:numPr>
          <w:ilvl w:val="0"/>
          <w:numId w:val="10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traitement prophylactique du nouveau-né exposé est identique quel que soit le niveau de risque de transmission.</w:t>
      </w:r>
    </w:p>
    <w:p>
      <w:pPr>
        <w:pStyle w:val="ListParagraph"/>
        <w:numPr>
          <w:ilvl w:val="0"/>
          <w:numId w:val="10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 enfant est classé à faible risque de transmission si sa mère a une charge virale inférieure à 1000 copies/ml au troisième trimestre.</w:t>
      </w:r>
    </w:p>
    <w:p>
      <w:pPr>
        <w:pStyle w:val="ListParagraph"/>
        <w:numPr>
          <w:ilvl w:val="0"/>
          <w:numId w:val="10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 enfant est classé à haut risque si sa mère a été mise sous TARV moins de 4 semaines avant l'accouchement.</w:t>
      </w:r>
    </w:p>
    <w:p>
      <w:pPr>
        <w:pStyle w:val="ListParagraph"/>
        <w:numPr>
          <w:ilvl w:val="0"/>
          <w:numId w:val="10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choix d'allaiter son enfant classe automatiquement la mère et l'enfant en faible risque de transmission.</w:t>
      </w:r>
    </w:p>
    <w:p>
      <w:pPr>
        <w:pStyle w:val="ListParagraph"/>
        <w:numPr>
          <w:ilvl w:val="0"/>
          <w:numId w:val="10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Il suffit qu'un seul critère de haut risque soit présent pour classer l'enfant à haut risque.</w:t>
      </w:r>
    </w:p>
    <w:p>
      <w:pPr>
        <w:pStyle w:val="ListParagraph"/>
        <w:numPr>
          <w:ilvl w:val="0"/>
          <w:numId w:val="10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PrEP et la PEP consistent en l'utilisation d'ARV chez des personnes séronégatives pour prévenir l'acquisition du VIH.</w:t>
      </w:r>
    </w:p>
    <w:p>
      <w:pPr>
        <w:pStyle w:val="ListParagraph"/>
        <w:numPr>
          <w:ilvl w:val="0"/>
          <w:numId w:val="10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PrEP s'adresse uniquement aux personnes déjà infectées par le VIH.</w:t>
      </w:r>
    </w:p>
    <w:p>
      <w:pPr>
        <w:pStyle w:val="ListParagraph"/>
        <w:numPr>
          <w:ilvl w:val="0"/>
          <w:numId w:val="10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L'âge minimum requis pour être éligible à la PrEP est de 16 ans.</w:t>
      </w:r>
    </w:p>
    <w:p>
      <w:pPr>
        <w:pStyle w:val="ListParagraph"/>
        <w:numPr>
          <w:ilvl w:val="0"/>
          <w:numId w:val="10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Une clairance de la créatinine supérieure à 60 ml/min est un critère d'éligibilité à la PrEP.</w:t>
      </w:r>
    </w:p>
    <w:p>
      <w:pPr>
        <w:pStyle w:val="ListParagraph"/>
        <w:numPr>
          <w:ilvl w:val="0"/>
          <w:numId w:val="10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molécule utilisée pour la PrEP est l'association Ténofovir Disoproxil et Lamivudine.</w:t>
      </w:r>
    </w:p>
    <w:p>
      <w:pPr>
        <w:pStyle w:val="ListParagraph"/>
        <w:numPr>
          <w:ilvl w:val="0"/>
          <w:numId w:val="10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PrEP continue est la seule option recommandée chez les femmes et les personnes infectées par l'hépatite B.</w:t>
      </w:r>
    </w:p>
    <w:p>
      <w:pPr>
        <w:pStyle w:val="ListParagraph"/>
        <w:numPr>
          <w:ilvl w:val="0"/>
          <w:numId w:val="10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PrEP à la demande consiste en la prise d'un comprimé unique, une seule fois, avant le rapport à risque.</w:t>
      </w:r>
    </w:p>
    <w:p>
      <w:pPr>
        <w:pStyle w:val="ListParagraph"/>
        <w:numPr>
          <w:ilvl w:val="0"/>
          <w:numId w:val="10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 accident d'exposition au sang (AES) se définit uniquement par une piqûre avec une aiguille contaminée.</w:t>
      </w:r>
    </w:p>
    <w:p>
      <w:pPr>
        <w:pStyle w:val="ListParagraph"/>
        <w:numPr>
          <w:ilvl w:val="0"/>
          <w:numId w:val="10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prophylaxie post-exposition (PEP) doit être initiée dans les 72 heures suivant l'exposition, pour une durée de 28 jours.</w:t>
      </w:r>
    </w:p>
    <w:p>
      <w:pPr>
        <w:pStyle w:val="Heading2"/>
        <w:spacing w:before="260"/>
      </w:pPr>
      <w:r>
        <w:t xml:space="preserve">II. QCM — Questions à choix multiples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Veuillez cocher la ou les réponse(s) juste(s).</w:t>
      </w:r>
    </w:p>
    <w:p>
      <w:pPr>
        <w:pStyle w:val="ListParagraph"/>
        <w:numPr>
          <w:ilvl w:val="0"/>
          <w:numId w:val="11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femme enceinte séropositive au VIH reçoit un traitement antirétroviral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Uniquement pendant la grossesse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À vie, selon l'option B+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Uniquement au moment de l'accouchement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Uniquement si son taux de CD4 est bas</w:t>
      </w:r>
    </w:p>
    <w:p>
      <w:pPr>
        <w:pStyle w:val="ListParagraph"/>
        <w:numPr>
          <w:ilvl w:val="0"/>
          <w:numId w:val="11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 enfant exposé est classé à haut risque de transmission du VIH si sa mère, entre autres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une charge virale inférieure à 1000 copies/ml au 3ème trimestre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été mise sous TARV au moins 4 semaines avant l'accouchement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été diagnostiquée séropositive en salle d'accouchement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N'a pas choisi d'allaiter son enfant</w:t>
      </w:r>
    </w:p>
    <w:p>
      <w:pPr>
        <w:pStyle w:val="ListParagraph"/>
        <w:numPr>
          <w:ilvl w:val="0"/>
          <w:numId w:val="11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Concernant la classification du risque de transmission chez le nouveau-né exposé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Il faut réunir tous les critères de haut risque pour classer l'enfant à haut risque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 seul critère de haut risque suffit pour classer l'enfant à haut risque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mode d'accouchement n'a aucune influence sur cette classification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Seul le taux de CD4 maternel est pris en compte</w:t>
      </w:r>
    </w:p>
    <w:p>
      <w:pPr>
        <w:pStyle w:val="ListParagraph"/>
        <w:numPr>
          <w:ilvl w:val="0"/>
          <w:numId w:val="11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PrEP et la PEP ont pour but commun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 traiter une infection à VIH déjà installée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D'utiliser des ARV chez des personnes séronégatives pour prévenir l'acquisition du VIH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 remplacer la vaccination contre l'hépatite B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 traiter les infections opportunistes</w:t>
      </w:r>
    </w:p>
    <w:p>
      <w:pPr>
        <w:pStyle w:val="ListParagraph"/>
        <w:numPr>
          <w:ilvl w:val="0"/>
          <w:numId w:val="11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Parmi les critères d'éligibilité à la PrEP figurent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 âge d'au moins 16 ans et une sérologie VIH négative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sérologie VIH positive récente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clairance de la créatinine inférieure à 60 ml/min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 âge maximal de 25 ans</w:t>
      </w:r>
    </w:p>
    <w:p>
      <w:pPr>
        <w:pStyle w:val="ListParagraph"/>
        <w:numPr>
          <w:ilvl w:val="0"/>
          <w:numId w:val="11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molécule utilisée pour la PrEP est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Efavirenz seul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Dolutégravir seul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Ténofovir Disoproxil associé à la Lamivudine (TDF/3TC)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Névirapine associée à la Zidovudine</w:t>
      </w:r>
    </w:p>
    <w:p>
      <w:pPr>
        <w:pStyle w:val="ListParagraph"/>
        <w:numPr>
          <w:ilvl w:val="0"/>
          <w:numId w:val="11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PrEP continue consiste en la prise de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 comprimé par jour durant toute la durée de l'exposition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Deux comprimés une seule fois par semaine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 comprimé uniquement après chaque rapport à risque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Trois comprimés par jour en continu</w:t>
      </w:r>
    </w:p>
    <w:p>
      <w:pPr>
        <w:pStyle w:val="ListParagraph"/>
        <w:numPr>
          <w:ilvl w:val="0"/>
          <w:numId w:val="11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Dans la PrEP à la demande, après la double dose initiale, les comprimés suivants doivent être pris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À 24 heures d'intervalle, à raison d'un comprimé après la première puis un après la deuxième prise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Immédiatement tous ensemble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semaine plus tard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Il n'y a pas d'autre prise nécessaire</w:t>
      </w:r>
    </w:p>
    <w:p>
      <w:pPr>
        <w:pStyle w:val="ListParagraph"/>
        <w:numPr>
          <w:ilvl w:val="0"/>
          <w:numId w:val="11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 accident d'exposition au sang (AES) se définit comme un contact accidentel avec du sang ou un produit biologique par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Voie percutanée, projection sur muqueuse ou peau lésée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Voie orale exclusivement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Voie respiratoire exclusivement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Contact avec une peau saine et intacte uniquement</w:t>
      </w:r>
    </w:p>
    <w:p>
      <w:pPr>
        <w:pStyle w:val="ListParagraph"/>
        <w:numPr>
          <w:ilvl w:val="0"/>
          <w:numId w:val="11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Chez une personne de plus de 10 ans (ou plus de 35 kg) victime d'un AES avec sérologie VIH négative, la prophylaxie post-exposition recommandée est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TDF+3TC+DTG (TLD) dans les 72h suivant l'exposition, pendant 28 jours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ABC+3TC+DTG pendant 6 mois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Zidovudine seule pendant 7 jours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Aucun traitement n'est nécessaire avant confirmation de la séroconversion</w:t>
      </w:r>
    </w:p>
    <w:p>
      <w:pPr>
        <w:pStyle w:val="Heading1"/>
        <w:pageBreakBefore/>
      </w:pPr>
      <w:r>
        <w:t xml:space="preserve">Chapitre 6 — Suivi du traitement ARV</w:t>
      </w:r>
    </w:p>
    <w:p>
      <w:pPr>
        <w:pStyle w:val="Heading2"/>
      </w:pPr>
      <w:r>
        <w:t xml:space="preserve">I. QCD — Questions à choix direct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A pour vrai et B pour faux.</w:t>
      </w:r>
    </w:p>
    <w:p>
      <w:pPr>
        <w:pStyle w:val="ListParagraph"/>
        <w:numPr>
          <w:ilvl w:val="0"/>
          <w:numId w:val="12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L'observance thérapeutique comprend deux notions : l'adhésion et la compliance.</w:t>
      </w:r>
    </w:p>
    <w:p>
      <w:pPr>
        <w:pStyle w:val="ListParagraph"/>
        <w:numPr>
          <w:ilvl w:val="0"/>
          <w:numId w:val="12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seuil de bonne observance pour le TARV se situe au-dessus de 90 %.</w:t>
      </w:r>
    </w:p>
    <w:p>
      <w:pPr>
        <w:pStyle w:val="ListParagraph"/>
        <w:numPr>
          <w:ilvl w:val="0"/>
          <w:numId w:val="12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Une mauvaise observance se définit par l'oubli d'une dose sur une période de 6 mois.</w:t>
      </w:r>
    </w:p>
    <w:p>
      <w:pPr>
        <w:pStyle w:val="ListParagraph"/>
        <w:numPr>
          <w:ilvl w:val="0"/>
          <w:numId w:val="12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Il est recommandé d'utiliser au moins deux outils pour évaluer l'observance.</w:t>
      </w:r>
    </w:p>
    <w:p>
      <w:pPr>
        <w:pStyle w:val="ListParagraph"/>
        <w:numPr>
          <w:ilvl w:val="0"/>
          <w:numId w:val="12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L'observation directe thérapeutique (DOT) est un outil d'évaluation de l'observance.</w:t>
      </w:r>
    </w:p>
    <w:p>
      <w:pPr>
        <w:pStyle w:val="ListParagraph"/>
        <w:numPr>
          <w:ilvl w:val="0"/>
          <w:numId w:val="12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Une bonne observance thérapeutique augmente le risque de développement de résistances virales.</w:t>
      </w:r>
    </w:p>
    <w:p>
      <w:pPr>
        <w:pStyle w:val="ListParagraph"/>
        <w:numPr>
          <w:ilvl w:val="0"/>
          <w:numId w:val="12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Depuis 2015, la charge virale est l'outil préférentiel de suivi du traitement ARV en Côte d'Ivoire.</w:t>
      </w:r>
    </w:p>
    <w:p>
      <w:pPr>
        <w:pStyle w:val="ListParagraph"/>
        <w:numPr>
          <w:ilvl w:val="0"/>
          <w:numId w:val="12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 patient ayant une charge virale indétectable inférieure à 200 copies/ml doit changer immédiatement de ligne thérapeutique.</w:t>
      </w:r>
    </w:p>
    <w:p>
      <w:pPr>
        <w:pStyle w:val="ListParagraph"/>
        <w:numPr>
          <w:ilvl w:val="0"/>
          <w:numId w:val="12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Une charge virale non supprimée supérieure à 1000 copies/ml impose la conduite de séances d'éducation thérapeutique avant de refaire le contrôle.</w:t>
      </w:r>
    </w:p>
    <w:p>
      <w:pPr>
        <w:pStyle w:val="ListParagraph"/>
        <w:numPr>
          <w:ilvl w:val="0"/>
          <w:numId w:val="12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L'échec thérapeutique se définit notamment par une charge virale supérieure à 1000 copies/ml persistant après renforcement de l'observance.</w:t>
      </w:r>
    </w:p>
    <w:p>
      <w:pPr>
        <w:pStyle w:val="ListParagraph"/>
        <w:numPr>
          <w:ilvl w:val="0"/>
          <w:numId w:val="12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patient est dit « perdu de vue » lorsqu'il a manqué son rendez-vous depuis 90 jours, norme inchangée depuis les débuts du programme.</w:t>
      </w:r>
    </w:p>
    <w:p>
      <w:pPr>
        <w:pStyle w:val="ListParagraph"/>
        <w:numPr>
          <w:ilvl w:val="0"/>
          <w:numId w:val="12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patient « perdu de vue » est systématiquement retiré de la file active.</w:t>
      </w:r>
    </w:p>
    <w:p>
      <w:pPr>
        <w:pStyle w:val="ListParagraph"/>
        <w:numPr>
          <w:ilvl w:val="0"/>
          <w:numId w:val="12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file active comprend uniquement les patients nouvellement mis sous traitement ARV.</w:t>
      </w:r>
    </w:p>
    <w:p>
      <w:pPr>
        <w:pStyle w:val="ListParagraph"/>
        <w:numPr>
          <w:ilvl w:val="0"/>
          <w:numId w:val="12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 cas d'arrêt du TARV avec un schéma à deux INTI plus un IP, il est recommandé d'arrêter tous les médicaments en même temps.</w:t>
      </w:r>
    </w:p>
    <w:p>
      <w:pPr>
        <w:pStyle w:val="ListParagraph"/>
        <w:numPr>
          <w:ilvl w:val="0"/>
          <w:numId w:val="12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 patient présentant une anémie sévère ou une insuffisance rénale sévère doit être référé vers une structure spécialisée.</w:t>
      </w:r>
    </w:p>
    <w:p>
      <w:pPr>
        <w:pStyle w:val="Heading2"/>
        <w:spacing w:before="260"/>
      </w:pPr>
      <w:r>
        <w:t xml:space="preserve">II. QCM — Questions à choix multiples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Veuillez cocher la ou les réponse(s) juste(s).</w:t>
      </w:r>
    </w:p>
    <w:p>
      <w:pPr>
        <w:pStyle w:val="ListParagraph"/>
        <w:numPr>
          <w:ilvl w:val="0"/>
          <w:numId w:val="13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L'observance thérapeutique se définit comme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capacité du patient à prendre son traitement selon la prescription donnée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disponibilité des ARV dans les pharmacies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nombre de comprimés restants en fin de mois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durée totale du traitement antirétroviral</w:t>
      </w:r>
    </w:p>
    <w:p>
      <w:pPr>
        <w:pStyle w:val="ListParagraph"/>
        <w:numPr>
          <w:ilvl w:val="0"/>
          <w:numId w:val="13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seuil de bonne observance pour une réponse optimale au TARV se situe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Au-dessus de 50 %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Au-dessus de 70 %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Au-dessus de 90 %, voire 95 %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Exactement à 100 % sans aucune tolérance</w:t>
      </w:r>
    </w:p>
    <w:p>
      <w:pPr>
        <w:pStyle w:val="ListParagraph"/>
        <w:numPr>
          <w:ilvl w:val="0"/>
          <w:numId w:val="13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mauvaise observance se définit comme le fait de manquer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Plus d'une dose sur une période de 10 jours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seule dose par an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Plus de dix doses par semaine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dose tous les 6 mois</w:t>
      </w:r>
    </w:p>
    <w:p>
      <w:pPr>
        <w:pStyle w:val="ListParagraph"/>
        <w:numPr>
          <w:ilvl w:val="0"/>
          <w:numId w:val="13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Parmi les outils d'évaluation de l'observance figurent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L'auto-questionnaire et l'observation directe thérapeutique (DOT)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Uniquement la charge virale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Uniquement l'examen clinique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Uniquement le poids du patient</w:t>
      </w:r>
    </w:p>
    <w:p>
      <w:pPr>
        <w:pStyle w:val="ListParagraph"/>
        <w:numPr>
          <w:ilvl w:val="0"/>
          <w:numId w:val="13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Devant une charge virale supprimée mais comprise entre 200 et 1000 copies/ml, la conduite à tenir est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 changer immédiatement de ligne thérapeutique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 renforcer le conseil à l'observance tout en poursuivant le traitement en cours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D'arrêter tout traitement ARV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 considérer d'emblée un échec thérapeutique</w:t>
      </w:r>
    </w:p>
    <w:p>
      <w:pPr>
        <w:pStyle w:val="ListParagraph"/>
        <w:numPr>
          <w:ilvl w:val="0"/>
          <w:numId w:val="13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Devant une charge virale non supprimée supérieure à 1000 copies/ml, il faut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Conduire des séances d'éducation thérapeutique puis refaire la charge virale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Changer immédiatement de ligne sans autre évaluation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Ne rien faire jusqu'au prochain bilan annuel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Arrêter le TARV pendant 3 mois</w:t>
      </w:r>
    </w:p>
    <w:p>
      <w:pPr>
        <w:pStyle w:val="ListParagraph"/>
        <w:numPr>
          <w:ilvl w:val="0"/>
          <w:numId w:val="13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L'échec thérapeutique est défini par une charge virale supérieure à 1000 copies/ml après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6 mois de traitement continu bien conduit, confirmée au contrôle après renforcement de l'observance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 semaine de traitement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 mois de traitement, sans confirmation nécessaire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seule mesure isolée, quel que soit le délai</w:t>
      </w:r>
    </w:p>
    <w:p>
      <w:pPr>
        <w:pStyle w:val="ListParagraph"/>
        <w:numPr>
          <w:ilvl w:val="0"/>
          <w:numId w:val="13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Selon la définition actualisée, un patient est dit « perdu de vue » lorsqu'il a manqué son rendez-vous depuis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7 jours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28 jours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90 jours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6 mois</w:t>
      </w:r>
    </w:p>
    <w:p>
      <w:pPr>
        <w:pStyle w:val="ListParagraph"/>
        <w:numPr>
          <w:ilvl w:val="0"/>
          <w:numId w:val="13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file active correspond à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L'ensemble des patients VIH+ sous ARV ayant de quoi couvrir leurs besoins de traitement, déduction faite des attritions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Uniquement les nouveaux patients mis sous traitement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Uniquement les patients transférés d'une autre structure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L'ensemble des patients décédés au cours de l'année</w:t>
      </w:r>
    </w:p>
    <w:p>
      <w:pPr>
        <w:pStyle w:val="ListParagraph"/>
        <w:numPr>
          <w:ilvl w:val="0"/>
          <w:numId w:val="13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Parmi les situations suivantes, laquelle impose de référer un patient vers une structure spécialisée ?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bonne observance thérapeutique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charge virale indétectable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co-infection TB/VIH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simple consultation de routine sans complication</w:t>
      </w:r>
    </w:p>
    <w:p>
      <w:pPr>
        <w:pStyle w:val="Heading1"/>
        <w:pageBreakBefore/>
      </w:pPr>
      <w:r>
        <w:t xml:space="preserve">Chapitre 7 — Soins et soutien</w:t>
      </w:r>
    </w:p>
    <w:p>
      <w:pPr>
        <w:pStyle w:val="Heading2"/>
      </w:pPr>
      <w:r>
        <w:t xml:space="preserve">I. QCD — Questions à choix direct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A pour vrai et B pour faux.</w:t>
      </w:r>
    </w:p>
    <w:p>
      <w:pPr>
        <w:pStyle w:val="ListParagraph"/>
        <w:numPr>
          <w:ilvl w:val="0"/>
          <w:numId w:val="14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Les soins et soutien sont la traduction française du terme anglais « supportive care ».</w:t>
      </w:r>
    </w:p>
    <w:p>
      <w:pPr>
        <w:pStyle w:val="ListParagraph"/>
        <w:numPr>
          <w:ilvl w:val="0"/>
          <w:numId w:val="14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Les soins et soutien ne concernent que la période suivant le décès du patient.</w:t>
      </w:r>
    </w:p>
    <w:p>
      <w:pPr>
        <w:pStyle w:val="ListParagraph"/>
        <w:numPr>
          <w:ilvl w:val="0"/>
          <w:numId w:val="14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but des soins et soutien est l'amélioration de la dignité, de la qualité et de la durée de vie des PVVIH.</w:t>
      </w:r>
    </w:p>
    <w:p>
      <w:pPr>
        <w:pStyle w:val="ListParagraph"/>
        <w:numPr>
          <w:ilvl w:val="0"/>
          <w:numId w:val="14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dispositif national de soins et soutien comprend huit composantes.</w:t>
      </w:r>
    </w:p>
    <w:p>
      <w:pPr>
        <w:pStyle w:val="ListParagraph"/>
        <w:numPr>
          <w:ilvl w:val="0"/>
          <w:numId w:val="14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Les huit composantes des soins et soutien ont été validées en octobre 2020.</w:t>
      </w:r>
    </w:p>
    <w:p>
      <w:pPr>
        <w:pStyle w:val="ListParagraph"/>
        <w:numPr>
          <w:ilvl w:val="0"/>
          <w:numId w:val="14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soutien médical est l'une des huit composantes des soins et soutien.</w:t>
      </w:r>
    </w:p>
    <w:p>
      <w:pPr>
        <w:pStyle w:val="ListParagraph"/>
        <w:numPr>
          <w:ilvl w:val="0"/>
          <w:numId w:val="14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soutien à l'éducation et à la mise en apprentissage ne fait pas partie des huit composantes officielles.</w:t>
      </w:r>
    </w:p>
    <w:p>
      <w:pPr>
        <w:pStyle w:val="ListParagraph"/>
        <w:numPr>
          <w:ilvl w:val="0"/>
          <w:numId w:val="14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thérapie préventive de la tuberculose fait partie des tâches du soutien médical.</w:t>
      </w:r>
    </w:p>
    <w:p>
      <w:pPr>
        <w:pStyle w:val="ListParagraph"/>
        <w:numPr>
          <w:ilvl w:val="0"/>
          <w:numId w:val="14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L'éducation thérapeutique du patient (ETP) relève du soutien médical.</w:t>
      </w:r>
    </w:p>
    <w:p>
      <w:pPr>
        <w:pStyle w:val="ListParagraph"/>
        <w:numPr>
          <w:ilvl w:val="0"/>
          <w:numId w:val="14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prévention du cancer du col de l'utérus fait partie des tâches attribuées au soutien médical.</w:t>
      </w:r>
    </w:p>
    <w:p>
      <w:pPr>
        <w:pStyle w:val="ListParagraph"/>
        <w:numPr>
          <w:ilvl w:val="0"/>
          <w:numId w:val="14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soutien psychologique inclut la prévention et la prise en charge du burnout chez le soignant.</w:t>
      </w:r>
    </w:p>
    <w:p>
      <w:pPr>
        <w:pStyle w:val="ListParagraph"/>
        <w:numPr>
          <w:ilvl w:val="0"/>
          <w:numId w:val="14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soutien spirituel exclut toute implication des leaders religieux dans la prise en charge des PVVIH.</w:t>
      </w:r>
    </w:p>
    <w:p>
      <w:pPr>
        <w:pStyle w:val="ListParagraph"/>
        <w:numPr>
          <w:ilvl w:val="0"/>
          <w:numId w:val="14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lutte contre la stigmatisation et la discrimination relève du soutien juridique.</w:t>
      </w:r>
    </w:p>
    <w:p>
      <w:pPr>
        <w:pStyle w:val="ListParagraph"/>
        <w:numPr>
          <w:ilvl w:val="0"/>
          <w:numId w:val="14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mise en place des AGR (activités génératrices de revenus) relève du soutien économique.</w:t>
      </w:r>
    </w:p>
    <w:p>
      <w:pPr>
        <w:pStyle w:val="ListParagraph"/>
        <w:numPr>
          <w:ilvl w:val="0"/>
          <w:numId w:val="14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Les soins et soutien contribuent à la réduction des nouvelles infections par la rétention durable des PVVIH dans les soins.</w:t>
      </w:r>
    </w:p>
    <w:p>
      <w:pPr>
        <w:pStyle w:val="Heading2"/>
        <w:spacing w:before="260"/>
      </w:pPr>
      <w:r>
        <w:t xml:space="preserve">II. QCM — Questions à choix multiples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Veuillez cocher la ou les réponse(s) juste(s).</w:t>
      </w:r>
    </w:p>
    <w:p>
      <w:pPr>
        <w:pStyle w:val="ListParagraph"/>
        <w:numPr>
          <w:ilvl w:val="0"/>
          <w:numId w:val="15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terme « soins et soutien » est la traduction de l'expression anglaise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Supportive care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Primary care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Palliative care only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Home care</w:t>
      </w:r>
    </w:p>
    <w:p>
      <w:pPr>
        <w:pStyle w:val="ListParagraph"/>
        <w:numPr>
          <w:ilvl w:val="0"/>
          <w:numId w:val="15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Les soins et soutien sont nécessaires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Uniquement après le décès du patient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Uniquement au moment du diagnostic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Dès le diagnostic, pendant la maladie et après le décès (deuil familial)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Uniquement pendant l'hospitalisation</w:t>
      </w:r>
    </w:p>
    <w:p>
      <w:pPr>
        <w:pStyle w:val="ListParagraph"/>
        <w:numPr>
          <w:ilvl w:val="0"/>
          <w:numId w:val="15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dispositif national de soins et soutien comprend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4 composantes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6 composantes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8 composantes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10 composantes</w:t>
      </w:r>
    </w:p>
    <w:p>
      <w:pPr>
        <w:pStyle w:val="ListParagraph"/>
        <w:numPr>
          <w:ilvl w:val="0"/>
          <w:numId w:val="15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Ce dispositif national de soins et soutien a été validé en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2015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2018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Octobre 2020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2023</w:t>
      </w:r>
    </w:p>
    <w:p>
      <w:pPr>
        <w:pStyle w:val="ListParagraph"/>
        <w:numPr>
          <w:ilvl w:val="0"/>
          <w:numId w:val="15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Parmi les composantes suivantes, laquelle ne fait PAS partie des huit composantes officielles des soins et soutien ?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soutien économique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soutien juridique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soutien médical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soutien militaire</w:t>
      </w:r>
    </w:p>
    <w:p>
      <w:pPr>
        <w:pStyle w:val="ListParagraph"/>
        <w:numPr>
          <w:ilvl w:val="0"/>
          <w:numId w:val="15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distribution communautaire des ARV relève de la composante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Soutien médical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Soutien social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Soutien juridique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Soutien économique</w:t>
      </w:r>
    </w:p>
    <w:p>
      <w:pPr>
        <w:pStyle w:val="ListParagraph"/>
        <w:numPr>
          <w:ilvl w:val="0"/>
          <w:numId w:val="15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mise en place de groupes de parole / soutien relève de la composante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Soutien spirituel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Soutien psychologique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Soutien juridique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Soutien nutritionnel</w:t>
      </w:r>
    </w:p>
    <w:p>
      <w:pPr>
        <w:pStyle w:val="ListParagraph"/>
        <w:numPr>
          <w:ilvl w:val="0"/>
          <w:numId w:val="15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mise en place des AVEC/AUEC/GEC (groupes d'épargne communautaires) relève de la composante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Soutien économique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Soutien social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Soutien spirituel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Soutien médical</w:t>
      </w:r>
    </w:p>
    <w:p>
      <w:pPr>
        <w:pStyle w:val="ListParagraph"/>
        <w:numPr>
          <w:ilvl w:val="0"/>
          <w:numId w:val="15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lutte contre les violences basées sur le genre (VBG) relève de la composante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Soutien nutritionnel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Soutien juridique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Soutien médical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Soutien psychologique</w:t>
      </w:r>
    </w:p>
    <w:p>
      <w:pPr>
        <w:pStyle w:val="ListParagraph"/>
        <w:numPr>
          <w:ilvl w:val="0"/>
          <w:numId w:val="15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but ultime des soins et soutien, selon le document, est de contribuer à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réduction des nouvelles infections par la rétention durable dans les soins et la suppression virale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guérison définitive et complète du VIH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suppression de tout traitement antirétroviral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L'isolement social du patient pour sa protection</w:t>
      </w:r>
    </w:p>
    <w:p>
      <w:pPr>
        <w:pStyle w:val="Heading1"/>
        <w:pageBreakBefore/>
      </w:pPr>
      <w:r>
        <w:t xml:space="preserve">Chapitre 8 — OEV : Soutien à l'éducation et à la mise en apprentissage</w:t>
      </w:r>
    </w:p>
    <w:p>
      <w:pPr>
        <w:pStyle w:val="Heading2"/>
      </w:pPr>
      <w:r>
        <w:t xml:space="preserve">I. QCD — Questions à choix direct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A pour vrai et B pour faux.</w:t>
      </w:r>
    </w:p>
    <w:p>
      <w:pPr>
        <w:pStyle w:val="ListParagraph"/>
        <w:numPr>
          <w:ilvl w:val="0"/>
          <w:numId w:val="16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loi ivoirienne rend la scolarisation obligatoire pour tous les enfants de six à seize ans.</w:t>
      </w:r>
    </w:p>
    <w:p>
      <w:pPr>
        <w:pStyle w:val="ListParagraph"/>
        <w:numPr>
          <w:ilvl w:val="0"/>
          <w:numId w:val="16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droit à l'éducation, selon la loi ivoirienne, n'est garanti qu'aux enfants dont les parents sont en bonne santé.</w:t>
      </w:r>
    </w:p>
    <w:p>
      <w:pPr>
        <w:pStyle w:val="ListParagraph"/>
        <w:numPr>
          <w:ilvl w:val="0"/>
          <w:numId w:val="16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stigmatisation et la discrimination peuvent conduire un OEV à abandonner l'école.</w:t>
      </w:r>
    </w:p>
    <w:p>
      <w:pPr>
        <w:pStyle w:val="ListParagraph"/>
        <w:numPr>
          <w:ilvl w:val="0"/>
          <w:numId w:val="16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Les contraintes familiales, comme le statut de chef de famille, n'ont aucun impact sur la scolarisation des OEV.</w:t>
      </w:r>
    </w:p>
    <w:p>
      <w:pPr>
        <w:pStyle w:val="ListParagraph"/>
        <w:numPr>
          <w:ilvl w:val="0"/>
          <w:numId w:val="16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Les infections opportunistes peuvent entraîner l'exclusion scolaire d'un OEV en raison d'absences répétées.</w:t>
      </w:r>
    </w:p>
    <w:p>
      <w:pPr>
        <w:pStyle w:val="ListParagraph"/>
        <w:numPr>
          <w:ilvl w:val="0"/>
          <w:numId w:val="16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Les filles OEV du fait du VIH sont à l'abri de tout risque de grossesse non désirée ou de prostitution de survie.</w:t>
      </w:r>
    </w:p>
    <w:p>
      <w:pPr>
        <w:pStyle w:val="ListParagraph"/>
        <w:numPr>
          <w:ilvl w:val="0"/>
          <w:numId w:val="16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manque d'accès à une cantine scolaire peut contribuer à l'abandon scolaire d'un OEV.</w:t>
      </w:r>
    </w:p>
    <w:p>
      <w:pPr>
        <w:pStyle w:val="ListParagraph"/>
        <w:numPr>
          <w:ilvl w:val="0"/>
          <w:numId w:val="16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non-paiement des frais de scolarité peut entraîner l'exclusion d'un OEV des établissements privés.</w:t>
      </w:r>
    </w:p>
    <w:p>
      <w:pPr>
        <w:pStyle w:val="ListParagraph"/>
        <w:numPr>
          <w:ilvl w:val="0"/>
          <w:numId w:val="16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plateforme de collaboration OEV comprend quatre missions essentielles.</w:t>
      </w:r>
    </w:p>
    <w:p>
      <w:pPr>
        <w:pStyle w:val="ListParagraph"/>
        <w:numPr>
          <w:ilvl w:val="0"/>
          <w:numId w:val="16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plateforme de collaboration OEV est composée uniquement de représentants du secteur de la santé.</w:t>
      </w:r>
    </w:p>
    <w:p>
      <w:pPr>
        <w:pStyle w:val="ListParagraph"/>
        <w:numPr>
          <w:ilvl w:val="0"/>
          <w:numId w:val="16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 niveau local, les plateformes OEV sont coordonnées par les Centres Sociaux.</w:t>
      </w:r>
    </w:p>
    <w:p>
      <w:pPr>
        <w:pStyle w:val="ListParagraph"/>
        <w:numPr>
          <w:ilvl w:val="0"/>
          <w:numId w:val="16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 niveau national, la coordination des plateformes OEV relève du Ministère en charge de la Famille à travers le PN-OEV.</w:t>
      </w:r>
    </w:p>
    <w:p>
      <w:pPr>
        <w:pStyle w:val="ListParagraph"/>
        <w:numPr>
          <w:ilvl w:val="0"/>
          <w:numId w:val="16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Les Instituts de Formation et d'Éducation Féminine (IFEF) font partie des structures d'accueil pour l'apprentissage des OEV.</w:t>
      </w:r>
    </w:p>
    <w:p>
      <w:pPr>
        <w:pStyle w:val="ListParagraph"/>
        <w:numPr>
          <w:ilvl w:val="0"/>
          <w:numId w:val="16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sensibilisation des enseignants et éducateurs n'est pas nécessaire pour prévenir la discrimination des OEV.</w:t>
      </w:r>
    </w:p>
    <w:p>
      <w:pPr>
        <w:pStyle w:val="ListParagraph"/>
        <w:numPr>
          <w:ilvl w:val="0"/>
          <w:numId w:val="16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mobilisation communautaire peut inclure la création d'AGR pour financer la scolarité des OEV.</w:t>
      </w:r>
    </w:p>
    <w:p>
      <w:pPr>
        <w:pStyle w:val="Heading2"/>
        <w:spacing w:before="260"/>
      </w:pPr>
      <w:r>
        <w:t xml:space="preserve">II. QCM — Questions à choix multiples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Veuillez cocher la ou les réponse(s) juste(s).</w:t>
      </w:r>
    </w:p>
    <w:p>
      <w:pPr>
        <w:pStyle w:val="ListParagraph"/>
        <w:numPr>
          <w:ilvl w:val="0"/>
          <w:numId w:val="17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Selon la loi ivoirienne, la scolarisation est obligatoire pour tous les enfants âgés de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 à 6 ans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6 à 16 ans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10 à 18 ans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6 à 12 ans uniquement pour les filles</w:t>
      </w:r>
    </w:p>
    <w:p>
      <w:pPr>
        <w:pStyle w:val="ListParagraph"/>
        <w:numPr>
          <w:ilvl w:val="0"/>
          <w:numId w:val="17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Parmi les problèmes suivants, lequel n'est PAS cité comme obstacle à la scolarisation des OEV ?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stigmatisation et la discrimination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Les infections opportunistes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L'excès de moyens financiers familiaux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Les difficultés alimentaires et sanitaires</w:t>
      </w:r>
    </w:p>
    <w:p>
      <w:pPr>
        <w:pStyle w:val="ListParagraph"/>
        <w:numPr>
          <w:ilvl w:val="0"/>
          <w:numId w:val="17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Les filles devenues OEV du fait du décès de leurs parents sont particulièrement exposées à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meilleure réussite scolaire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Des grossesses non désirées et parfois à la prostitution de survie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prise en charge financière automatique par l'État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Aucun risque particulier comparé aux garçons</w:t>
      </w:r>
    </w:p>
    <w:p>
      <w:pPr>
        <w:pStyle w:val="ListParagraph"/>
        <w:numPr>
          <w:ilvl w:val="0"/>
          <w:numId w:val="17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plateforme de collaboration OEV a pour mission notamment de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Remplacer les ministères techniques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Servir de cadre de collaboration entre les différents acteurs locaux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 substituer aux parents des OEV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Gérer exclusivement les aspects médicaux du VIH</w:t>
      </w:r>
    </w:p>
    <w:p>
      <w:pPr>
        <w:pStyle w:val="ListParagraph"/>
        <w:numPr>
          <w:ilvl w:val="0"/>
          <w:numId w:val="17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Au niveau local, les plateformes de collaboration OEV sont coordonnées par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Les Centres Sociaux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Les hôpitaux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Les tribunaux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Les entreprises privées</w:t>
      </w:r>
    </w:p>
    <w:p>
      <w:pPr>
        <w:pStyle w:val="ListParagraph"/>
        <w:numPr>
          <w:ilvl w:val="0"/>
          <w:numId w:val="17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Au niveau national, la coordination des plateformes de collaboration OEV relève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Du Ministère de la Santé exclusivement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Du Ministère en charge de la Famille, à travers le PN-OEV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 l'ONUSIDA exclusivement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Des collectivités locales uniquement</w:t>
      </w:r>
    </w:p>
    <w:p>
      <w:pPr>
        <w:pStyle w:val="ListParagraph"/>
        <w:numPr>
          <w:ilvl w:val="0"/>
          <w:numId w:val="17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Parmi les structures suivantes, laquelle accueille les OEV pour leur apprentissage en vue d'une insertion socioprofessionnelle ?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Les Instituts de Formation et d'Éducation Féminine (IFEF)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Les tribunaux pour enfants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Les centres de transfusion sanguine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Les commissariats de police</w:t>
      </w:r>
    </w:p>
    <w:p>
      <w:pPr>
        <w:pStyle w:val="ListParagraph"/>
        <w:numPr>
          <w:ilvl w:val="0"/>
          <w:numId w:val="17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sensibilisation des milieux de formation (enseignants, éducateurs, conseillers) vise principalement à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Augmenter les frais de scolarité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Éviter la discrimination et la stigmatisation des OEV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Réduire le nombre d'inscriptions des OEV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Remplacer les visites à domicile</w:t>
      </w:r>
    </w:p>
    <w:p>
      <w:pPr>
        <w:pStyle w:val="ListParagraph"/>
        <w:numPr>
          <w:ilvl w:val="0"/>
          <w:numId w:val="17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mobilisation de la communauté pour le soutien à l'éducation des OEV peut notamment passer par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création d'AGR (activités génératrices de revenus) pour collecter des fonds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L'exclusion des chefs de village de toute réflexion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suppression des visites à domicile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L'arrêt de toute collaboration avec les leaders religieux</w:t>
      </w:r>
    </w:p>
    <w:p>
      <w:pPr>
        <w:pStyle w:val="ListParagraph"/>
        <w:numPr>
          <w:ilvl w:val="0"/>
          <w:numId w:val="17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soutien à l'éducation et à la mise en apprentissage des OEV s'inscrit dans le domaine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Exclusivement médical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 l'éducation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Exclusivement judiciaire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Exclusivement économique</w:t>
      </w:r>
    </w:p>
    <w:p>
      <w:pPr>
        <w:pStyle w:val="Heading1"/>
        <w:pageBreakBefore/>
      </w:pPr>
      <w:r>
        <w:t xml:space="preserve">Chapitre 9 — OEV : Soutien pour le renforcement économique</w:t>
      </w:r>
    </w:p>
    <w:p>
      <w:pPr>
        <w:pStyle w:val="Heading2"/>
      </w:pPr>
      <w:r>
        <w:t xml:space="preserve">I. QCD — Questions à choix direct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A pour vrai et B pour faux.</w:t>
      </w:r>
    </w:p>
    <w:p>
      <w:pPr>
        <w:pStyle w:val="ListParagraph"/>
        <w:numPr>
          <w:ilvl w:val="0"/>
          <w:numId w:val="18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renforcement économique consiste à apporter un appui technique, matériel et financier aux familles d'OEV pour leur autonomie financière.</w:t>
      </w:r>
    </w:p>
    <w:p>
      <w:pPr>
        <w:pStyle w:val="ListParagraph"/>
        <w:numPr>
          <w:ilvl w:val="0"/>
          <w:numId w:val="18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L'index de l'évaluation du ménage (IEM) est un outil permettant d'évaluer les besoins réels d'une famille.</w:t>
      </w:r>
    </w:p>
    <w:p>
      <w:pPr>
        <w:pStyle w:val="ListParagraph"/>
        <w:numPr>
          <w:ilvl w:val="0"/>
          <w:numId w:val="18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Les AVEC (Associations Villageoises d'Épargne et de Crédit) n'ont aucun lien avec le soutien économique des familles d'OEV.</w:t>
      </w:r>
    </w:p>
    <w:p>
      <w:pPr>
        <w:pStyle w:val="ListParagraph"/>
        <w:numPr>
          <w:ilvl w:val="0"/>
          <w:numId w:val="18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placement en institution (orphelinat, village SOS) est envisagé en dernier recours, lorsqu'aucun substitut parental n'est trouvé.</w:t>
      </w:r>
    </w:p>
    <w:p>
      <w:pPr>
        <w:pStyle w:val="ListParagraph"/>
        <w:numPr>
          <w:ilvl w:val="0"/>
          <w:numId w:val="18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Face aux problèmes alimentaires, il est recommandé de référer les familles vers les centres sociaux et centres de démonstration nutritionnelle.</w:t>
      </w:r>
    </w:p>
    <w:p>
      <w:pPr>
        <w:pStyle w:val="ListParagraph"/>
        <w:numPr>
          <w:ilvl w:val="0"/>
          <w:numId w:val="18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planification de la succession n'est pas un enjeu pertinent pour les familles d'OEV en lien avec le VIH.</w:t>
      </w:r>
    </w:p>
    <w:p>
      <w:pPr>
        <w:pStyle w:val="ListParagraph"/>
        <w:numPr>
          <w:ilvl w:val="0"/>
          <w:numId w:val="18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Sensibiliser les parents au mariage civil et à la rédaction d'un testament fait partie des actions recommandées pour la planification de la succession.</w:t>
      </w:r>
    </w:p>
    <w:p>
      <w:pPr>
        <w:pStyle w:val="ListParagraph"/>
        <w:numPr>
          <w:ilvl w:val="0"/>
          <w:numId w:val="18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visite à domicile (VAD) débute directement par la vérification des données sans étape de préparation préalable.</w:t>
      </w:r>
    </w:p>
    <w:p>
      <w:pPr>
        <w:pStyle w:val="ListParagraph"/>
        <w:numPr>
          <w:ilvl w:val="0"/>
          <w:numId w:val="18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Lors d'une visite à domicile, l'intervenant social doit rassurer le système bénéficiaire du caractère confidentiel de l'entretien.</w:t>
      </w:r>
    </w:p>
    <w:p>
      <w:pPr>
        <w:pStyle w:val="ListParagraph"/>
        <w:numPr>
          <w:ilvl w:val="0"/>
          <w:numId w:val="18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vérification des données lors d'une VAD porte notamment sur l'état civil, la situation matrimoniale et le revenu de la famille.</w:t>
      </w:r>
    </w:p>
    <w:p>
      <w:pPr>
        <w:pStyle w:val="ListParagraph"/>
        <w:numPr>
          <w:ilvl w:val="0"/>
          <w:numId w:val="18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L'enquête sociale permet à l'intervenant social de recueillir des informations pour donner une réponse appropriée au problème à résoudre.</w:t>
      </w:r>
    </w:p>
    <w:p>
      <w:pPr>
        <w:pStyle w:val="ListParagraph"/>
        <w:numPr>
          <w:ilvl w:val="0"/>
          <w:numId w:val="18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rapport d'enquête sociale ne comporte ni diagnostic social ni conclusion.</w:t>
      </w:r>
    </w:p>
    <w:p>
      <w:pPr>
        <w:pStyle w:val="ListParagraph"/>
        <w:numPr>
          <w:ilvl w:val="0"/>
          <w:numId w:val="18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renforcement économique s'inscrit dans le domaine dit « Domaine Stabilité ».</w:t>
      </w:r>
    </w:p>
    <w:p>
      <w:pPr>
        <w:pStyle w:val="ListParagraph"/>
        <w:numPr>
          <w:ilvl w:val="0"/>
          <w:numId w:val="18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Les activités génératrices de revenus (AGR) ne font pas partie des stratégies de renforcement économique proposées aux familles d'OEV.</w:t>
      </w:r>
    </w:p>
    <w:p>
      <w:pPr>
        <w:pStyle w:val="ListParagraph"/>
        <w:numPr>
          <w:ilvl w:val="0"/>
          <w:numId w:val="18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retrait de l'intervenant social à la fin d'une VAD peut inclure la programmation d'un autre rendez-vous si nécessaire.</w:t>
      </w:r>
    </w:p>
    <w:p>
      <w:pPr>
        <w:pStyle w:val="Heading2"/>
        <w:spacing w:before="260"/>
      </w:pPr>
      <w:r>
        <w:t xml:space="preserve">II. QCM — Questions à choix multiples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Veuillez cocher la ou les réponse(s) juste(s).</w:t>
      </w:r>
    </w:p>
    <w:p>
      <w:pPr>
        <w:pStyle w:val="ListParagraph"/>
        <w:numPr>
          <w:ilvl w:val="0"/>
          <w:numId w:val="19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renforcement économique des familles d'OEV a pour but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 les rendre dépendantes de l'aide extérieure durablement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 les rendre autonomes financièrement pour subvenir aux besoins de leurs enfants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 remplacer intégralement leurs revenus par des dons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 limiter leur accès aux structures de soins</w:t>
      </w:r>
    </w:p>
    <w:p>
      <w:pPr>
        <w:pStyle w:val="ListParagraph"/>
        <w:numPr>
          <w:ilvl w:val="0"/>
          <w:numId w:val="19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L'outil permettant d'évaluer les besoins réels d'un ménage est appelé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PN-OEV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L'index de l'évaluation du ménage (IEM)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carnet de vaccination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fiche d'éligibilité PrEP</w:t>
      </w:r>
    </w:p>
    <w:p>
      <w:pPr>
        <w:pStyle w:val="ListParagraph"/>
        <w:numPr>
          <w:ilvl w:val="0"/>
          <w:numId w:val="19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Face à des problèmes de logement d'une famille d'OEV, le placement en institution (orphelinat, village SOS) est envisagé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Comme première option systématique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 dernier recours, si aucun substitut parental n'est trouvé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Uniquement pour les enfants de plus de 15 ans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Jamais, quelle que soit la situation</w:t>
      </w:r>
    </w:p>
    <w:p>
      <w:pPr>
        <w:pStyle w:val="ListParagraph"/>
        <w:numPr>
          <w:ilvl w:val="0"/>
          <w:numId w:val="19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Face aux problèmes de nutrition, il est recommandé notamment de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Ignorer la situation si elle n'est pas urgente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Identifier des activités primaires de subsistance et référer vers les centres de démonstration nutritionnelle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Retirer l'enfant de sa famille systématiquement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Attendre l'intervention exclusive de l'État</w:t>
      </w:r>
    </w:p>
    <w:p>
      <w:pPr>
        <w:pStyle w:val="ListParagraph"/>
        <w:numPr>
          <w:ilvl w:val="0"/>
          <w:numId w:val="19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Concernant la planification de la succession pour les familles d'OEV, il est recommandé de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Décourager le mariage civil des parents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Encourager le mariage civil et la rédaction d'un testament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Ne jamais aborder ce sujet avec les familles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Laisser la communauté gérer seule les biens sans sensibilisation</w:t>
      </w:r>
    </w:p>
    <w:p>
      <w:pPr>
        <w:pStyle w:val="ListParagraph"/>
        <w:numPr>
          <w:ilvl w:val="0"/>
          <w:numId w:val="19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première étape d'une visite à domicile (VAD) est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vérification des données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retrait de l'intervenant social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préparation (disponibilité, connaissance du dossier, prise de rendez-vous)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rédaction du rapport final</w:t>
      </w:r>
    </w:p>
    <w:p>
      <w:pPr>
        <w:pStyle w:val="ListParagraph"/>
        <w:numPr>
          <w:ilvl w:val="0"/>
          <w:numId w:val="19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Lors de la conduite d'une visite à domicile, l'intervenant social doit notamment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S'asseoir immédiatement sans attendre d'y être invité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Rassurer la famille sur la confidentialité de l'entretien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Éviter tout contact visuel avec la famille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Limiter l'entretien à moins d'une minute</w:t>
      </w:r>
    </w:p>
    <w:p>
      <w:pPr>
        <w:pStyle w:val="ListParagraph"/>
        <w:numPr>
          <w:ilvl w:val="0"/>
          <w:numId w:val="19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Parmi les éléments suivants, lequel est vérifié lors de l'étape de vérification des données d'une VAD ?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revenu de la famille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carnet scolaire de l'enfant uniquement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groupe sanguin des parents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couleur du logement</w:t>
      </w:r>
    </w:p>
    <w:p>
      <w:pPr>
        <w:pStyle w:val="ListParagraph"/>
        <w:numPr>
          <w:ilvl w:val="0"/>
          <w:numId w:val="19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rapport d'enquête sociale comprend notamment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L'identification, la composition familiale, la situation économique et le diagnostic social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Uniquement la situation économique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Uniquement le diagnostic médical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Uniquement le nom de l'intervenant social</w:t>
      </w:r>
    </w:p>
    <w:p>
      <w:pPr>
        <w:pStyle w:val="ListParagraph"/>
        <w:numPr>
          <w:ilvl w:val="0"/>
          <w:numId w:val="19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Selon le document, le renforcement économique s'inscrit dans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Domaine Stabilité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Domaine Sanitaire exclusivement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Domaine Éducatif exclusivement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Domaine Judiciaire exclusivement</w:t>
      </w:r>
    </w:p>
    <w:p>
      <w:pPr>
        <w:pStyle w:val="Heading1"/>
        <w:pageBreakBefore/>
      </w:pPr>
      <w:r>
        <w:t xml:space="preserve">Chapitre 10 — OEV : Soutien à la protection</w:t>
      </w:r>
    </w:p>
    <w:p>
      <w:pPr>
        <w:pStyle w:val="Heading2"/>
      </w:pPr>
      <w:r>
        <w:t xml:space="preserve">I. QCD — Questions à choix direct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A pour vrai et B pour faux.</w:t>
      </w:r>
    </w:p>
    <w:p>
      <w:pPr>
        <w:pStyle w:val="ListParagraph"/>
        <w:numPr>
          <w:ilvl w:val="0"/>
          <w:numId w:val="20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Convention relative aux Droits de l'Enfant (CDE) a été adoptée le 20 novembre 1989.</w:t>
      </w:r>
    </w:p>
    <w:p>
      <w:pPr>
        <w:pStyle w:val="ListParagraph"/>
        <w:numPr>
          <w:ilvl w:val="0"/>
          <w:numId w:val="20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Selon la CDE, la responsabilité première de la protection de l'enfant incombe exclusivement à l'État.</w:t>
      </w:r>
    </w:p>
    <w:p>
      <w:pPr>
        <w:pStyle w:val="ListParagraph"/>
        <w:numPr>
          <w:ilvl w:val="0"/>
          <w:numId w:val="20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non-discrimination, l'intérêt supérieur de l'enfant, le droit à la vie/survie/développement et le respect de l'opinion de l'enfant sont les quatre principes fondamentaux de la CDE.</w:t>
      </w:r>
    </w:p>
    <w:p>
      <w:pPr>
        <w:pStyle w:val="ListParagraph"/>
        <w:numPr>
          <w:ilvl w:val="0"/>
          <w:numId w:val="20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respect de l'opinion de l'enfant place celui-ci au-dessus de l'autorité parentale.</w:t>
      </w:r>
    </w:p>
    <w:p>
      <w:pPr>
        <w:pStyle w:val="ListParagraph"/>
        <w:numPr>
          <w:ilvl w:val="0"/>
          <w:numId w:val="20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Les OEV en lien avec le VIH et le sida ont des droits différents des autres enfants du fait de leur statut.</w:t>
      </w:r>
    </w:p>
    <w:p>
      <w:pPr>
        <w:pStyle w:val="ListParagraph"/>
        <w:numPr>
          <w:ilvl w:val="0"/>
          <w:numId w:val="20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droit à une identité et à une nationalité fait partie des droits fondamentaux reconnus à tout enfant.</w:t>
      </w:r>
    </w:p>
    <w:p>
      <w:pPr>
        <w:pStyle w:val="ListParagraph"/>
        <w:numPr>
          <w:ilvl w:val="0"/>
          <w:numId w:val="20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non-déclaration des naissances n'a aucune conséquence sur l'exercice des droits de l'enfant.</w:t>
      </w:r>
    </w:p>
    <w:p>
      <w:pPr>
        <w:pStyle w:val="ListParagraph"/>
        <w:numPr>
          <w:ilvl w:val="0"/>
          <w:numId w:val="20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stigmatisation liée au VIH est une réaction négative, réelle ou perçue, envers une personne ou un groupe.</w:t>
      </w:r>
    </w:p>
    <w:p>
      <w:pPr>
        <w:pStyle w:val="ListParagraph"/>
        <w:numPr>
          <w:ilvl w:val="0"/>
          <w:numId w:val="20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L'accueil et l'enregistrement d'un OEV par l'intervenant social comprend l'identification de l'enfant et de ses parents ou substituts parentaux.</w:t>
      </w:r>
    </w:p>
    <w:p>
      <w:pPr>
        <w:pStyle w:val="ListParagraph"/>
        <w:numPr>
          <w:ilvl w:val="0"/>
          <w:numId w:val="20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référence active intervient lorsque l'intervenant social est en mesure de résoudre lui-même tous les problèmes juridiques de l'OEV.</w:t>
      </w:r>
    </w:p>
    <w:p>
      <w:pPr>
        <w:pStyle w:val="ListParagraph"/>
        <w:numPr>
          <w:ilvl w:val="0"/>
          <w:numId w:val="20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suivi actif consiste à rester en relation avec la structure de référence pour s'informer de la suite réservée au problème.</w:t>
      </w:r>
    </w:p>
    <w:p>
      <w:pPr>
        <w:pStyle w:val="ListParagraph"/>
        <w:numPr>
          <w:ilvl w:val="0"/>
          <w:numId w:val="20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déclaration de naissance doit être effectuée à la mairie ou à la sous-préfecture dans un délai de trois mois après la naissance.</w:t>
      </w:r>
    </w:p>
    <w:p>
      <w:pPr>
        <w:pStyle w:val="ListParagraph"/>
        <w:numPr>
          <w:ilvl w:val="0"/>
          <w:numId w:val="20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Passé le délai légal de déclaration de naissance, la procédure de jugement supplétif permet d'établir l'acte de naissance de l'enfant.</w:t>
      </w:r>
    </w:p>
    <w:p>
      <w:pPr>
        <w:pStyle w:val="ListParagraph"/>
        <w:numPr>
          <w:ilvl w:val="0"/>
          <w:numId w:val="20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testament est un acte juridique par lequel une personne exprime ses dernières volontés concernant la répartition de ses biens après son décès.</w:t>
      </w:r>
    </w:p>
    <w:p>
      <w:pPr>
        <w:pStyle w:val="ListParagraph"/>
        <w:numPr>
          <w:ilvl w:val="0"/>
          <w:numId w:val="20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Selon le CDC, un ménage est considéré en sécurité uniquement s'il reçoit un soutien économique, indépendamment de tout autre type d'intervention.</w:t>
      </w:r>
    </w:p>
    <w:p>
      <w:pPr>
        <w:pStyle w:val="Heading2"/>
        <w:spacing w:before="260"/>
      </w:pPr>
      <w:r>
        <w:t xml:space="preserve">II. QCM — Questions à choix multiples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Veuillez cocher la ou les réponse(s) juste(s).</w:t>
      </w:r>
    </w:p>
    <w:p>
      <w:pPr>
        <w:pStyle w:val="ListParagraph"/>
        <w:numPr>
          <w:ilvl w:val="0"/>
          <w:numId w:val="21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Convention relative aux Droits de l'Enfant (CDE) a été adoptée en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1979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1989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1995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2000</w:t>
      </w:r>
    </w:p>
    <w:p>
      <w:pPr>
        <w:pStyle w:val="ListParagraph"/>
        <w:numPr>
          <w:ilvl w:val="0"/>
          <w:numId w:val="21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Parmi les principes suivants, lequel ne fait PAS partie des quatre principes fondamentaux de la CDE ?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non-discrimination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L'intérêt supérieur de l'enfant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droit à la propriété privée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respect de l'opinion de l'enfant</w:t>
      </w:r>
    </w:p>
    <w:p>
      <w:pPr>
        <w:pStyle w:val="ListParagraph"/>
        <w:numPr>
          <w:ilvl w:val="0"/>
          <w:numId w:val="21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Selon la CDE, la responsabilité première de la protection de l'enfant incombe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À la famille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Uniquement à l'État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Uniquement à l'école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Uniquement aux organisations internationales</w:t>
      </w:r>
    </w:p>
    <w:p>
      <w:pPr>
        <w:pStyle w:val="ListParagraph"/>
        <w:numPr>
          <w:ilvl w:val="0"/>
          <w:numId w:val="21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Concernant les droits des OEV en lien avec le VIH et le sida, le document précise qu'ils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Ont des droits réduits par rapport aux autres enfants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Ont les mêmes droits que tous les autres enfants, avec un besoin de soutien spécial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N'ont droit qu'à une prise en charge médicale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Perdent leurs droits civils dès le diagnostic</w:t>
      </w:r>
    </w:p>
    <w:p>
      <w:pPr>
        <w:pStyle w:val="ListParagraph"/>
        <w:numPr>
          <w:ilvl w:val="0"/>
          <w:numId w:val="21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Parmi les problèmes de protection rencontrés par les OEV figure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non-déclaration des naissances à l'état civil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 excès de reconnaissance administrative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surprotection juridique systématique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Aucun problème particulier par rapport aux autres enfants</w:t>
      </w:r>
    </w:p>
    <w:p>
      <w:pPr>
        <w:pStyle w:val="ListParagraph"/>
        <w:numPr>
          <w:ilvl w:val="0"/>
          <w:numId w:val="21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Lors de l'accueil et de l'enregistrement d'un OEV par l'intervenant social, il faut notamment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Procéder à l'identification de l'enfant et de ses parents ou substituts parentaux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Refuser d'écouter l'enfant tant qu'un juge n'est pas présent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Éviter de déterminer la nature du problème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Renvoyer systématiquement vers la police sans évaluation</w:t>
      </w:r>
    </w:p>
    <w:p>
      <w:pPr>
        <w:pStyle w:val="ListParagraph"/>
        <w:numPr>
          <w:ilvl w:val="0"/>
          <w:numId w:val="21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référence active de l'intervenant social intervient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Systématiquement, même quand il peut résoudre le problème lui-même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Lorsqu'il se trouve dans l'incapacité d'agir personnellement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Uniquement pour les problèmes médicaux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Jamais, car l'intervenant social doit tout gérer seul</w:t>
      </w:r>
    </w:p>
    <w:p>
      <w:pPr>
        <w:pStyle w:val="ListParagraph"/>
        <w:numPr>
          <w:ilvl w:val="0"/>
          <w:numId w:val="21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délai légal pour déclarer une naissance à la mairie ou à la sous-préfecture est de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15 jours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 mois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 mois (90 jours)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 an</w:t>
      </w:r>
    </w:p>
    <w:p>
      <w:pPr>
        <w:pStyle w:val="ListParagraph"/>
        <w:numPr>
          <w:ilvl w:val="0"/>
          <w:numId w:val="21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testament est défini comme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 acte juridique unilatéral exprimant les dernières volontés d'une personne sur ses biens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 contrat entre deux familles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 document médical uniquement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déclaration de naissance tardive</w:t>
      </w:r>
    </w:p>
    <w:p>
      <w:pPr>
        <w:pStyle w:val="ListParagraph"/>
        <w:numPr>
          <w:ilvl w:val="0"/>
          <w:numId w:val="21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Selon le CDC, un ménage est considéré en sécurité lorsqu'il reçoit des interventions en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Protection, abri et soins, santé et soutien psychosocial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Uniquement en soutien financier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Uniquement en éducation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Uniquement en soins médicaux</w:t>
      </w:r>
    </w:p>
    <w:p>
      <w:pPr>
        <w:pStyle w:val="Heading1"/>
        <w:pageBreakBefore/>
      </w:pPr>
      <w:r>
        <w:t xml:space="preserve">Chapitre 11 — OEV : Soutien psychosocial</w:t>
      </w:r>
    </w:p>
    <w:p>
      <w:pPr>
        <w:pStyle w:val="Heading2"/>
      </w:pPr>
      <w:r>
        <w:t xml:space="preserve">I. QCD — Questions à choix direct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A pour vrai et B pour faux.</w:t>
      </w:r>
    </w:p>
    <w:p>
      <w:pPr>
        <w:pStyle w:val="ListParagraph"/>
        <w:numPr>
          <w:ilvl w:val="0"/>
          <w:numId w:val="22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soutien psychosocial repose sur l'écoute, la parole et l'observation pour aider une personne en difficulté.</w:t>
      </w:r>
    </w:p>
    <w:p>
      <w:pPr>
        <w:pStyle w:val="ListParagraph"/>
        <w:numPr>
          <w:ilvl w:val="0"/>
          <w:numId w:val="22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soutien social se limite exclusivement à l'aspect financier, sans lien avec l'alimentation ou la santé.</w:t>
      </w:r>
    </w:p>
    <w:p>
      <w:pPr>
        <w:pStyle w:val="ListParagraph"/>
        <w:numPr>
          <w:ilvl w:val="0"/>
          <w:numId w:val="22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Selon Erikson, chaque stade du développement psychosocial de l'enfant est marqué par une crise à résoudre.</w:t>
      </w:r>
    </w:p>
    <w:p>
      <w:pPr>
        <w:pStyle w:val="ListParagraph"/>
        <w:numPr>
          <w:ilvl w:val="0"/>
          <w:numId w:val="22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développement de l'enfant, selon le document, s'étend de la naissance jusqu'à l'âge de 18 ans.</w:t>
      </w:r>
    </w:p>
    <w:p>
      <w:pPr>
        <w:pStyle w:val="ListParagraph"/>
        <w:numPr>
          <w:ilvl w:val="0"/>
          <w:numId w:val="22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 groupe de soutien réunit des personnes ayant des problèmes communs, animées par un facilitateur.</w:t>
      </w:r>
    </w:p>
    <w:p>
      <w:pPr>
        <w:pStyle w:val="ListParagraph"/>
        <w:numPr>
          <w:ilvl w:val="0"/>
          <w:numId w:val="22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Burn Out ou SEPS est un état de perturbation émotionnelle affectant l'efficacité professionnelle du soignant.</w:t>
      </w:r>
    </w:p>
    <w:p>
      <w:pPr>
        <w:pStyle w:val="ListParagraph"/>
        <w:numPr>
          <w:ilvl w:val="0"/>
          <w:numId w:val="22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jeune âge du soignant et le volontariat sont des facteurs protecteurs contre le Burn Out.</w:t>
      </w:r>
    </w:p>
    <w:p>
      <w:pPr>
        <w:pStyle w:val="ListParagraph"/>
        <w:numPr>
          <w:ilvl w:val="0"/>
          <w:numId w:val="22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Burn Out ne présente que des symptômes physiques, sans dimension psychique ni comportementale.</w:t>
      </w:r>
    </w:p>
    <w:p>
      <w:pPr>
        <w:pStyle w:val="ListParagraph"/>
        <w:numPr>
          <w:ilvl w:val="0"/>
          <w:numId w:val="22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L'irritabilité et les troubles de l'attention peuvent faire partie des symptômes psychiques du Burn Out.</w:t>
      </w:r>
    </w:p>
    <w:p>
      <w:pPr>
        <w:pStyle w:val="ListParagraph"/>
        <w:numPr>
          <w:ilvl w:val="0"/>
          <w:numId w:val="22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consommation excessive d'alcool ou de tabac peut constituer une réaction défensive face au Burn Out.</w:t>
      </w:r>
    </w:p>
    <w:p>
      <w:pPr>
        <w:pStyle w:val="ListParagraph"/>
        <w:numPr>
          <w:ilvl w:val="0"/>
          <w:numId w:val="22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prévention du Burn Out ne peut se faire qu'à titre individuel, sans dimension collective ou institutionnelle.</w:t>
      </w:r>
    </w:p>
    <w:p>
      <w:pPr>
        <w:pStyle w:val="ListParagraph"/>
        <w:numPr>
          <w:ilvl w:val="0"/>
          <w:numId w:val="22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Les espaces de parole font partie des outils de prévention collective du Burn Out.</w:t>
      </w:r>
    </w:p>
    <w:p>
      <w:pPr>
        <w:pStyle w:val="ListParagraph"/>
        <w:numPr>
          <w:ilvl w:val="0"/>
          <w:numId w:val="22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référence intervient lorsque l'intervenant social ou la structure n'est pas en mesure d'offrir le service requis.</w:t>
      </w:r>
    </w:p>
    <w:p>
      <w:pPr>
        <w:pStyle w:val="ListParagraph"/>
        <w:numPr>
          <w:ilvl w:val="0"/>
          <w:numId w:val="22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contre-référence permet d'informer la structure ayant référé l'OEV du service rendu au bénéficiaire.</w:t>
      </w:r>
    </w:p>
    <w:p>
      <w:pPr>
        <w:pStyle w:val="ListParagraph"/>
        <w:numPr>
          <w:ilvl w:val="0"/>
          <w:numId w:val="22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Selon l'OMS, le soutien social des PVVIH comprend notamment la fourniture d'aliments et le soutien affectif.</w:t>
      </w:r>
    </w:p>
    <w:p>
      <w:pPr>
        <w:pStyle w:val="Heading2"/>
        <w:spacing w:before="260"/>
      </w:pPr>
      <w:r>
        <w:t xml:space="preserve">II. QCM — Questions à choix multiples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Veuillez cocher la ou les réponse(s) juste(s).</w:t>
      </w:r>
    </w:p>
    <w:p>
      <w:pPr>
        <w:pStyle w:val="ListParagraph"/>
        <w:numPr>
          <w:ilvl w:val="0"/>
          <w:numId w:val="23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soutien psychosocial se définit comme une relation d'aide basée sur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L'écoute, la parole et l'observation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Uniquement la prescription médicamenteuse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Uniquement l'assistance financière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Uniquement des tests biologiques</w:t>
      </w:r>
    </w:p>
    <w:p>
      <w:pPr>
        <w:pStyle w:val="ListParagraph"/>
        <w:numPr>
          <w:ilvl w:val="0"/>
          <w:numId w:val="23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Selon Erikson, le développement psychosocial de l'enfant se caractérise par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absence totale de crise à chaque étape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crise à résoudre à chaque stade, par un équilibre entre forces opposées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 développement figé dès la naissance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 processus indépendant du contexte familial</w:t>
      </w:r>
    </w:p>
    <w:p>
      <w:pPr>
        <w:pStyle w:val="ListParagraph"/>
        <w:numPr>
          <w:ilvl w:val="0"/>
          <w:numId w:val="23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 groupe de soutien a notamment pour objectif de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Isoler chaque membre de la communauté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Aider les membres à se soutenir mutuellement et à résoudre des problèmes communs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Remplacer le traitement médical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Éviter tout échange entre les participants</w:t>
      </w:r>
    </w:p>
    <w:p>
      <w:pPr>
        <w:pStyle w:val="ListParagraph"/>
        <w:numPr>
          <w:ilvl w:val="0"/>
          <w:numId w:val="23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Burn Out (SEPS) est décrit par l'OMS comme se caractérisant par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 sentiment de fatigue intense, de perte de contrôle et d'incapacité à aboutir à des résultats concrets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amélioration de l'efficacité professionnelle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absence totale de stress au travail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 phénomène qui ne touche que les patients, jamais les soignants</w:t>
      </w:r>
    </w:p>
    <w:p>
      <w:pPr>
        <w:pStyle w:val="ListParagraph"/>
        <w:numPr>
          <w:ilvl w:val="0"/>
          <w:numId w:val="23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Parmi les facteurs favorisant le Burn Out liés au prestataire figurent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grande expérience professionnelle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jeune âge du soignant et un manque d'endurance psychique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formation approfondie et une bonne qualification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L'absence de toute pathologie personnelle</w:t>
      </w:r>
    </w:p>
    <w:p>
      <w:pPr>
        <w:pStyle w:val="ListParagraph"/>
        <w:numPr>
          <w:ilvl w:val="0"/>
          <w:numId w:val="23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Parmi les symptômes suivants du Burn Out, lequel appartient au domaine somatique ?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baisse de l'estime de soi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fatigue, les céphalées et les troubles du sommeil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consommation de drogues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désir de mutation</w:t>
      </w:r>
    </w:p>
    <w:p>
      <w:pPr>
        <w:pStyle w:val="ListParagraph"/>
        <w:numPr>
          <w:ilvl w:val="0"/>
          <w:numId w:val="23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Parmi les réactions défensives possibles face au Burn Out figurent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L'abus d'alcool, de tabac ou de nourriture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amélioration spontanée sans aucune action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augmentation systématique de la performance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indifférence totale sans aucun symptôme</w:t>
      </w:r>
    </w:p>
    <w:p>
      <w:pPr>
        <w:pStyle w:val="ListParagraph"/>
        <w:numPr>
          <w:ilvl w:val="0"/>
          <w:numId w:val="23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prévention collective ou institutionnelle du Burn Out repose notamment sur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L'isolement complet du soignant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création d'espaces de parole et l'organisation de formations collectives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suppression de toute formation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renvoi systématique du personnel affecté</w:t>
      </w:r>
    </w:p>
    <w:p>
      <w:pPr>
        <w:pStyle w:val="ListParagraph"/>
        <w:numPr>
          <w:ilvl w:val="0"/>
          <w:numId w:val="23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référence, dans le cadre du soutien psychosocial, intervient lorsque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L'intervenant social souhaite se décharger sans raison valable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L'intervenant social ou la structure n'est pas en mesure d'offrir le service requis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bénéficiaire refuse tout accompagnement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Il n'existe aucune autre structure disponible</w:t>
      </w:r>
    </w:p>
    <w:p>
      <w:pPr>
        <w:pStyle w:val="ListParagraph"/>
        <w:numPr>
          <w:ilvl w:val="0"/>
          <w:numId w:val="23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contre-référence a pour but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D'annuler la référence initiale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D'informer la structure ayant référé l'OEV du service rendu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 facturer les frais au bénéficiaire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 transférer définitivement le dossier sans retour d'information</w:t>
      </w:r>
    </w:p>
    <w:p>
      <w:pPr>
        <w:pStyle w:val="Heading1"/>
        <w:pageBreakBefore/>
      </w:pPr>
      <w:r>
        <w:t xml:space="preserve">Chapitre 12 — OEV : Soutien pour l'abri et les soins</w:t>
      </w:r>
    </w:p>
    <w:p>
      <w:pPr>
        <w:pStyle w:val="Heading2"/>
      </w:pPr>
      <w:r>
        <w:t xml:space="preserve">I. QCD — Questions à choix direct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A pour vrai et B pour faux.</w:t>
      </w:r>
    </w:p>
    <w:p>
      <w:pPr>
        <w:pStyle w:val="ListParagraph"/>
        <w:numPr>
          <w:ilvl w:val="0"/>
          <w:numId w:val="24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soutien pour l'abri et les soins vise à assurer un habitat sain et un environnement familial propice à l'épanouissement de l'enfant.</w:t>
      </w:r>
    </w:p>
    <w:p>
      <w:pPr>
        <w:pStyle w:val="ListParagraph"/>
        <w:numPr>
          <w:ilvl w:val="0"/>
          <w:numId w:val="24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disponibilité de moustiquaires imprégnées ne fait pas partie des éléments relatifs à l'abri.</w:t>
      </w:r>
    </w:p>
    <w:p>
      <w:pPr>
        <w:pStyle w:val="ListParagraph"/>
        <w:numPr>
          <w:ilvl w:val="0"/>
          <w:numId w:val="24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placement en institution est recommandé comme première solution avant toute autre option d'hébergement.</w:t>
      </w:r>
    </w:p>
    <w:p>
      <w:pPr>
        <w:pStyle w:val="ListParagraph"/>
        <w:numPr>
          <w:ilvl w:val="0"/>
          <w:numId w:val="24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formation des parents ou substituts parentaux à l'éducation parentale fait partie du contenu du soutien aux soins.</w:t>
      </w:r>
    </w:p>
    <w:p>
      <w:pPr>
        <w:pStyle w:val="ListParagraph"/>
        <w:numPr>
          <w:ilvl w:val="0"/>
          <w:numId w:val="24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L'éducation parentale comprend la compréhension du rôle de parent et l'apprentissage des compétences parentales.</w:t>
      </w:r>
    </w:p>
    <w:p>
      <w:pPr>
        <w:pStyle w:val="ListParagraph"/>
        <w:numPr>
          <w:ilvl w:val="0"/>
          <w:numId w:val="24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famille nucléaire est généralement la première responsable de l'enfant.</w:t>
      </w:r>
    </w:p>
    <w:p>
      <w:pPr>
        <w:pStyle w:val="ListParagraph"/>
        <w:numPr>
          <w:ilvl w:val="0"/>
          <w:numId w:val="24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Lorsque la famille nucléaire est disloquée, la famille élargie peut prendre le relais pour l'enfant.</w:t>
      </w:r>
    </w:p>
    <w:p>
      <w:pPr>
        <w:pStyle w:val="ListParagraph"/>
        <w:numPr>
          <w:ilvl w:val="0"/>
          <w:numId w:val="24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Centre Social constitue la structure d'aide la plus proche de la population au niveau de la protection de l'enfant.</w:t>
      </w:r>
    </w:p>
    <w:p>
      <w:pPr>
        <w:pStyle w:val="ListParagraph"/>
        <w:numPr>
          <w:ilvl w:val="0"/>
          <w:numId w:val="24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Politique Nationale recommande que le placement en orphelinat soit une solution permanente et définitive.</w:t>
      </w:r>
    </w:p>
    <w:p>
      <w:pPr>
        <w:pStyle w:val="ListParagraph"/>
        <w:numPr>
          <w:ilvl w:val="0"/>
          <w:numId w:val="24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Les collectivités locales (conseils régionaux, mairies) disposent généralement d'un fonds social.</w:t>
      </w:r>
    </w:p>
    <w:p>
      <w:pPr>
        <w:pStyle w:val="ListParagraph"/>
        <w:numPr>
          <w:ilvl w:val="0"/>
          <w:numId w:val="24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Les organisations non gouvernementales ne peuvent en aucun cas contribuer au soutien pour l'abri et les soins des OEV.</w:t>
      </w:r>
    </w:p>
    <w:p>
      <w:pPr>
        <w:pStyle w:val="ListParagraph"/>
        <w:numPr>
          <w:ilvl w:val="0"/>
          <w:numId w:val="24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Les visites à domicile (VAD) permettent de vérifier les mesures d'hygiène et d'assainissement du logement.</w:t>
      </w:r>
    </w:p>
    <w:p>
      <w:pPr>
        <w:pStyle w:val="ListParagraph"/>
        <w:numPr>
          <w:ilvl w:val="0"/>
          <w:numId w:val="24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suivi vaccinal des enfants ne fait pas partie des stratégies d'intervention relatives aux soins.</w:t>
      </w:r>
    </w:p>
    <w:p>
      <w:pPr>
        <w:pStyle w:val="ListParagraph"/>
        <w:numPr>
          <w:ilvl w:val="0"/>
          <w:numId w:val="24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L'intervenant social doit évaluer le système de parrainage mis en place pour l'assistance à l'hébergement.</w:t>
      </w:r>
    </w:p>
    <w:p>
      <w:pPr>
        <w:pStyle w:val="ListParagraph"/>
        <w:numPr>
          <w:ilvl w:val="0"/>
          <w:numId w:val="24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développement des stratégies d'intervention pour l'abri et les soins ne nécessite l'implication d'aucun acteur communautaire.</w:t>
      </w:r>
    </w:p>
    <w:p>
      <w:pPr>
        <w:pStyle w:val="Heading2"/>
        <w:spacing w:before="260"/>
      </w:pPr>
      <w:r>
        <w:t xml:space="preserve">II. QCM — Questions à choix multiples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Veuillez cocher la ou les réponse(s) juste(s).</w:t>
      </w:r>
    </w:p>
    <w:p>
      <w:pPr>
        <w:pStyle w:val="ListParagraph"/>
        <w:numPr>
          <w:ilvl w:val="0"/>
          <w:numId w:val="25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soutien pour l'abri et les soins consiste à assurer, entre autres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 habitat sain protégeant contre les dangers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prise en charge médicale exclusive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 accès prioritaire à l'université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exemption totale de scolarité</w:t>
      </w:r>
    </w:p>
    <w:p>
      <w:pPr>
        <w:pStyle w:val="ListParagraph"/>
        <w:numPr>
          <w:ilvl w:val="0"/>
          <w:numId w:val="25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Parmi les éléments suivants relatifs à l'abri, lequel est mentionné dans le document ?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présence de moustiquaires imprégnées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présence d'une piscine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 accès à internet haut débit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 jardin de plus de 500 m²</w:t>
      </w:r>
    </w:p>
    <w:p>
      <w:pPr>
        <w:pStyle w:val="ListParagraph"/>
        <w:numPr>
          <w:ilvl w:val="0"/>
          <w:numId w:val="25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placement temporaire en institution (orphelinat, pouponnière) est envisagé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Comme solution de premier choix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Comme dernier recours, à titre temporaire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Uniquement pour les enfants de plus de 15 ans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 façon permanente et définitive</w:t>
      </w:r>
    </w:p>
    <w:p>
      <w:pPr>
        <w:pStyle w:val="ListParagraph"/>
        <w:numPr>
          <w:ilvl w:val="0"/>
          <w:numId w:val="25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formation en éducation parentale proposée aux parents/substituts parentaux comprend notamment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compréhension du rôle de parent et l'apprentissage des compétences parentales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Exclusivement des cours de cuisine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Exclusivement des notions de droit international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 apprentissage de langues étrangères</w:t>
      </w:r>
    </w:p>
    <w:p>
      <w:pPr>
        <w:pStyle w:val="ListParagraph"/>
        <w:numPr>
          <w:ilvl w:val="0"/>
          <w:numId w:val="25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 cas de dislocation de la famille nucléaire, le relais est généralement pris par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famille élargie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L'État exclusivement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entreprise privée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Aucune structure, l'enfant restant seul</w:t>
      </w:r>
    </w:p>
    <w:p>
      <w:pPr>
        <w:pStyle w:val="ListParagraph"/>
        <w:numPr>
          <w:ilvl w:val="0"/>
          <w:numId w:val="25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structure d'aide la plus proche de la population, au niveau des ministères en charge de la protection de l'enfant, est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Centre Social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tribunal de commerce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chambre de commerce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direction des impôts</w:t>
      </w:r>
    </w:p>
    <w:p>
      <w:pPr>
        <w:pStyle w:val="ListParagraph"/>
        <w:numPr>
          <w:ilvl w:val="0"/>
          <w:numId w:val="25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Selon la Politique Nationale, le placement d'un enfant en orphelinat ou en pouponnière doit être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décision définitive et irréversible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décision temporaire, en continuant la recherche d'une solution familiale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Interdit dans tous les cas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Décidé uniquement par l'enfant lui-même</w:t>
      </w:r>
    </w:p>
    <w:p>
      <w:pPr>
        <w:pStyle w:val="ListParagraph"/>
        <w:numPr>
          <w:ilvl w:val="0"/>
          <w:numId w:val="25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Parmi les structures suivantes, laquelle dispose généralement d'un fonds social pouvant soutenir les OEV ?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Les collectivités locales (conseils régionaux, mairies)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Les banques commerciales uniquement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Les compagnies d'assurance uniquement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Les casinos</w:t>
      </w:r>
    </w:p>
    <w:p>
      <w:pPr>
        <w:pStyle w:val="ListParagraph"/>
        <w:numPr>
          <w:ilvl w:val="0"/>
          <w:numId w:val="25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Les visites à domicile (VAD), dans le cadre du soutien à l'abri et aux soins, permettent notamment de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Vérifier les mesures d'hygiène et d'assainissement du logement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Remplacer entièrement le rôle des parents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Éviter tout contact avec la famille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 substituer au médecin traitant</w:t>
      </w:r>
    </w:p>
    <w:p>
      <w:pPr>
        <w:pStyle w:val="ListParagraph"/>
        <w:numPr>
          <w:ilvl w:val="0"/>
          <w:numId w:val="25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développement des stratégies d'intervention pour l'abri et les soins nécessite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L'appui et l'implication de toute la communauté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L'action isolée de l'intervenant social uniquement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L'intervention exclusive de l'État central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Aucune coordination particulière</w:t>
      </w:r>
    </w:p>
    <w:p>
      <w:pPr>
        <w:pStyle w:val="Heading1"/>
        <w:pageBreakBefore/>
      </w:pPr>
      <w:r>
        <w:t xml:space="preserve">Chapitre 13 — OEV : Interventions de prévention pour enfants, adolescents et jeunes adultes vulnérables au VIH</w:t>
      </w:r>
    </w:p>
    <w:p>
      <w:pPr>
        <w:pStyle w:val="Heading2"/>
      </w:pPr>
      <w:r>
        <w:t xml:space="preserve">I. QCD — Questions à choix direct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A pour vrai et B pour faux.</w:t>
      </w:r>
    </w:p>
    <w:p>
      <w:pPr>
        <w:pStyle w:val="ListParagraph"/>
        <w:numPr>
          <w:ilvl w:val="0"/>
          <w:numId w:val="26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Selon l'OMS, la prévention vise uniquement à empêcher l'apparition de la maladie, sans jamais agir sur son évolution une fois établie.</w:t>
      </w:r>
    </w:p>
    <w:p>
      <w:pPr>
        <w:pStyle w:val="ListParagraph"/>
        <w:numPr>
          <w:ilvl w:val="0"/>
          <w:numId w:val="26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Il existe trois modes de prévention : primaire, secondaire et tertiaire.</w:t>
      </w:r>
    </w:p>
    <w:p>
      <w:pPr>
        <w:pStyle w:val="ListParagraph"/>
        <w:numPr>
          <w:ilvl w:val="0"/>
          <w:numId w:val="26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prévention primaire se fait avant l'apparition de la maladie.</w:t>
      </w:r>
    </w:p>
    <w:p>
      <w:pPr>
        <w:pStyle w:val="ListParagraph"/>
        <w:numPr>
          <w:ilvl w:val="0"/>
          <w:numId w:val="26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prévention secondaire vise à réduire la prévalence d'une maladie dans une population.</w:t>
      </w:r>
    </w:p>
    <w:p>
      <w:pPr>
        <w:pStyle w:val="ListParagraph"/>
        <w:numPr>
          <w:ilvl w:val="0"/>
          <w:numId w:val="26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prévention tertiaire intervient avant l'apparition de la maladie, comme la prévention primaire.</w:t>
      </w:r>
    </w:p>
    <w:p>
      <w:pPr>
        <w:pStyle w:val="ListParagraph"/>
        <w:numPr>
          <w:ilvl w:val="0"/>
          <w:numId w:val="26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sensibilisation de masse permet un échange direct et personnalisé avec un petit groupe de participants.</w:t>
      </w:r>
    </w:p>
    <w:p>
      <w:pPr>
        <w:pStyle w:val="ListParagraph"/>
        <w:numPr>
          <w:ilvl w:val="0"/>
          <w:numId w:val="26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sensibilisation de proximité est aussi appelée focus group.</w:t>
      </w:r>
    </w:p>
    <w:p>
      <w:pPr>
        <w:pStyle w:val="ListParagraph"/>
        <w:numPr>
          <w:ilvl w:val="0"/>
          <w:numId w:val="26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sensibilisation de masse présente un risque élevé de déformation de l'information.</w:t>
      </w:r>
    </w:p>
    <w:p>
      <w:pPr>
        <w:pStyle w:val="ListParagraph"/>
        <w:numPr>
          <w:ilvl w:val="0"/>
          <w:numId w:val="26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plaidoyer consiste en un exposé argumenté visant à convaincre des décideurs pour obtenir un changement.</w:t>
      </w:r>
    </w:p>
    <w:p>
      <w:pPr>
        <w:pStyle w:val="ListParagraph"/>
        <w:numPr>
          <w:ilvl w:val="0"/>
          <w:numId w:val="26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communication, dans le cadre du changement de comportement, ne concerne que le savoir théorique, sans dimension de savoir-être ou savoir-faire.</w:t>
      </w:r>
    </w:p>
    <w:p>
      <w:pPr>
        <w:pStyle w:val="ListParagraph"/>
        <w:numPr>
          <w:ilvl w:val="0"/>
          <w:numId w:val="26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L'adolescence est décrite comme une période clé pour l'ancrage des comportements de santé.</w:t>
      </w:r>
    </w:p>
    <w:p>
      <w:pPr>
        <w:pStyle w:val="ListParagraph"/>
        <w:numPr>
          <w:ilvl w:val="0"/>
          <w:numId w:val="26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Les supports audiovisuels (films) ne peuvent en aucun cas être utilisés dans les interventions de prévention auprès des jeunes.</w:t>
      </w:r>
    </w:p>
    <w:p>
      <w:pPr>
        <w:pStyle w:val="ListParagraph"/>
        <w:numPr>
          <w:ilvl w:val="0"/>
          <w:numId w:val="26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distribution de préservatifs en fin d'intervention est mentionnée comme appréciée des jeunes.</w:t>
      </w:r>
    </w:p>
    <w:p>
      <w:pPr>
        <w:pStyle w:val="ListParagraph"/>
        <w:numPr>
          <w:ilvl w:val="0"/>
          <w:numId w:val="26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manuel de référence national en soins et soutien comprend aujourd'hui dix modules.</w:t>
      </w:r>
    </w:p>
    <w:p>
      <w:pPr>
        <w:pStyle w:val="ListParagraph"/>
        <w:numPr>
          <w:ilvl w:val="0"/>
          <w:numId w:val="26"/>
        </w:numPr>
        <w:spacing w:after="160"/>
        <w:ind w:left="420" w:hanging="4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Ces dix modules sont regroupés en cinq domaines essentiels : Santé, Éducation, Stabilité, Sécurité et Prévention.</w:t>
      </w:r>
    </w:p>
    <w:p>
      <w:pPr>
        <w:pStyle w:val="Heading2"/>
        <w:spacing w:before="260"/>
      </w:pPr>
      <w:r>
        <w:t xml:space="preserve">II. QCM — Questions à choix multiples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Veuillez cocher la ou les réponse(s) juste(s).</w:t>
      </w:r>
    </w:p>
    <w:p>
      <w:pPr>
        <w:pStyle w:val="ListParagraph"/>
        <w:numPr>
          <w:ilvl w:val="0"/>
          <w:numId w:val="27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Selon l'OMS, la prévention est définie comme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L'ensemble des mesures visant à éviter ou réduire le nombre et la gravité des maladies, accidents et handicaps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traitement curatif exclusif d'une maladie déjà installée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action limitée au seul dépistage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démarche réservée aux professionnels de santé uniquement</w:t>
      </w:r>
    </w:p>
    <w:p>
      <w:pPr>
        <w:pStyle w:val="ListParagraph"/>
        <w:numPr>
          <w:ilvl w:val="0"/>
          <w:numId w:val="27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prévention qui se déroule avant l'apparition de la maladie, visant à réduire son incidence, est appelée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Prévention primaire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Prévention secondaire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Prévention tertiaire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Prévention curative</w:t>
      </w:r>
    </w:p>
    <w:p>
      <w:pPr>
        <w:pStyle w:val="ListParagraph"/>
        <w:numPr>
          <w:ilvl w:val="0"/>
          <w:numId w:val="27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prévention qui vise à réduire la prévalence d'une maladie au tout début de son apparition, notamment via le dépistage, est appelée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Prévention tertiaire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Prévention secondaire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Prévention primaire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Prévention palliative</w:t>
      </w:r>
    </w:p>
    <w:p>
      <w:pPr>
        <w:pStyle w:val="ListParagraph"/>
        <w:numPr>
          <w:ilvl w:val="0"/>
          <w:numId w:val="27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prévention tertiaire intervient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Avant l'apparition de la maladie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Au tout début de la maladie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Au cours de la maladie déjà installée, pour limiter les séquelles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Uniquement chez le nouveau-né</w:t>
      </w:r>
    </w:p>
    <w:p>
      <w:pPr>
        <w:pStyle w:val="ListParagraph"/>
        <w:numPr>
          <w:ilvl w:val="0"/>
          <w:numId w:val="27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sensibilisation de masse se caractérise notamment par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 échange restreint avec un petit groupe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L'utilisation de moyens de communication de masse (télé, radio, réseaux sociaux)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L'absence totale de besoin en ressources financières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évaluation d'impact toujours facile à réaliser</w:t>
      </w:r>
    </w:p>
    <w:p>
      <w:pPr>
        <w:pStyle w:val="ListParagraph"/>
        <w:numPr>
          <w:ilvl w:val="0"/>
          <w:numId w:val="27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sensibilisation de proximité est également appelée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Sensibilisation de masse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Focus group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Communication institutionnelle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Plaidoyer national</w:t>
      </w:r>
    </w:p>
    <w:p>
      <w:pPr>
        <w:pStyle w:val="ListParagraph"/>
        <w:numPr>
          <w:ilvl w:val="0"/>
          <w:numId w:val="27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plaidoyer se définit comme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 exposé argumenté visant à convaincre ou influencer des décideurs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simple distribution de brochures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 examen médical de routine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Une sanction judiciaire</w:t>
      </w:r>
    </w:p>
    <w:p>
      <w:pPr>
        <w:pStyle w:val="ListParagraph"/>
        <w:numPr>
          <w:ilvl w:val="0"/>
          <w:numId w:val="27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Parmi les supports d'intervention cités pour la prévention auprès des jeunes figurent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théâtre-débat, les films, les affiches et les brochures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Uniquement les manuels scolaires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Uniquement les réseaux sociaux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Uniquement les campagnes radiophoniques</w:t>
      </w:r>
    </w:p>
    <w:p>
      <w:pPr>
        <w:pStyle w:val="ListParagraph"/>
        <w:numPr>
          <w:ilvl w:val="0"/>
          <w:numId w:val="27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L'adolescence est considérée comme une période clé de prévention car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Elle ne présente aucun risque particulier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C'est une période d'ancrage des comportements de santé et d'entrée dans la sexualité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Les adolescents ne sont jamais concernés par le VIH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Elle survient après l'âge adulte</w:t>
      </w:r>
    </w:p>
    <w:p>
      <w:pPr>
        <w:pStyle w:val="ListParagraph"/>
        <w:numPr>
          <w:ilvl w:val="0"/>
          <w:numId w:val="27"/>
        </w:numPr>
        <w:spacing w:after="100"/>
        <w:ind w:left="420" w:hanging="4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Cocher la bonne réponse.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 manuel de référence national en soins et soutien aux OEV comprend dix modules regroupés en cinq domaines essentiels, à savoir :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Santé, Éducation, Stabilité, Sécurité et Prévention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Politique, Économie, Culture, Sport et Loisir</w:t>
      </w:r>
    </w:p>
    <w:p>
      <w:pPr>
        <w:spacing w:after="6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Agriculture, Industrie, Commerce, Transport et Finance</w:t>
      </w:r>
    </w:p>
    <w:p>
      <w:pPr>
        <w:spacing w:after="240"/>
        <w:ind w:left="850" w:hanging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Nord, Sud, Est, Ouest et Centre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sur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8B1E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Times New Roman" w:cs="Times New Roman" w:eastAsia="Times New Roman" w:hAnsi="Times New Roman"/>
      <w:b/>
      <w:bCs/>
      <w:color w:val="1F4E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2026-07-05T15:42:14.248Z</dcterms:created>
  <dcterms:modified xsi:type="dcterms:W3CDTF">2026-07-05T15:42:14.248Z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