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468E" w:rsidRPr="00AC468E" w:rsidRDefault="00AC468E" w:rsidP="00AC468E">
      <w:pPr>
        <w:ind w:left="360" w:hanging="360"/>
        <w:jc w:val="center"/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 xml:space="preserve">EVALUATION DES ELEVES </w:t>
      </w:r>
      <w:r w:rsidR="00C94E2C">
        <w:rPr>
          <w:rFonts w:ascii="Times New Roman" w:hAnsi="Times New Roman" w:cs="Times New Roman"/>
          <w:sz w:val="26"/>
          <w:szCs w:val="26"/>
        </w:rPr>
        <w:t>SAGE-FEMMES</w:t>
      </w:r>
      <w:r w:rsidRPr="00AC468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C468E" w:rsidRPr="00AC468E" w:rsidRDefault="00AC468E" w:rsidP="00AC468E">
      <w:pPr>
        <w:ind w:left="360" w:hanging="360"/>
        <w:jc w:val="center"/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>NIVEAU L2</w:t>
      </w:r>
    </w:p>
    <w:p w:rsidR="00AC468E" w:rsidRPr="00AC468E" w:rsidRDefault="00DD0EE7" w:rsidP="00AC468E">
      <w:pPr>
        <w:ind w:left="36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SUJET 4</w:t>
      </w:r>
    </w:p>
    <w:p w:rsidR="00AC468E" w:rsidRPr="00AC468E" w:rsidRDefault="00AC468E" w:rsidP="00AC468E">
      <w:pPr>
        <w:ind w:left="360" w:hanging="360"/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>QUESTIONS A CHOIX DIRECT : Répondre par Vrai (V) ou Faux (F)</w:t>
      </w:r>
    </w:p>
    <w:p w:rsidR="00AC468E" w:rsidRPr="00AC468E" w:rsidRDefault="00AC468E" w:rsidP="00AC468E">
      <w:pPr>
        <w:spacing w:after="160"/>
        <w:ind w:left="360" w:hanging="360"/>
        <w:outlineLvl w:val="0"/>
        <w:rPr>
          <w:rFonts w:ascii="Times New Roman" w:hAnsi="Times New Roman" w:cs="Times New Roman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1"/>
        </w:numPr>
        <w:spacing w:after="160"/>
        <w:outlineLvl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La CPN recentrée ne concerne que les grossesses à risque  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>(F)</w:t>
      </w: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</w:t>
      </w:r>
    </w:p>
    <w:p w:rsidR="00AC468E" w:rsidRPr="00AC468E" w:rsidRDefault="00AC468E" w:rsidP="00AC468E">
      <w:pPr>
        <w:pStyle w:val="Paragraphedeliste"/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L’éclampsie se définit comme un syndrome convulsif survenant chez une femme enceinte en travail  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>(F)</w:t>
      </w: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AC468E" w:rsidRPr="00AC468E" w:rsidRDefault="00AC468E" w:rsidP="00AC468E">
      <w:pPr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La CPN du 3</w:t>
      </w:r>
      <w:r w:rsidRPr="00AC468E"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  <w:t>e</w:t>
      </w: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trimestre permet d’évaluer le pronostic d’accouchement par voie basse 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>(V)</w:t>
      </w:r>
    </w:p>
    <w:p w:rsidR="00AC468E" w:rsidRPr="00AC468E" w:rsidRDefault="00AC468E" w:rsidP="00AC468E">
      <w:pPr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La MAP se défini par une modification du col associée à des contractions utérines, survenant entre 20 SA et 30 SA   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>(F)</w:t>
      </w:r>
    </w:p>
    <w:p w:rsidR="00AC468E" w:rsidRPr="00AC468E" w:rsidRDefault="00AC468E" w:rsidP="00AC468E">
      <w:pPr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Le sulfate de magnésium permet la prévention de la crise d’éclampsie 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>(V)</w:t>
      </w: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</w:t>
      </w:r>
    </w:p>
    <w:p w:rsidR="00AC468E" w:rsidRPr="00AC468E" w:rsidRDefault="00AC468E" w:rsidP="00AC468E">
      <w:pPr>
        <w:numPr>
          <w:ilvl w:val="0"/>
          <w:numId w:val="1"/>
        </w:numPr>
        <w:spacing w:after="16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La rupture utérine fait partie des causes de métrorragies du 2</w:t>
      </w:r>
      <w:r w:rsidRPr="00AC468E"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  <w:t>e</w:t>
      </w: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trimestre 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>(V)</w:t>
      </w:r>
    </w:p>
    <w:p w:rsidR="00AC468E" w:rsidRPr="00AC468E" w:rsidRDefault="00AC468E" w:rsidP="00AC468E">
      <w:pPr>
        <w:numPr>
          <w:ilvl w:val="0"/>
          <w:numId w:val="1"/>
        </w:numPr>
        <w:spacing w:after="160"/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La SFA se traduit par une altération du rythme cardiaque fœtal et un RCIU 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>(F)</w:t>
      </w:r>
      <w:r w:rsidRPr="00AC468E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:rsidR="00AC468E" w:rsidRPr="00AC468E" w:rsidRDefault="00AC468E" w:rsidP="00AC468E">
      <w:pPr>
        <w:numPr>
          <w:ilvl w:val="0"/>
          <w:numId w:val="1"/>
        </w:numPr>
        <w:spacing w:after="160"/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bCs/>
          <w:color w:val="FF0000"/>
          <w:sz w:val="26"/>
          <w:szCs w:val="26"/>
        </w:rPr>
        <w:t>La délivrance artificielle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 est l’exploration manuelle de la cavité utérine, après l’expulsion du placenta  </w:t>
      </w:r>
      <w:r w:rsidR="000D386C">
        <w:rPr>
          <w:rFonts w:ascii="Times New Roman" w:hAnsi="Times New Roman" w:cs="Times New Roman"/>
          <w:color w:val="FF0000"/>
          <w:sz w:val="26"/>
          <w:szCs w:val="26"/>
        </w:rPr>
        <w:t>F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  </w:t>
      </w:r>
    </w:p>
    <w:p w:rsidR="00AC468E" w:rsidRPr="00AC468E" w:rsidRDefault="00AC468E" w:rsidP="00AC468E">
      <w:pPr>
        <w:numPr>
          <w:ilvl w:val="0"/>
          <w:numId w:val="1"/>
        </w:numPr>
        <w:spacing w:after="160"/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La découverte d’un placenta incomplet à l’examen impose une révision utérine </w:t>
      </w:r>
      <w:r w:rsidR="000D386C">
        <w:rPr>
          <w:rFonts w:ascii="Times New Roman" w:hAnsi="Times New Roman" w:cs="Times New Roman"/>
          <w:color w:val="FF0000"/>
          <w:sz w:val="26"/>
          <w:szCs w:val="26"/>
        </w:rPr>
        <w:t>V</w:t>
      </w:r>
    </w:p>
    <w:p w:rsidR="00AC468E" w:rsidRPr="00AC468E" w:rsidRDefault="00AC468E" w:rsidP="00AC468E">
      <w:pPr>
        <w:numPr>
          <w:ilvl w:val="0"/>
          <w:numId w:val="1"/>
        </w:numPr>
        <w:spacing w:after="160"/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La GATPA permet </w:t>
      </w:r>
      <w:r>
        <w:rPr>
          <w:rFonts w:ascii="Times New Roman" w:hAnsi="Times New Roman" w:cs="Times New Roman"/>
          <w:color w:val="FF0000"/>
          <w:sz w:val="26"/>
          <w:szCs w:val="26"/>
        </w:rPr>
        <w:t>d’augmenter le délai de la délivrance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0D386C">
        <w:rPr>
          <w:rFonts w:ascii="Times New Roman" w:hAnsi="Times New Roman" w:cs="Times New Roman"/>
          <w:color w:val="FF0000"/>
          <w:sz w:val="26"/>
          <w:szCs w:val="26"/>
        </w:rPr>
        <w:t>F</w:t>
      </w:r>
    </w:p>
    <w:p w:rsidR="00AC468E" w:rsidRPr="00AC468E" w:rsidRDefault="00AC468E" w:rsidP="00AC468E">
      <w:pPr>
        <w:numPr>
          <w:ilvl w:val="0"/>
          <w:numId w:val="1"/>
        </w:numPr>
        <w:spacing w:after="160"/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La révision utérine est l’extraction manuelle du placenta hors des voies génitales maternelles après l’expulsion du fœtus     </w:t>
      </w:r>
      <w:r w:rsidR="000D386C">
        <w:rPr>
          <w:rFonts w:ascii="Times New Roman" w:hAnsi="Times New Roman" w:cs="Times New Roman"/>
          <w:color w:val="FF0000"/>
          <w:sz w:val="26"/>
          <w:szCs w:val="26"/>
        </w:rPr>
        <w:t>F</w:t>
      </w:r>
    </w:p>
    <w:p w:rsidR="00AC468E" w:rsidRPr="00AC468E" w:rsidRDefault="00AC468E" w:rsidP="00AC468E">
      <w:pPr>
        <w:pStyle w:val="Paragraphedeliste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L’anémie au cours de la grossesse se définit par un taux d’hémoglobine                                      &lt;10,5 grs /100 ml au 1er et 3ème trimestre de la grossesse   </w:t>
      </w:r>
      <w:r w:rsidR="000D386C"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</w:p>
    <w:p w:rsidR="00AC468E" w:rsidRPr="00AC468E" w:rsidRDefault="00AC468E" w:rsidP="00AC468E">
      <w:pPr>
        <w:pStyle w:val="Paragraphedeliste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L’évolution de la grossesse môlaire ne se fait jamais vers l’avortement môlaire </w:t>
      </w:r>
      <w:r w:rsidR="000D386C"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</w:p>
    <w:p w:rsidR="00AC468E" w:rsidRPr="00AC468E" w:rsidRDefault="00AC468E" w:rsidP="00AC468E">
      <w:pPr>
        <w:pStyle w:val="Paragraphedeliste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La GATPA permet de diminuer les pertes de sang en augmentant l’hématome retro placentaire physiologique   </w:t>
      </w:r>
      <w:r w:rsidR="000D386C"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</w:p>
    <w:p w:rsidR="00AC468E" w:rsidRPr="00AC468E" w:rsidRDefault="00AC468E" w:rsidP="00AC468E">
      <w:pPr>
        <w:pStyle w:val="Paragraphedeliste"/>
        <w:numPr>
          <w:ilvl w:val="0"/>
          <w:numId w:val="1"/>
        </w:numPr>
        <w:suppressAutoHyphens/>
        <w:autoSpaceDN w:val="0"/>
        <w:spacing w:after="160"/>
        <w:textAlignment w:val="baseline"/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bCs/>
          <w:sz w:val="26"/>
          <w:szCs w:val="26"/>
        </w:rPr>
        <w:t>La délivrance artificielle</w:t>
      </w:r>
      <w:r w:rsidRPr="00AC468E">
        <w:rPr>
          <w:rFonts w:ascii="Times New Roman" w:hAnsi="Times New Roman" w:cs="Times New Roman"/>
          <w:sz w:val="26"/>
          <w:szCs w:val="26"/>
        </w:rPr>
        <w:t xml:space="preserve"> est </w:t>
      </w:r>
      <w:r w:rsidRPr="00AC468E">
        <w:rPr>
          <w:rFonts w:ascii="Times New Roman" w:hAnsi="Times New Roman" w:cs="Times New Roman"/>
          <w:color w:val="000000"/>
          <w:sz w:val="26"/>
          <w:szCs w:val="26"/>
        </w:rPr>
        <w:t xml:space="preserve">l’exploration manuelle de la cavité utérine, après l’expulsion du placenta 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F   </w:t>
      </w:r>
      <w:r w:rsidRPr="00AC468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:rsidR="00AC468E" w:rsidRPr="00AC468E" w:rsidRDefault="00AC468E" w:rsidP="00AC468E">
      <w:pPr>
        <w:numPr>
          <w:ilvl w:val="0"/>
          <w:numId w:val="1"/>
        </w:numPr>
        <w:tabs>
          <w:tab w:val="left" w:pos="-2140"/>
          <w:tab w:val="left" w:pos="-1877"/>
        </w:tabs>
        <w:suppressAutoHyphens/>
        <w:autoSpaceDE w:val="0"/>
        <w:autoSpaceDN w:val="0"/>
        <w:ind w:left="567" w:right="-766" w:hanging="578"/>
        <w:contextualSpacing/>
        <w:jc w:val="both"/>
        <w:textAlignment w:val="baseline"/>
        <w:rPr>
          <w:rFonts w:ascii="Times New Roman" w:hAnsi="Times New Roman" w:cs="Times New Roman"/>
          <w:color w:val="000000"/>
          <w:sz w:val="26"/>
          <w:szCs w:val="26"/>
        </w:rPr>
      </w:pPr>
      <w:r w:rsidRPr="00AC468E">
        <w:rPr>
          <w:rFonts w:ascii="Times New Roman" w:hAnsi="Times New Roman" w:cs="Times New Roman"/>
          <w:color w:val="000000"/>
          <w:sz w:val="26"/>
          <w:szCs w:val="26"/>
        </w:rPr>
        <w:t xml:space="preserve">Devant une rétention placentaire complète, on doit pratiquer une délivrance dirigée. 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>F</w:t>
      </w:r>
    </w:p>
    <w:p w:rsidR="00AC468E" w:rsidRPr="00AC468E" w:rsidRDefault="00AC468E" w:rsidP="00AC468E">
      <w:pPr>
        <w:pStyle w:val="Paragraphedeliste"/>
        <w:numPr>
          <w:ilvl w:val="0"/>
          <w:numId w:val="1"/>
        </w:numPr>
        <w:suppressAutoHyphens/>
        <w:autoSpaceDN w:val="0"/>
        <w:spacing w:after="200"/>
        <w:ind w:left="567" w:hanging="578"/>
        <w:textAlignment w:val="baseline"/>
        <w:rPr>
          <w:rFonts w:ascii="Times New Roman" w:hAnsi="Times New Roman" w:cs="Times New Roman"/>
          <w:color w:val="000000"/>
          <w:sz w:val="26"/>
          <w:szCs w:val="26"/>
        </w:rPr>
      </w:pPr>
      <w:r w:rsidRPr="00AC468E">
        <w:rPr>
          <w:rFonts w:ascii="Times New Roman" w:hAnsi="Times New Roman" w:cs="Times New Roman"/>
          <w:color w:val="000000"/>
          <w:sz w:val="26"/>
          <w:szCs w:val="26"/>
        </w:rPr>
        <w:t xml:space="preserve">La GATPA permet de diminuer les pertes de sang en reduisant l’hématome retro placentaire physiologique   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>V</w:t>
      </w:r>
    </w:p>
    <w:p w:rsidR="00AC468E" w:rsidRPr="00AC468E" w:rsidRDefault="00AC468E" w:rsidP="00AC468E">
      <w:pPr>
        <w:pStyle w:val="Paragraphedeliste"/>
        <w:numPr>
          <w:ilvl w:val="0"/>
          <w:numId w:val="1"/>
        </w:numPr>
        <w:suppressAutoHyphens/>
        <w:autoSpaceDN w:val="0"/>
        <w:spacing w:after="160"/>
        <w:ind w:left="567" w:hanging="578"/>
        <w:textAlignment w:val="baseline"/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 xml:space="preserve">La procidence du cordon est une chute du cordon en avant de la présentation à membranes intactes 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>F</w:t>
      </w:r>
    </w:p>
    <w:p w:rsidR="00AC468E" w:rsidRPr="00AC468E" w:rsidRDefault="00AC468E" w:rsidP="00AC468E">
      <w:pPr>
        <w:pStyle w:val="Paragraphedeliste"/>
        <w:numPr>
          <w:ilvl w:val="0"/>
          <w:numId w:val="1"/>
        </w:numPr>
        <w:suppressAutoHyphens/>
        <w:autoSpaceDN w:val="0"/>
        <w:spacing w:after="160"/>
        <w:ind w:left="567" w:hanging="578"/>
        <w:textAlignment w:val="baseline"/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 xml:space="preserve">Devant un avortement molaire, la sage-femme doit prendre une voie veineuse et réaliser l’AMIU en salle d’accouchement 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>F</w:t>
      </w:r>
    </w:p>
    <w:p w:rsidR="00AC468E" w:rsidRPr="00AC468E" w:rsidRDefault="00AC468E" w:rsidP="00AC468E">
      <w:pPr>
        <w:pStyle w:val="Paragraphedeliste"/>
        <w:numPr>
          <w:ilvl w:val="0"/>
          <w:numId w:val="1"/>
        </w:numPr>
        <w:suppressAutoHyphens/>
        <w:autoSpaceDN w:val="0"/>
        <w:spacing w:after="160"/>
        <w:ind w:left="567" w:hanging="578"/>
        <w:textAlignment w:val="baseline"/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 xml:space="preserve">Dans l’HRP, l’étiologie la plus rencontrée est le traumatisme abdominal </w:t>
      </w:r>
      <w:r w:rsidRPr="00AC468E">
        <w:rPr>
          <w:rFonts w:ascii="Times New Roman" w:hAnsi="Times New Roman" w:cs="Times New Roman"/>
          <w:color w:val="FF0000"/>
          <w:sz w:val="26"/>
          <w:szCs w:val="26"/>
        </w:rPr>
        <w:t>F</w:t>
      </w:r>
    </w:p>
    <w:p w:rsidR="00AC468E" w:rsidRPr="00AC468E" w:rsidRDefault="00AC468E">
      <w:pPr>
        <w:spacing w:after="200"/>
        <w:ind w:hanging="357"/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br w:type="page"/>
      </w:r>
    </w:p>
    <w:p w:rsidR="00AC468E" w:rsidRPr="00AC468E" w:rsidRDefault="00AC468E" w:rsidP="00AC468E">
      <w:p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lastRenderedPageBreak/>
        <w:t>QUESTIONS A CHOIX MULTIPLE : Choisissez la ou les bonnes réponses</w:t>
      </w:r>
    </w:p>
    <w:p w:rsidR="00C773C0" w:rsidRPr="00AC468E" w:rsidRDefault="00C773C0">
      <w:pPr>
        <w:rPr>
          <w:rFonts w:ascii="Times New Roman" w:hAnsi="Times New Roman" w:cs="Times New Roman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>Citez les facteurs favorisant la procidence du cordon :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Présentation du siège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 xml:space="preserve">Presentation céphalique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Presentation transversale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Grossesse gémellaire </w:t>
      </w:r>
    </w:p>
    <w:p w:rsidR="00AC468E" w:rsidRPr="00AC468E" w:rsidRDefault="00AC468E" w:rsidP="00AC468E">
      <w:pPr>
        <w:pStyle w:val="Paragraphedeliste"/>
        <w:ind w:left="1080"/>
        <w:rPr>
          <w:rFonts w:ascii="Times New Roman" w:hAnsi="Times New Roman" w:cs="Times New Roman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>Quels sont les gestes à faire en cas de procidence du cordon battant :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Recouvrir le cordon avec des compresses sèches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Installer la patiente en position de Trendelenburg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 xml:space="preserve">Faire des TV pour surveiller la descente du fœtus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 xml:space="preserve">Hospitaliser la patiente </w:t>
      </w:r>
    </w:p>
    <w:p w:rsidR="00AC468E" w:rsidRPr="00AC468E" w:rsidRDefault="00AC468E" w:rsidP="00AC468E">
      <w:pPr>
        <w:pStyle w:val="Paragraphedeliste"/>
        <w:ind w:left="1080"/>
        <w:rPr>
          <w:rFonts w:ascii="Times New Roman" w:hAnsi="Times New Roman" w:cs="Times New Roman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>Donner les signes de la pré éclampsie :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HTA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 xml:space="preserve">Convulsions généralisées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OMI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 xml:space="preserve">Troubles visuels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 xml:space="preserve">Macrosomie </w:t>
      </w:r>
    </w:p>
    <w:p w:rsidR="00AC468E" w:rsidRPr="00AC468E" w:rsidRDefault="00AC468E" w:rsidP="00AC468E">
      <w:pPr>
        <w:pStyle w:val="Paragraphedeliste"/>
        <w:ind w:left="1080"/>
        <w:rPr>
          <w:rFonts w:ascii="Times New Roman" w:hAnsi="Times New Roman" w:cs="Times New Roman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>Donner les complications de la pré éclampsie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Mort fœtale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RCIU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 xml:space="preserve">Anémie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OAP </w:t>
      </w:r>
    </w:p>
    <w:p w:rsidR="00AC468E" w:rsidRPr="00AC468E" w:rsidRDefault="00AC468E" w:rsidP="00AC468E">
      <w:pPr>
        <w:pStyle w:val="Paragraphedeliste"/>
        <w:ind w:left="1080"/>
        <w:rPr>
          <w:rFonts w:ascii="Times New Roman" w:hAnsi="Times New Roman" w:cs="Times New Roman"/>
          <w:sz w:val="26"/>
          <w:szCs w:val="26"/>
        </w:rPr>
      </w:pPr>
    </w:p>
    <w:p w:rsidR="00AC468E" w:rsidRPr="00AC468E" w:rsidRDefault="00AC468E" w:rsidP="00AC468E">
      <w:pPr>
        <w:pStyle w:val="Paragraphedeliste"/>
        <w:ind w:left="1080"/>
        <w:rPr>
          <w:rFonts w:ascii="Times New Roman" w:hAnsi="Times New Roman" w:cs="Times New Roman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>Le placenta prævia se traduit par les signes suivants :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BDCF présents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Signes de choc non en rapport avec les saignements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 xml:space="preserve">Col cerclé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Perception d’un matelas placentaire </w:t>
      </w:r>
    </w:p>
    <w:p w:rsidR="00AC468E" w:rsidRPr="00AC468E" w:rsidRDefault="00AC468E" w:rsidP="00AC468E">
      <w:pPr>
        <w:pStyle w:val="Paragraphedeliste"/>
        <w:ind w:left="1080"/>
        <w:rPr>
          <w:rFonts w:ascii="Times New Roman" w:hAnsi="Times New Roman" w:cs="Times New Roman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>Les signes suivants sont retrouvés le plus souvent dans la rupture utérine :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>BDCF présents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>Col cerclé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Presentation fœtale inaccessible au TV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Fœtus perçu sous la peau </w:t>
      </w:r>
    </w:p>
    <w:p w:rsidR="00AC468E" w:rsidRPr="00AC468E" w:rsidRDefault="00AC468E" w:rsidP="00AC468E">
      <w:pPr>
        <w:pStyle w:val="Paragraphedeliste"/>
        <w:ind w:left="1080"/>
        <w:rPr>
          <w:rFonts w:ascii="Times New Roman" w:hAnsi="Times New Roman" w:cs="Times New Roman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>Quels sont les complications liées à l’HRP :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Choc hypovolémique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Atonie utérine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>Fièvre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Décès </w:t>
      </w:r>
    </w:p>
    <w:p w:rsidR="00AC468E" w:rsidRPr="00AC468E" w:rsidRDefault="00AC468E" w:rsidP="00AC468E">
      <w:pPr>
        <w:pStyle w:val="Paragraphedeliste"/>
        <w:ind w:left="1080"/>
        <w:rPr>
          <w:rFonts w:ascii="Times New Roman" w:hAnsi="Times New Roman" w:cs="Times New Roman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lastRenderedPageBreak/>
        <w:t>Quels sont les signes en faveur d’un HRP :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 xml:space="preserve">Fœtus vivant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Contracture utérine permanente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>Col cerclé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C468E">
        <w:rPr>
          <w:rFonts w:ascii="Times New Roman" w:hAnsi="Times New Roman" w:cs="Times New Roman"/>
          <w:sz w:val="26"/>
          <w:szCs w:val="26"/>
        </w:rPr>
        <w:t xml:space="preserve">Presentation inaccessible au TV </w:t>
      </w:r>
    </w:p>
    <w:p w:rsidR="00AC468E" w:rsidRPr="00AC468E" w:rsidRDefault="00AC468E" w:rsidP="00AC468E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>Sang noiratre, minime</w:t>
      </w:r>
    </w:p>
    <w:p w:rsidR="00AC468E" w:rsidRPr="00AC468E" w:rsidRDefault="00AC468E" w:rsidP="00AC468E">
      <w:pPr>
        <w:pStyle w:val="Paragraphedeliste"/>
        <w:ind w:left="1080"/>
        <w:rPr>
          <w:rFonts w:ascii="Times New Roman" w:hAnsi="Times New Roman" w:cs="Times New Roman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Les différents placentas observés au cours du travail sont : </w:t>
      </w:r>
    </w:p>
    <w:p w:rsidR="00AC468E" w:rsidRPr="00AC468E" w:rsidRDefault="00AC468E" w:rsidP="00AC468E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Le placenta praevia recouvrant </w:t>
      </w:r>
    </w:p>
    <w:p w:rsidR="00AC468E" w:rsidRPr="00AC468E" w:rsidRDefault="00AC468E" w:rsidP="00AC468E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Le placenta praevia central</w:t>
      </w:r>
    </w:p>
    <w:p w:rsidR="00AC468E" w:rsidRPr="00AC468E" w:rsidRDefault="00AC468E" w:rsidP="00AC468E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>Le placenta non recouvrant</w:t>
      </w:r>
    </w:p>
    <w:p w:rsidR="00AC468E" w:rsidRPr="00AC468E" w:rsidRDefault="00AC468E" w:rsidP="00AC468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L’élément (ou les) suivant (s) fait (ou font) partie des facteurs de risque de l’hémorragie de la délivrance :</w:t>
      </w:r>
    </w:p>
    <w:p w:rsidR="00AC468E" w:rsidRPr="00AC468E" w:rsidRDefault="00AC468E" w:rsidP="00AC468E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>Antécédent d’hémorragie de la délivrance</w:t>
      </w:r>
    </w:p>
    <w:p w:rsidR="00AC468E" w:rsidRPr="00AC468E" w:rsidRDefault="00AC468E" w:rsidP="00AC468E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Primiparité</w:t>
      </w:r>
    </w:p>
    <w:p w:rsidR="00AC468E" w:rsidRPr="00AC468E" w:rsidRDefault="00AC468E" w:rsidP="00AC468E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Grossesse extra utérine</w:t>
      </w:r>
    </w:p>
    <w:p w:rsidR="00AC468E" w:rsidRPr="00AC468E" w:rsidRDefault="00AC468E" w:rsidP="00AC468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Dans quelle pathologie l’hypertension artérielle est-elle un facteur favorisant :</w:t>
      </w:r>
    </w:p>
    <w:p w:rsidR="00AC468E" w:rsidRPr="00AC468E" w:rsidRDefault="00AC468E" w:rsidP="00AC468E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Le placenta praevia</w:t>
      </w:r>
    </w:p>
    <w:p w:rsidR="00AC468E" w:rsidRPr="00AC468E" w:rsidRDefault="00AC468E" w:rsidP="00AC468E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>L’hématome retro placentaire</w:t>
      </w:r>
    </w:p>
    <w:p w:rsidR="00AC468E" w:rsidRPr="00AC468E" w:rsidRDefault="00AC468E" w:rsidP="00AC468E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La rupture utérine</w:t>
      </w:r>
    </w:p>
    <w:p w:rsidR="00AC468E" w:rsidRPr="00AC468E" w:rsidRDefault="00AC468E" w:rsidP="00AC468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L’évaluation du bien-être fœtal est appréciée par :</w:t>
      </w:r>
    </w:p>
    <w:p w:rsidR="00AC468E" w:rsidRPr="00AC468E" w:rsidRDefault="00AC468E" w:rsidP="00AC468E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>Le rythme cardiaque foetal</w:t>
      </w:r>
    </w:p>
    <w:p w:rsidR="00AC468E" w:rsidRPr="00AC468E" w:rsidRDefault="00AC468E" w:rsidP="00AC468E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Degré de modelage de la tête</w:t>
      </w:r>
    </w:p>
    <w:p w:rsidR="00AC468E" w:rsidRPr="00AC468E" w:rsidRDefault="00AC468E" w:rsidP="00AC468E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Le niveau de la présentation fœtale </w:t>
      </w:r>
    </w:p>
    <w:p w:rsidR="00AC468E" w:rsidRPr="00AC468E" w:rsidRDefault="00AC468E" w:rsidP="00AC468E">
      <w:pPr>
        <w:pStyle w:val="Paragraphedeliste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La grossesse extra-utérine est :</w:t>
      </w:r>
    </w:p>
    <w:p w:rsidR="00AC468E" w:rsidRPr="00AC468E" w:rsidRDefault="00AC468E" w:rsidP="00AC468E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Une grossesse qui peut évoluer jusqu’à terme</w:t>
      </w:r>
    </w:p>
    <w:p w:rsidR="00AC468E" w:rsidRPr="00AC468E" w:rsidRDefault="00AC468E" w:rsidP="00AC468E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Une prolifération anormale du trophoblaste</w:t>
      </w:r>
    </w:p>
    <w:p w:rsidR="00AC468E" w:rsidRPr="00AC468E" w:rsidRDefault="00AC468E" w:rsidP="00AC468E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De localisation abdominale dans la majorité des cas</w:t>
      </w:r>
    </w:p>
    <w:p w:rsidR="00AC468E" w:rsidRPr="00AC468E" w:rsidRDefault="00AC468E" w:rsidP="00AC468E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>L’implantation de l’œuf en dehors de la cavité utérine</w:t>
      </w:r>
    </w:p>
    <w:p w:rsidR="00AC468E" w:rsidRPr="00AC468E" w:rsidRDefault="00AC468E" w:rsidP="00AC468E">
      <w:pPr>
        <w:pStyle w:val="Paragraphedeliste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AC468E" w:rsidRPr="00AC468E" w:rsidRDefault="00AC468E" w:rsidP="00AC468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Quels sont les signes cliniques en faveur d’une GEU ?</w:t>
      </w:r>
    </w:p>
    <w:p w:rsidR="00AC468E" w:rsidRPr="00AC468E" w:rsidRDefault="00AC468E" w:rsidP="00AC468E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L’utérus est augmenté de volume</w:t>
      </w:r>
    </w:p>
    <w:p w:rsidR="00AC468E" w:rsidRPr="00AC468E" w:rsidRDefault="00AC468E" w:rsidP="00AC468E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>Des métrorragies minimes sépia</w:t>
      </w:r>
    </w:p>
    <w:p w:rsidR="00AC468E" w:rsidRPr="00AC468E" w:rsidRDefault="00AC468E" w:rsidP="00AC468E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L’œuf est perçu sous la peau </w:t>
      </w:r>
    </w:p>
    <w:p w:rsidR="00AC468E" w:rsidRPr="00AC468E" w:rsidRDefault="00AC468E" w:rsidP="00AC468E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>Masse latéro-utérine</w:t>
      </w:r>
    </w:p>
    <w:p w:rsidR="00AC468E" w:rsidRPr="00AC468E" w:rsidRDefault="00AC468E" w:rsidP="00AC468E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Les métrorragies du premier trimestre doivent évoquer en premier lieu :</w:t>
      </w:r>
    </w:p>
    <w:p w:rsidR="00AC468E" w:rsidRPr="00AC468E" w:rsidRDefault="00AC468E" w:rsidP="00AC468E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Une grossesse arrêtée </w:t>
      </w:r>
    </w:p>
    <w:p w:rsidR="00AC468E" w:rsidRPr="00AC468E" w:rsidRDefault="00AC468E" w:rsidP="00AC468E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>Une GEU</w:t>
      </w:r>
    </w:p>
    <w:p w:rsidR="00AC468E" w:rsidRPr="00AC468E" w:rsidRDefault="00AC468E" w:rsidP="00AC468E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>Une grossesse molaire</w:t>
      </w:r>
    </w:p>
    <w:p w:rsidR="00AC468E" w:rsidRPr="00AC468E" w:rsidRDefault="00AC468E" w:rsidP="00AC468E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Une rupture utérine </w:t>
      </w:r>
    </w:p>
    <w:p w:rsidR="00AC468E" w:rsidRPr="00AC468E" w:rsidRDefault="00AC468E" w:rsidP="00AC468E">
      <w:p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Les examens sanguins faisant partie du bilan biologique de la CPN sont :</w:t>
      </w:r>
    </w:p>
    <w:p w:rsidR="00AC468E" w:rsidRPr="00AC468E" w:rsidRDefault="00AC468E" w:rsidP="00AC468E">
      <w:pPr>
        <w:pStyle w:val="Paragraphedeliste"/>
        <w:numPr>
          <w:ilvl w:val="1"/>
          <w:numId w:val="10"/>
        </w:numPr>
        <w:spacing w:after="160" w:line="259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Groupes sanguins et Rhésus </w:t>
      </w:r>
    </w:p>
    <w:p w:rsidR="00AC468E" w:rsidRPr="00AC468E" w:rsidRDefault="00AC468E" w:rsidP="00AC468E">
      <w:pPr>
        <w:pStyle w:val="Paragraphedeliste"/>
        <w:numPr>
          <w:ilvl w:val="1"/>
          <w:numId w:val="10"/>
        </w:numPr>
        <w:spacing w:after="160" w:line="259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ECBU </w:t>
      </w:r>
    </w:p>
    <w:p w:rsidR="00AC468E" w:rsidRPr="00AC468E" w:rsidRDefault="00AC468E" w:rsidP="00AC468E">
      <w:pPr>
        <w:pStyle w:val="Paragraphedeliste"/>
        <w:numPr>
          <w:ilvl w:val="1"/>
          <w:numId w:val="10"/>
        </w:numPr>
        <w:spacing w:after="160" w:line="259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Électrophorèse des protides sanguines </w:t>
      </w:r>
    </w:p>
    <w:p w:rsidR="00AC468E" w:rsidRPr="00AC468E" w:rsidRDefault="00AC468E" w:rsidP="00AC468E">
      <w:pPr>
        <w:pStyle w:val="Paragraphedeliste"/>
        <w:numPr>
          <w:ilvl w:val="1"/>
          <w:numId w:val="10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Uricémie </w:t>
      </w:r>
    </w:p>
    <w:p w:rsidR="00AC468E" w:rsidRPr="00AC468E" w:rsidRDefault="00AC468E" w:rsidP="00AC468E">
      <w:pPr>
        <w:pStyle w:val="Paragraphedeliste"/>
        <w:numPr>
          <w:ilvl w:val="1"/>
          <w:numId w:val="10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Ag HBe </w:t>
      </w:r>
    </w:p>
    <w:p w:rsidR="00AC468E" w:rsidRPr="00AC468E" w:rsidRDefault="00AC468E" w:rsidP="00AC468E">
      <w:p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Donner les signes d’éclampsisme :</w:t>
      </w:r>
    </w:p>
    <w:p w:rsidR="00AC468E" w:rsidRPr="00AC468E" w:rsidRDefault="00AC468E" w:rsidP="00AC468E">
      <w:pPr>
        <w:pStyle w:val="Paragraphedeliste"/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 xml:space="preserve">Douleur en barre épigastrique </w:t>
      </w:r>
    </w:p>
    <w:p w:rsidR="00AC468E" w:rsidRPr="00AC468E" w:rsidRDefault="00AC468E" w:rsidP="00AC468E">
      <w:pPr>
        <w:pStyle w:val="Paragraphedeliste"/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Convulsions généralisées </w:t>
      </w:r>
    </w:p>
    <w:p w:rsidR="00AC468E" w:rsidRPr="00AC468E" w:rsidRDefault="00AC468E" w:rsidP="00AC468E">
      <w:pPr>
        <w:pStyle w:val="Paragraphedeliste"/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AC468E">
        <w:rPr>
          <w:rFonts w:ascii="Times New Roman" w:hAnsi="Times New Roman" w:cs="Times New Roman"/>
          <w:color w:val="FF0000"/>
          <w:sz w:val="26"/>
          <w:szCs w:val="26"/>
        </w:rPr>
        <w:t>Flou visuel</w:t>
      </w:r>
    </w:p>
    <w:p w:rsidR="00AC468E" w:rsidRPr="00AC468E" w:rsidRDefault="00AC468E" w:rsidP="00AC468E">
      <w:pPr>
        <w:pStyle w:val="Paragraphedeliste"/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Troubles sensitifs </w:t>
      </w:r>
    </w:p>
    <w:p w:rsidR="00AC468E" w:rsidRDefault="00AC468E" w:rsidP="00AC468E">
      <w:pPr>
        <w:pStyle w:val="Paragraphedeliste"/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468E">
        <w:rPr>
          <w:rFonts w:ascii="Times New Roman" w:hAnsi="Times New Roman" w:cs="Times New Roman"/>
          <w:color w:val="000000" w:themeColor="text1"/>
          <w:sz w:val="26"/>
          <w:szCs w:val="26"/>
        </w:rPr>
        <w:t>Macrosomie</w:t>
      </w:r>
    </w:p>
    <w:p w:rsidR="00C9296A" w:rsidRPr="00C9296A" w:rsidRDefault="00C9296A" w:rsidP="00C9296A">
      <w:pPr>
        <w:pStyle w:val="Paragraphedeliste"/>
        <w:spacing w:after="160" w:line="259" w:lineRule="auto"/>
        <w:ind w:left="108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AC468E" w:rsidRPr="00AC468E" w:rsidRDefault="00AC468E" w:rsidP="00AC468E">
      <w:pPr>
        <w:pStyle w:val="Paragraphedeliste"/>
        <w:numPr>
          <w:ilvl w:val="0"/>
          <w:numId w:val="2"/>
        </w:numPr>
        <w:suppressAutoHyphens/>
        <w:autoSpaceDN w:val="0"/>
        <w:spacing w:after="160"/>
        <w:textAlignment w:val="baseline"/>
        <w:rPr>
          <w:rFonts w:ascii="Times New Roman" w:eastAsia="Calibri" w:hAnsi="Times New Roman" w:cs="Times New Roman"/>
          <w:sz w:val="26"/>
          <w:szCs w:val="26"/>
        </w:rPr>
      </w:pPr>
      <w:r w:rsidRPr="00AC468E">
        <w:rPr>
          <w:rFonts w:ascii="Times New Roman" w:eastAsia="Calibri" w:hAnsi="Times New Roman" w:cs="Times New Roman"/>
          <w:sz w:val="26"/>
          <w:szCs w:val="26"/>
        </w:rPr>
        <w:t>Quelle est l’étiologie la plus rencontrée dans les HPPI ? cochez la bonne réponse</w:t>
      </w:r>
    </w:p>
    <w:p w:rsidR="00AC468E" w:rsidRPr="00AC468E" w:rsidRDefault="00AC468E" w:rsidP="00AC468E">
      <w:pPr>
        <w:numPr>
          <w:ilvl w:val="1"/>
          <w:numId w:val="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sz w:val="26"/>
          <w:szCs w:val="26"/>
        </w:rPr>
      </w:pPr>
      <w:r w:rsidRPr="00AC468E">
        <w:rPr>
          <w:rFonts w:ascii="Times New Roman" w:eastAsia="Calibri" w:hAnsi="Times New Roman" w:cs="Times New Roman"/>
          <w:sz w:val="26"/>
          <w:szCs w:val="26"/>
        </w:rPr>
        <w:t>Rupture utérine</w:t>
      </w:r>
    </w:p>
    <w:p w:rsidR="00AC468E" w:rsidRPr="00AC468E" w:rsidRDefault="00AC468E" w:rsidP="00AC468E">
      <w:pPr>
        <w:numPr>
          <w:ilvl w:val="1"/>
          <w:numId w:val="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sz w:val="26"/>
          <w:szCs w:val="26"/>
        </w:rPr>
      </w:pPr>
      <w:r w:rsidRPr="00AC468E">
        <w:rPr>
          <w:rFonts w:ascii="Times New Roman" w:eastAsia="Calibri" w:hAnsi="Times New Roman" w:cs="Times New Roman"/>
          <w:sz w:val="26"/>
          <w:szCs w:val="26"/>
        </w:rPr>
        <w:t>Troubles de la coagulation</w:t>
      </w:r>
    </w:p>
    <w:p w:rsidR="00AC468E" w:rsidRPr="00AC468E" w:rsidRDefault="00AC468E" w:rsidP="00AC468E">
      <w:pPr>
        <w:numPr>
          <w:ilvl w:val="1"/>
          <w:numId w:val="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color w:val="FF0000"/>
          <w:sz w:val="26"/>
          <w:szCs w:val="26"/>
        </w:rPr>
      </w:pPr>
      <w:r w:rsidRPr="00AC468E">
        <w:rPr>
          <w:rFonts w:ascii="Times New Roman" w:eastAsia="Calibri" w:hAnsi="Times New Roman" w:cs="Times New Roman"/>
          <w:color w:val="FF0000"/>
          <w:sz w:val="26"/>
          <w:szCs w:val="26"/>
        </w:rPr>
        <w:t>Atonie utérine</w:t>
      </w:r>
    </w:p>
    <w:p w:rsidR="00AC468E" w:rsidRDefault="00AC468E" w:rsidP="00C9296A">
      <w:pPr>
        <w:numPr>
          <w:ilvl w:val="1"/>
          <w:numId w:val="2"/>
        </w:numPr>
        <w:suppressAutoHyphens/>
        <w:autoSpaceDN w:val="0"/>
        <w:spacing w:after="160"/>
        <w:ind w:left="1276" w:hanging="425"/>
        <w:contextualSpacing/>
        <w:textAlignment w:val="baseline"/>
        <w:rPr>
          <w:rFonts w:ascii="Times New Roman" w:eastAsia="Calibri" w:hAnsi="Times New Roman" w:cs="Times New Roman"/>
          <w:sz w:val="26"/>
          <w:szCs w:val="26"/>
        </w:rPr>
      </w:pPr>
      <w:r w:rsidRPr="00AC468E">
        <w:rPr>
          <w:rFonts w:ascii="Times New Roman" w:eastAsia="Calibri" w:hAnsi="Times New Roman" w:cs="Times New Roman"/>
          <w:sz w:val="26"/>
          <w:szCs w:val="26"/>
        </w:rPr>
        <w:t>Thrombus vulvaire</w:t>
      </w:r>
    </w:p>
    <w:p w:rsidR="00C9296A" w:rsidRPr="00C9296A" w:rsidRDefault="00C9296A" w:rsidP="00C9296A">
      <w:pPr>
        <w:suppressAutoHyphens/>
        <w:autoSpaceDN w:val="0"/>
        <w:spacing w:after="160"/>
        <w:ind w:left="1276"/>
        <w:contextualSpacing/>
        <w:textAlignment w:val="baseline"/>
        <w:rPr>
          <w:rFonts w:ascii="Times New Roman" w:eastAsia="Calibri" w:hAnsi="Times New Roman" w:cs="Times New Roman"/>
          <w:sz w:val="26"/>
          <w:szCs w:val="26"/>
        </w:rPr>
      </w:pPr>
    </w:p>
    <w:p w:rsidR="00AC468E" w:rsidRPr="00AC468E" w:rsidRDefault="00AC468E" w:rsidP="00AC468E">
      <w:pPr>
        <w:numPr>
          <w:ilvl w:val="0"/>
          <w:numId w:val="2"/>
        </w:numPr>
        <w:suppressAutoHyphens/>
        <w:autoSpaceDN w:val="0"/>
        <w:spacing w:after="200"/>
        <w:ind w:left="426" w:hanging="423"/>
        <w:contextualSpacing/>
        <w:textAlignment w:val="baseline"/>
        <w:rPr>
          <w:rFonts w:ascii="Times New Roman" w:eastAsia="Calibri" w:hAnsi="Times New Roman" w:cs="Times New Roman"/>
          <w:sz w:val="26"/>
          <w:szCs w:val="26"/>
        </w:rPr>
      </w:pPr>
      <w:r w:rsidRPr="00AC468E">
        <w:rPr>
          <w:rFonts w:ascii="Times New Roman" w:eastAsia="Calibri" w:hAnsi="Times New Roman" w:cs="Times New Roman"/>
          <w:sz w:val="26"/>
          <w:szCs w:val="26"/>
        </w:rPr>
        <w:t>Quels sont les gestes à faire en cas de procidence du cordon battant :</w:t>
      </w:r>
    </w:p>
    <w:p w:rsidR="00AC468E" w:rsidRPr="00AC468E" w:rsidRDefault="00AC468E" w:rsidP="00AC468E">
      <w:pPr>
        <w:numPr>
          <w:ilvl w:val="1"/>
          <w:numId w:val="2"/>
        </w:numPr>
        <w:suppressAutoHyphens/>
        <w:autoSpaceDN w:val="0"/>
        <w:spacing w:after="200"/>
        <w:ind w:left="1134" w:hanging="423"/>
        <w:contextualSpacing/>
        <w:textAlignment w:val="baseline"/>
        <w:rPr>
          <w:rFonts w:ascii="Times New Roman" w:eastAsia="Calibri" w:hAnsi="Times New Roman" w:cs="Times New Roman"/>
          <w:color w:val="FF0000"/>
          <w:sz w:val="26"/>
          <w:szCs w:val="26"/>
        </w:rPr>
      </w:pPr>
      <w:r w:rsidRPr="00AC468E">
        <w:rPr>
          <w:rFonts w:ascii="Times New Roman" w:eastAsia="Calibri" w:hAnsi="Times New Roman" w:cs="Times New Roman"/>
          <w:color w:val="FF0000"/>
          <w:sz w:val="26"/>
          <w:szCs w:val="26"/>
        </w:rPr>
        <w:t xml:space="preserve">Recouvrir le cordon avec des compresses sèches </w:t>
      </w:r>
    </w:p>
    <w:p w:rsidR="00AC468E" w:rsidRPr="00AC468E" w:rsidRDefault="00AC468E" w:rsidP="00AC468E">
      <w:pPr>
        <w:numPr>
          <w:ilvl w:val="1"/>
          <w:numId w:val="2"/>
        </w:numPr>
        <w:suppressAutoHyphens/>
        <w:autoSpaceDN w:val="0"/>
        <w:spacing w:after="200"/>
        <w:ind w:left="1134" w:hanging="423"/>
        <w:contextualSpacing/>
        <w:textAlignment w:val="baseline"/>
        <w:rPr>
          <w:rFonts w:ascii="Times New Roman" w:eastAsia="Calibri" w:hAnsi="Times New Roman" w:cs="Times New Roman"/>
          <w:color w:val="FF0000"/>
          <w:sz w:val="26"/>
          <w:szCs w:val="26"/>
        </w:rPr>
      </w:pPr>
      <w:r w:rsidRPr="00AC468E">
        <w:rPr>
          <w:rFonts w:ascii="Times New Roman" w:eastAsia="Calibri" w:hAnsi="Times New Roman" w:cs="Times New Roman"/>
          <w:color w:val="FF0000"/>
          <w:sz w:val="26"/>
          <w:szCs w:val="26"/>
        </w:rPr>
        <w:t xml:space="preserve">Installer la patiente en position de Trendelenburg </w:t>
      </w:r>
    </w:p>
    <w:p w:rsidR="00AC468E" w:rsidRPr="00AC468E" w:rsidRDefault="00AC468E" w:rsidP="00AC468E">
      <w:pPr>
        <w:numPr>
          <w:ilvl w:val="1"/>
          <w:numId w:val="2"/>
        </w:numPr>
        <w:suppressAutoHyphens/>
        <w:autoSpaceDN w:val="0"/>
        <w:spacing w:after="200"/>
        <w:ind w:left="1134" w:hanging="423"/>
        <w:contextualSpacing/>
        <w:textAlignment w:val="baseline"/>
        <w:rPr>
          <w:rFonts w:ascii="Times New Roman" w:eastAsia="Calibri" w:hAnsi="Times New Roman" w:cs="Times New Roman"/>
          <w:sz w:val="26"/>
          <w:szCs w:val="26"/>
        </w:rPr>
      </w:pPr>
      <w:r w:rsidRPr="00AC468E">
        <w:rPr>
          <w:rFonts w:ascii="Times New Roman" w:eastAsia="Calibri" w:hAnsi="Times New Roman" w:cs="Times New Roman"/>
          <w:sz w:val="26"/>
          <w:szCs w:val="26"/>
        </w:rPr>
        <w:t xml:space="preserve">Faire des TV pour surveiller la descente du fœtus </w:t>
      </w:r>
    </w:p>
    <w:p w:rsidR="00AC468E" w:rsidRPr="00AC468E" w:rsidRDefault="00AC468E" w:rsidP="00AC468E">
      <w:pPr>
        <w:numPr>
          <w:ilvl w:val="1"/>
          <w:numId w:val="2"/>
        </w:numPr>
        <w:suppressAutoHyphens/>
        <w:autoSpaceDN w:val="0"/>
        <w:spacing w:after="200"/>
        <w:ind w:left="1134" w:hanging="423"/>
        <w:contextualSpacing/>
        <w:textAlignment w:val="baseline"/>
        <w:rPr>
          <w:rFonts w:ascii="Times New Roman" w:eastAsia="Calibri" w:hAnsi="Times New Roman" w:cs="Times New Roman"/>
          <w:sz w:val="26"/>
          <w:szCs w:val="26"/>
        </w:rPr>
      </w:pPr>
      <w:r w:rsidRPr="00AC468E">
        <w:rPr>
          <w:rFonts w:ascii="Times New Roman" w:eastAsia="Calibri" w:hAnsi="Times New Roman" w:cs="Times New Roman"/>
          <w:sz w:val="26"/>
          <w:szCs w:val="26"/>
        </w:rPr>
        <w:t xml:space="preserve">Hospitaliser la patiente </w:t>
      </w:r>
    </w:p>
    <w:p w:rsidR="00AD3D89" w:rsidRPr="00DC1602" w:rsidRDefault="00AD3D89" w:rsidP="00AD3D8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Parmi les éléments suivants, lesquels ne font pas partie de la GATPA :</w:t>
      </w:r>
    </w:p>
    <w:p w:rsidR="00AD3D89" w:rsidRPr="00DC1602" w:rsidRDefault="00AD3D89" w:rsidP="00AD3D8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Massage utérin</w:t>
      </w:r>
    </w:p>
    <w:p w:rsidR="00AD3D89" w:rsidRPr="00DC1602" w:rsidRDefault="00AD3D89" w:rsidP="00AD3D8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Traction contrôlée du cordon</w:t>
      </w:r>
    </w:p>
    <w:p w:rsidR="00AD3D89" w:rsidRPr="00C9296A" w:rsidRDefault="00AD3D89" w:rsidP="00AD3D8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C9296A">
        <w:rPr>
          <w:rFonts w:ascii="Times New Roman" w:hAnsi="Times New Roman" w:cs="Times New Roman"/>
          <w:color w:val="FF0000"/>
          <w:sz w:val="26"/>
          <w:szCs w:val="26"/>
        </w:rPr>
        <w:t xml:space="preserve">Révision utérine </w:t>
      </w:r>
    </w:p>
    <w:p w:rsidR="00AD3D89" w:rsidRPr="00C9296A" w:rsidRDefault="00AD3D89" w:rsidP="00AD3D8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C9296A">
        <w:rPr>
          <w:rFonts w:ascii="Times New Roman" w:hAnsi="Times New Roman" w:cs="Times New Roman"/>
          <w:color w:val="FF0000"/>
          <w:sz w:val="26"/>
          <w:szCs w:val="26"/>
        </w:rPr>
        <w:t xml:space="preserve">Vidange vésicale </w:t>
      </w:r>
    </w:p>
    <w:p w:rsidR="00AD3D89" w:rsidRPr="00C9296A" w:rsidRDefault="00AD3D89" w:rsidP="00AD3D8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C9296A">
        <w:rPr>
          <w:rFonts w:ascii="Times New Roman" w:hAnsi="Times New Roman" w:cs="Times New Roman"/>
          <w:color w:val="FF0000"/>
          <w:sz w:val="26"/>
          <w:szCs w:val="26"/>
        </w:rPr>
        <w:t xml:space="preserve">Injection de 5UI de Syntocinon en IM </w:t>
      </w:r>
    </w:p>
    <w:p w:rsidR="00AC468E" w:rsidRPr="00AC468E" w:rsidRDefault="00AC468E">
      <w:pPr>
        <w:rPr>
          <w:rFonts w:ascii="Times New Roman" w:hAnsi="Times New Roman" w:cs="Times New Roman"/>
          <w:sz w:val="26"/>
          <w:szCs w:val="26"/>
        </w:rPr>
      </w:pPr>
    </w:p>
    <w:sectPr w:rsidR="00AC468E" w:rsidRPr="00AC468E" w:rsidSect="0073604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71BE7"/>
    <w:multiLevelType w:val="hybridMultilevel"/>
    <w:tmpl w:val="3AF64916"/>
    <w:lvl w:ilvl="0" w:tplc="D5F807C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7F6C93"/>
    <w:multiLevelType w:val="hybridMultilevel"/>
    <w:tmpl w:val="BF026958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79A4923"/>
    <w:multiLevelType w:val="multilevel"/>
    <w:tmpl w:val="346EC4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643EC3"/>
    <w:multiLevelType w:val="hybridMultilevel"/>
    <w:tmpl w:val="A5681304"/>
    <w:lvl w:ilvl="0" w:tplc="FAA2CCF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5861538"/>
    <w:multiLevelType w:val="hybridMultilevel"/>
    <w:tmpl w:val="B3624D2C"/>
    <w:lvl w:ilvl="0" w:tplc="0EFC23B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15D5140"/>
    <w:multiLevelType w:val="hybridMultilevel"/>
    <w:tmpl w:val="011A8A1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5D5692"/>
    <w:multiLevelType w:val="hybridMultilevel"/>
    <w:tmpl w:val="E9761704"/>
    <w:lvl w:ilvl="0" w:tplc="A73C33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AE623EA"/>
    <w:multiLevelType w:val="hybridMultilevel"/>
    <w:tmpl w:val="72D6EA5C"/>
    <w:lvl w:ilvl="0" w:tplc="8842C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D5616EA"/>
    <w:multiLevelType w:val="hybridMultilevel"/>
    <w:tmpl w:val="6B4E067C"/>
    <w:lvl w:ilvl="0" w:tplc="5992A5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A4550DA"/>
    <w:multiLevelType w:val="hybridMultilevel"/>
    <w:tmpl w:val="85EAC538"/>
    <w:lvl w:ilvl="0" w:tplc="1E4A7A1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7C459A6"/>
    <w:multiLevelType w:val="hybridMultilevel"/>
    <w:tmpl w:val="22BC0664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7F0E1BFB"/>
    <w:multiLevelType w:val="hybridMultilevel"/>
    <w:tmpl w:val="28CA1CC4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8"/>
  </w:num>
  <w:num w:numId="5">
    <w:abstractNumId w:val="6"/>
  </w:num>
  <w:num w:numId="6">
    <w:abstractNumId w:val="9"/>
  </w:num>
  <w:num w:numId="7">
    <w:abstractNumId w:val="7"/>
  </w:num>
  <w:num w:numId="8">
    <w:abstractNumId w:val="3"/>
  </w:num>
  <w:num w:numId="9">
    <w:abstractNumId w:val="0"/>
  </w:num>
  <w:num w:numId="10">
    <w:abstractNumId w:val="10"/>
  </w:num>
  <w:num w:numId="11">
    <w:abstractNumId w:val="5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08"/>
  <w:hyphenationZone w:val="425"/>
  <w:characterSpacingControl w:val="doNotCompress"/>
  <w:compat/>
  <w:rsids>
    <w:rsidRoot w:val="00AC468E"/>
    <w:rsid w:val="000D386C"/>
    <w:rsid w:val="001C4257"/>
    <w:rsid w:val="00641BF8"/>
    <w:rsid w:val="006628AB"/>
    <w:rsid w:val="0073604F"/>
    <w:rsid w:val="00A72ED1"/>
    <w:rsid w:val="00AC468E"/>
    <w:rsid w:val="00AD3D89"/>
    <w:rsid w:val="00C773C0"/>
    <w:rsid w:val="00C9296A"/>
    <w:rsid w:val="00C94E2C"/>
    <w:rsid w:val="00DD0E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68E"/>
    <w:pPr>
      <w:spacing w:after="0"/>
      <w:ind w:firstLine="0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C46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828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ORDI</cp:lastModifiedBy>
  <cp:revision>2</cp:revision>
  <dcterms:created xsi:type="dcterms:W3CDTF">2020-12-05T11:37:00Z</dcterms:created>
  <dcterms:modified xsi:type="dcterms:W3CDTF">2020-12-05T11:37:00Z</dcterms:modified>
</cp:coreProperties>
</file>