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A46" w:rsidRPr="00BB5A46" w:rsidRDefault="00BB5A46" w:rsidP="00BB5A46">
      <w:pPr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EVALUATION DES ELEVES INFIRMIERS </w:t>
      </w:r>
    </w:p>
    <w:p w:rsidR="00BB5A46" w:rsidRPr="00BB5A46" w:rsidRDefault="00BB5A46" w:rsidP="00BB5A46">
      <w:pPr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NIVEAU L2</w:t>
      </w:r>
    </w:p>
    <w:p w:rsidR="008020D7" w:rsidRPr="00BB5A46" w:rsidRDefault="00F1397D" w:rsidP="008020D7">
      <w:pPr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SUJET 2</w:t>
      </w:r>
    </w:p>
    <w:p w:rsidR="00BB5A46" w:rsidRDefault="00BB5A46" w:rsidP="00BB5A46">
      <w:pPr>
        <w:ind w:left="360" w:hanging="360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QUESTIONS A CHOIX DIRECT : Répondre par Vrai (V) ou Faux 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La MILDA est instituée pour la prévention de l’anémie chez la femme enceinte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La CPN du 2</w:t>
      </w:r>
      <w:r w:rsidRPr="00BB5A46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BB5A46">
        <w:rPr>
          <w:rFonts w:ascii="Times New Roman" w:hAnsi="Times New Roman" w:cs="Times New Roman"/>
          <w:sz w:val="28"/>
          <w:szCs w:val="28"/>
        </w:rPr>
        <w:t xml:space="preserve"> trimestre permet d’évaluer le pronostic d’accouchement par voie basse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Le RCF normal est compris entre 100 et 160 </w:t>
      </w:r>
      <w:proofErr w:type="spellStart"/>
      <w:r w:rsidRPr="00BB5A46">
        <w:rPr>
          <w:rFonts w:ascii="Times New Roman" w:hAnsi="Times New Roman" w:cs="Times New Roman"/>
          <w:sz w:val="28"/>
          <w:szCs w:val="28"/>
        </w:rPr>
        <w:t>bpm</w:t>
      </w:r>
      <w:proofErr w:type="spellEnd"/>
      <w:r w:rsidRPr="00BB5A46">
        <w:rPr>
          <w:rFonts w:ascii="Times New Roman" w:hAnsi="Times New Roman" w:cs="Times New Roman"/>
          <w:sz w:val="28"/>
          <w:szCs w:val="28"/>
        </w:rPr>
        <w:t xml:space="preserve">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Le traitement prophylactique anti palustre débute uniquement lorsque la femme enceinte ressent les MAF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Les facteurs de mortalité maternelle s’expliquent par les 2 retards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Dans la GEU les signes sympathiques de la grossesse sont exacerbés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Devant un avortement molaire, la sage-femme doit prendre une voie veineuse et réaliser l’AMIU après l’accord de son médecin responsable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(V)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La procidence du cordon est une chute du cordon en arrière de la présentation à membranes rompues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Le traitement de la GEU consiste en une césarienne en urgence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La GEU se définit comme l’implantation de l’œuf dans la cavité utérine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La recherche des antécédents médicaux et chirurgicaux se fait à la 2e et 3e CPN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(V)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La première échographie du premier trimestre pour la confirmation de la grossesse doit être réalisée à la 22</w:t>
      </w:r>
      <w:r w:rsidRPr="00BB5A46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BB5A46">
        <w:rPr>
          <w:rFonts w:ascii="Times New Roman" w:hAnsi="Times New Roman" w:cs="Times New Roman"/>
          <w:sz w:val="28"/>
          <w:szCs w:val="28"/>
        </w:rPr>
        <w:t xml:space="preserve"> semaine d’aménorrhée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La MAP se définit par une modification du col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(F)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Le sulfate de magnésium est le traitement de la crise d’éclampsie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(V)</w:t>
      </w:r>
    </w:p>
    <w:p w:rsidR="00BB5A46" w:rsidRPr="00BB5A46" w:rsidRDefault="00BB5A46" w:rsidP="00BB5A46">
      <w:pPr>
        <w:pStyle w:val="Paragraphedeliste"/>
        <w:numPr>
          <w:ilvl w:val="0"/>
          <w:numId w:val="1"/>
        </w:numPr>
        <w:spacing w:line="360" w:lineRule="auto"/>
        <w:ind w:left="-426" w:right="-857" w:hanging="502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Le placenta prævia fait partie des causes de métrorragies du 2</w:t>
      </w:r>
      <w:r w:rsidRPr="00BB5A46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BB5A46">
        <w:rPr>
          <w:rFonts w:ascii="Times New Roman" w:hAnsi="Times New Roman" w:cs="Times New Roman"/>
          <w:sz w:val="28"/>
          <w:szCs w:val="28"/>
        </w:rPr>
        <w:t xml:space="preserve"> trimestre </w:t>
      </w:r>
      <w:r w:rsidRPr="00BB5A46">
        <w:rPr>
          <w:rFonts w:ascii="Times New Roman" w:hAnsi="Times New Roman" w:cs="Times New Roman"/>
          <w:color w:val="FF0000"/>
          <w:sz w:val="28"/>
          <w:szCs w:val="28"/>
        </w:rPr>
        <w:t>(V)</w:t>
      </w:r>
    </w:p>
    <w:p w:rsidR="00BB5A46" w:rsidRPr="00BB5A46" w:rsidRDefault="00BB5A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br w:type="page"/>
      </w:r>
    </w:p>
    <w:p w:rsidR="00BB5A46" w:rsidRPr="00BB5A46" w:rsidRDefault="00BB5A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QUESTIONS A CHOIX MULTIPLE : C</w:t>
      </w:r>
      <w:r w:rsidR="00BA6606">
        <w:rPr>
          <w:rFonts w:ascii="Times New Roman" w:hAnsi="Times New Roman" w:cs="Times New Roman"/>
          <w:sz w:val="28"/>
          <w:szCs w:val="28"/>
        </w:rPr>
        <w:t>hoisissez la ou les bonnes réponses</w:t>
      </w:r>
    </w:p>
    <w:p w:rsidR="00BB5A46" w:rsidRPr="00BB5A46" w:rsidRDefault="00BB5A46" w:rsidP="00BA6606">
      <w:pPr>
        <w:pStyle w:val="Paragraphedeliste"/>
        <w:numPr>
          <w:ilvl w:val="0"/>
          <w:numId w:val="3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Citez les causes obstétricales directes de mortalité maternelle :</w:t>
      </w:r>
    </w:p>
    <w:p w:rsidR="00BB5A46" w:rsidRPr="00BB5A46" w:rsidRDefault="00BB5A46" w:rsidP="00BB5A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BB5A46">
        <w:rPr>
          <w:rFonts w:ascii="Times New Roman" w:hAnsi="Times New Roman" w:cs="Times New Roman"/>
          <w:color w:val="FF0000"/>
          <w:sz w:val="28"/>
          <w:szCs w:val="28"/>
        </w:rPr>
        <w:t xml:space="preserve">Hémorragie </w:t>
      </w:r>
    </w:p>
    <w:p w:rsidR="00BB5A46" w:rsidRPr="00BB5A46" w:rsidRDefault="00BB5A46" w:rsidP="00BB5A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color w:val="FF0000"/>
          <w:sz w:val="28"/>
          <w:szCs w:val="28"/>
        </w:rPr>
        <w:t>Eclampsie</w:t>
      </w:r>
      <w:r w:rsidRPr="00BB5A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5A46" w:rsidRPr="00BB5A46" w:rsidRDefault="00BB5A46" w:rsidP="00BB5A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VIH et SIDA </w:t>
      </w:r>
    </w:p>
    <w:p w:rsidR="00BB5A46" w:rsidRDefault="00BB5A46" w:rsidP="0003305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 xml:space="preserve">Paludisme </w:t>
      </w:r>
    </w:p>
    <w:p w:rsidR="00033052" w:rsidRPr="00033052" w:rsidRDefault="00033052" w:rsidP="00033052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BB5A46" w:rsidRPr="00033052" w:rsidRDefault="00BB5A46" w:rsidP="00033052">
      <w:pPr>
        <w:pStyle w:val="Paragraphedeliste"/>
        <w:numPr>
          <w:ilvl w:val="0"/>
          <w:numId w:val="3"/>
        </w:numPr>
        <w:ind w:firstLine="6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33052">
        <w:rPr>
          <w:rFonts w:ascii="Times New Roman" w:eastAsia="Calibri" w:hAnsi="Times New Roman" w:cs="Times New Roman"/>
          <w:color w:val="000000"/>
          <w:sz w:val="28"/>
          <w:szCs w:val="28"/>
        </w:rPr>
        <w:t>Quels sont les 2 éléments permettant de faire le diagnostic de l’HRP ?</w:t>
      </w:r>
    </w:p>
    <w:p w:rsidR="00BB5A46" w:rsidRPr="00BB5A46" w:rsidRDefault="00BB5A46" w:rsidP="00BA6606">
      <w:pPr>
        <w:numPr>
          <w:ilvl w:val="1"/>
          <w:numId w:val="18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Utérus de bois</w:t>
      </w:r>
    </w:p>
    <w:p w:rsidR="00BB5A46" w:rsidRPr="00BB5A46" w:rsidRDefault="00BB5A46" w:rsidP="00BA6606">
      <w:pPr>
        <w:numPr>
          <w:ilvl w:val="1"/>
          <w:numId w:val="18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Perception des parties fœtales sous la peau</w:t>
      </w:r>
    </w:p>
    <w:p w:rsidR="00BB5A46" w:rsidRPr="00BB5A46" w:rsidRDefault="00BB5A46" w:rsidP="00BA6606">
      <w:pPr>
        <w:numPr>
          <w:ilvl w:val="1"/>
          <w:numId w:val="18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Col utérin cerclé</w:t>
      </w:r>
    </w:p>
    <w:p w:rsidR="00BB5A46" w:rsidRPr="00BB5A46" w:rsidRDefault="00BB5A46" w:rsidP="00BA6606">
      <w:pPr>
        <w:numPr>
          <w:ilvl w:val="1"/>
          <w:numId w:val="18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Métrorragies rouges de moyenne abondance</w:t>
      </w:r>
    </w:p>
    <w:p w:rsidR="00BB5A46" w:rsidRDefault="00BB5A46" w:rsidP="00033052">
      <w:pPr>
        <w:numPr>
          <w:ilvl w:val="1"/>
          <w:numId w:val="18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Utérus mou</w:t>
      </w:r>
    </w:p>
    <w:p w:rsidR="00033052" w:rsidRPr="00033052" w:rsidRDefault="00033052" w:rsidP="00033052">
      <w:pPr>
        <w:spacing w:after="0" w:line="240" w:lineRule="auto"/>
        <w:ind w:left="709" w:firstLine="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hanging="76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Retrouvez 2 complications fœtales de l’anémie au cours de la grossesse</w:t>
      </w:r>
    </w:p>
    <w:p w:rsidR="00BB5A46" w:rsidRPr="00BB5A46" w:rsidRDefault="00BB5A46" w:rsidP="00BA6606">
      <w:pPr>
        <w:numPr>
          <w:ilvl w:val="1"/>
          <w:numId w:val="19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Mort fœtale in utéro</w:t>
      </w:r>
    </w:p>
    <w:p w:rsidR="00BB5A46" w:rsidRPr="00BB5A46" w:rsidRDefault="00BB5A46" w:rsidP="00BA6606">
      <w:pPr>
        <w:numPr>
          <w:ilvl w:val="1"/>
          <w:numId w:val="19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Retard de croissance in utéro</w:t>
      </w:r>
    </w:p>
    <w:p w:rsidR="00BB5A46" w:rsidRPr="00BB5A46" w:rsidRDefault="00BB5A46" w:rsidP="00BA6606">
      <w:pPr>
        <w:numPr>
          <w:ilvl w:val="1"/>
          <w:numId w:val="19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Infections urinaires </w:t>
      </w:r>
    </w:p>
    <w:p w:rsidR="00BB5A46" w:rsidRPr="00BB5A46" w:rsidRDefault="00BB5A46" w:rsidP="00BA6606">
      <w:pPr>
        <w:numPr>
          <w:ilvl w:val="1"/>
          <w:numId w:val="19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Communication interventriculaire</w:t>
      </w:r>
    </w:p>
    <w:p w:rsidR="00BB5A46" w:rsidRPr="00BB5A46" w:rsidRDefault="00BB5A46" w:rsidP="00BA6606">
      <w:pPr>
        <w:numPr>
          <w:ilvl w:val="1"/>
          <w:numId w:val="19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Macrosomie</w:t>
      </w:r>
    </w:p>
    <w:p w:rsidR="00BB5A46" w:rsidRPr="00BB5A46" w:rsidRDefault="00BB5A46" w:rsidP="00BB5A46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hanging="76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La grossesse extra-utérine est :</w:t>
      </w:r>
    </w:p>
    <w:p w:rsidR="00BB5A46" w:rsidRPr="00BB5A46" w:rsidRDefault="00BB5A46" w:rsidP="00BA6606">
      <w:pPr>
        <w:numPr>
          <w:ilvl w:val="0"/>
          <w:numId w:val="5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Une grossesse qui peut évoluer jusqu’à terme</w:t>
      </w:r>
    </w:p>
    <w:p w:rsidR="00BB5A46" w:rsidRPr="00BB5A46" w:rsidRDefault="00BB5A46" w:rsidP="00BA6606">
      <w:pPr>
        <w:numPr>
          <w:ilvl w:val="0"/>
          <w:numId w:val="5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Une prolifération anormale du trophoblaste</w:t>
      </w:r>
    </w:p>
    <w:p w:rsidR="00BB5A46" w:rsidRPr="00BB5A46" w:rsidRDefault="00BB5A46" w:rsidP="00BA6606">
      <w:pPr>
        <w:numPr>
          <w:ilvl w:val="0"/>
          <w:numId w:val="5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De localisation abdominale dans la majorité des cas</w:t>
      </w:r>
    </w:p>
    <w:p w:rsidR="00BB5A46" w:rsidRPr="00BB5A46" w:rsidRDefault="00BB5A46" w:rsidP="00BA6606">
      <w:pPr>
        <w:numPr>
          <w:ilvl w:val="0"/>
          <w:numId w:val="5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L’implantation de l’œuf en dehors de la cavité utérine</w:t>
      </w:r>
    </w:p>
    <w:p w:rsidR="00BB5A46" w:rsidRPr="00BB5A46" w:rsidRDefault="00BB5A46" w:rsidP="00BB5A46">
      <w:pPr>
        <w:ind w:left="1440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left="426" w:firstLine="0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Le traitement de première intention du paludisme au cours de la grossesse est :</w:t>
      </w:r>
    </w:p>
    <w:p w:rsidR="00BB5A46" w:rsidRPr="00BB5A46" w:rsidRDefault="00BB5A46" w:rsidP="00BA6606">
      <w:pPr>
        <w:numPr>
          <w:ilvl w:val="1"/>
          <w:numId w:val="22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La quinine</w:t>
      </w:r>
    </w:p>
    <w:p w:rsidR="00BB5A46" w:rsidRPr="00BB5A46" w:rsidRDefault="00BB5A46" w:rsidP="00BA6606">
      <w:pPr>
        <w:numPr>
          <w:ilvl w:val="1"/>
          <w:numId w:val="22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La </w:t>
      </w:r>
      <w:proofErr w:type="spellStart"/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sulfadoxine</w:t>
      </w:r>
      <w:proofErr w:type="spellEnd"/>
    </w:p>
    <w:p w:rsidR="00BB5A46" w:rsidRPr="00BB5A46" w:rsidRDefault="00BB5A46" w:rsidP="00BA6606">
      <w:pPr>
        <w:numPr>
          <w:ilvl w:val="1"/>
          <w:numId w:val="22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Les combinaisons thérapeutiques à base d’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artémisinine</w:t>
      </w:r>
      <w:proofErr w:type="spellEnd"/>
    </w:p>
    <w:p w:rsidR="00BB5A46" w:rsidRPr="00BA6606" w:rsidRDefault="00BB5A46" w:rsidP="00BA6606">
      <w:pPr>
        <w:numPr>
          <w:ilvl w:val="1"/>
          <w:numId w:val="22"/>
        </w:numPr>
        <w:spacing w:after="0" w:line="240" w:lineRule="auto"/>
        <w:ind w:left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La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Sulfadoxine</w:t>
      </w:r>
      <w:proofErr w:type="spellEnd"/>
      <w:r w:rsidRPr="00BB5A46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pyriméthamine</w:t>
      </w:r>
      <w:proofErr w:type="spellEnd"/>
    </w:p>
    <w:p w:rsidR="00BB5A46" w:rsidRPr="00BB5A46" w:rsidRDefault="00BB5A46" w:rsidP="00BB5A46">
      <w:pPr>
        <w:ind w:left="1440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firstLine="66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La prévention du paludisme au cours de la grossesse repose sur 2 des axes suivants :</w:t>
      </w:r>
    </w:p>
    <w:p w:rsidR="00BB5A46" w:rsidRPr="00BB5A46" w:rsidRDefault="00BB5A46" w:rsidP="00BA6606">
      <w:pPr>
        <w:numPr>
          <w:ilvl w:val="1"/>
          <w:numId w:val="23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L’utilisation de la MILDA</w:t>
      </w:r>
    </w:p>
    <w:p w:rsidR="00BB5A46" w:rsidRPr="00BB5A46" w:rsidRDefault="00BB5A46" w:rsidP="00BA6606">
      <w:pPr>
        <w:numPr>
          <w:ilvl w:val="1"/>
          <w:numId w:val="23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La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chimioprophylaxie</w:t>
      </w:r>
      <w:proofErr w:type="spellEnd"/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 par la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Méfloquine</w:t>
      </w:r>
      <w:proofErr w:type="spellEnd"/>
    </w:p>
    <w:p w:rsidR="00BB5A46" w:rsidRPr="00BB5A46" w:rsidRDefault="00BB5A46" w:rsidP="00BA6606">
      <w:pPr>
        <w:numPr>
          <w:ilvl w:val="1"/>
          <w:numId w:val="23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La lutte anti vectorielle par insecticide</w:t>
      </w:r>
    </w:p>
    <w:p w:rsidR="00BB5A46" w:rsidRPr="00BB5A46" w:rsidRDefault="00BB5A46" w:rsidP="00BA6606">
      <w:pPr>
        <w:numPr>
          <w:ilvl w:val="1"/>
          <w:numId w:val="23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La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chimioprophylaxie</w:t>
      </w:r>
      <w:proofErr w:type="spellEnd"/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 à l’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Artéméther</w:t>
      </w:r>
      <w:proofErr w:type="spellEnd"/>
      <w:r w:rsidRPr="00BB5A46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Luméfantrine</w:t>
      </w:r>
      <w:proofErr w:type="spellEnd"/>
    </w:p>
    <w:p w:rsidR="00BB5A46" w:rsidRPr="00033052" w:rsidRDefault="00BB5A46" w:rsidP="00033052">
      <w:pPr>
        <w:numPr>
          <w:ilvl w:val="1"/>
          <w:numId w:val="23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La 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chimioprophylaxie</w:t>
      </w:r>
      <w:proofErr w:type="spellEnd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à la 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Sulfadoxine</w:t>
      </w:r>
      <w:proofErr w:type="spellEnd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-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Pyrimétamine</w:t>
      </w:r>
      <w:proofErr w:type="spellEnd"/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firstLine="66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Parmi les propositions suivantes, laquelle fait partie des facteurs de risque de l’hémorragie de la délivrance :</w:t>
      </w:r>
    </w:p>
    <w:p w:rsidR="00BB5A46" w:rsidRPr="00BB5A46" w:rsidRDefault="00BB5A46" w:rsidP="00BA6606">
      <w:pPr>
        <w:numPr>
          <w:ilvl w:val="0"/>
          <w:numId w:val="4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Antécédent d’hémorragie de la délivrance</w:t>
      </w:r>
    </w:p>
    <w:p w:rsidR="00BB5A46" w:rsidRPr="00BB5A46" w:rsidRDefault="00BB5A46" w:rsidP="00BA6606">
      <w:pPr>
        <w:numPr>
          <w:ilvl w:val="0"/>
          <w:numId w:val="4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Primiparité</w:t>
      </w:r>
    </w:p>
    <w:p w:rsidR="00BB5A46" w:rsidRPr="00BB5A46" w:rsidRDefault="00BB5A46" w:rsidP="00BA6606">
      <w:pPr>
        <w:numPr>
          <w:ilvl w:val="0"/>
          <w:numId w:val="4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Grossesse extra utérine</w:t>
      </w:r>
    </w:p>
    <w:p w:rsidR="00BB5A46" w:rsidRDefault="00BB5A46" w:rsidP="00033052">
      <w:pPr>
        <w:numPr>
          <w:ilvl w:val="0"/>
          <w:numId w:val="4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Prématurité</w:t>
      </w:r>
    </w:p>
    <w:p w:rsidR="00033052" w:rsidRPr="00033052" w:rsidRDefault="00033052" w:rsidP="00033052">
      <w:pPr>
        <w:spacing w:after="0" w:line="240" w:lineRule="auto"/>
        <w:ind w:left="851" w:firstLine="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BB5A46" w:rsidRPr="00BB5A46" w:rsidRDefault="00BB5A46" w:rsidP="00033052">
      <w:pPr>
        <w:pStyle w:val="Paragraphedeliste"/>
        <w:numPr>
          <w:ilvl w:val="0"/>
          <w:numId w:val="3"/>
        </w:numPr>
        <w:ind w:left="78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Identifiez 2 gestes Une hauteur utérine excessive peut faire évoquer tous les diagnostics suivants sauf un :</w:t>
      </w:r>
    </w:p>
    <w:p w:rsidR="00BB5A46" w:rsidRPr="00BB5A46" w:rsidRDefault="00BB5A46" w:rsidP="00BA6606">
      <w:pPr>
        <w:numPr>
          <w:ilvl w:val="1"/>
          <w:numId w:val="25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Une hydrocéphalie fœtale</w:t>
      </w:r>
    </w:p>
    <w:p w:rsidR="00BB5A46" w:rsidRPr="00BB5A46" w:rsidRDefault="00BB5A46" w:rsidP="00BA6606">
      <w:pPr>
        <w:numPr>
          <w:ilvl w:val="1"/>
          <w:numId w:val="25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Une grossesse extra-utérine</w:t>
      </w:r>
    </w:p>
    <w:p w:rsidR="00BB5A46" w:rsidRPr="00BB5A46" w:rsidRDefault="00BB5A46" w:rsidP="00BA6606">
      <w:pPr>
        <w:numPr>
          <w:ilvl w:val="1"/>
          <w:numId w:val="25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Un fibrome associé à une grossesse</w:t>
      </w:r>
    </w:p>
    <w:p w:rsidR="00BB5A46" w:rsidRDefault="00BB5A46" w:rsidP="00BA6606">
      <w:pPr>
        <w:numPr>
          <w:ilvl w:val="1"/>
          <w:numId w:val="25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Un hydramnios</w:t>
      </w:r>
    </w:p>
    <w:p w:rsidR="00033052" w:rsidRPr="00BB5A46" w:rsidRDefault="00033052" w:rsidP="00033052">
      <w:pPr>
        <w:spacing w:after="0" w:line="240" w:lineRule="auto"/>
        <w:ind w:left="851" w:firstLine="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firstLine="66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="0003305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Les gestes </w:t>
      </w: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essentiels de la réanimation néonatale sont</w:t>
      </w:r>
    </w:p>
    <w:p w:rsidR="00BB5A46" w:rsidRPr="00BB5A46" w:rsidRDefault="00BB5A46" w:rsidP="00BA6606">
      <w:pPr>
        <w:numPr>
          <w:ilvl w:val="1"/>
          <w:numId w:val="26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Aspiration des voies aériennes</w:t>
      </w:r>
    </w:p>
    <w:p w:rsidR="00BB5A46" w:rsidRPr="00BB5A46" w:rsidRDefault="00BB5A46" w:rsidP="00BA6606">
      <w:pPr>
        <w:numPr>
          <w:ilvl w:val="1"/>
          <w:numId w:val="26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Toilette à la </w:t>
      </w:r>
      <w:proofErr w:type="spellStart"/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chlorexidine</w:t>
      </w:r>
      <w:proofErr w:type="spellEnd"/>
    </w:p>
    <w:p w:rsidR="00BB5A46" w:rsidRPr="00BB5A46" w:rsidRDefault="00BB5A46" w:rsidP="00BA6606">
      <w:pPr>
        <w:numPr>
          <w:ilvl w:val="1"/>
          <w:numId w:val="26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Réchauffement sous lampe chauffante</w:t>
      </w:r>
    </w:p>
    <w:p w:rsidR="00BB5A46" w:rsidRPr="00BB5A46" w:rsidRDefault="00BB5A46" w:rsidP="00BA6606">
      <w:pPr>
        <w:numPr>
          <w:ilvl w:val="1"/>
          <w:numId w:val="26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Ventilation à l’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ambu</w:t>
      </w:r>
      <w:proofErr w:type="spellEnd"/>
    </w:p>
    <w:p w:rsidR="00BB5A46" w:rsidRPr="00BB5A46" w:rsidRDefault="00BB5A46" w:rsidP="00BA6606">
      <w:pPr>
        <w:numPr>
          <w:ilvl w:val="1"/>
          <w:numId w:val="26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Massage cardiaque</w:t>
      </w:r>
    </w:p>
    <w:p w:rsidR="00BB5A46" w:rsidRPr="00BB5A46" w:rsidRDefault="00BB5A46" w:rsidP="00BB5A46">
      <w:pPr>
        <w:rPr>
          <w:rFonts w:ascii="Times New Roman" w:hAnsi="Times New Roman" w:cs="Times New Roman"/>
          <w:sz w:val="28"/>
          <w:szCs w:val="28"/>
        </w:rPr>
      </w:pPr>
    </w:p>
    <w:p w:rsidR="00BB5A46" w:rsidRPr="00BB5A46" w:rsidRDefault="00BB5A46" w:rsidP="00BB5A46">
      <w:pPr>
        <w:rPr>
          <w:rFonts w:ascii="Times New Roman" w:hAnsi="Times New Roman" w:cs="Times New Roman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left="851" w:hanging="425"/>
        <w:contextualSpacing/>
        <w:outlineLvl w:val="0"/>
        <w:rPr>
          <w:rFonts w:ascii="Times New Roman" w:eastAsia="Calibri" w:hAnsi="Times New Roman" w:cs="Times New Roman"/>
          <w:b/>
          <w:color w:val="000000"/>
          <w:sz w:val="28"/>
          <w:szCs w:val="28"/>
          <w:u w:val="single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La GATPA comporte 3 phases/ cocher les réponses fausses</w:t>
      </w:r>
    </w:p>
    <w:p w:rsidR="00BB5A46" w:rsidRPr="00BB5A46" w:rsidRDefault="00BB5A46" w:rsidP="00BA6606">
      <w:pPr>
        <w:numPr>
          <w:ilvl w:val="0"/>
          <w:numId w:val="27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L’injection de 10UI en IM de 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Syntocinon</w:t>
      </w:r>
      <w:proofErr w:type="spellEnd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</w:t>
      </w:r>
    </w:p>
    <w:p w:rsidR="00BB5A46" w:rsidRPr="00BB5A46" w:rsidRDefault="00BB5A46" w:rsidP="00BA6606">
      <w:pPr>
        <w:numPr>
          <w:ilvl w:val="0"/>
          <w:numId w:val="27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La vidange vésicale</w:t>
      </w:r>
    </w:p>
    <w:p w:rsidR="00BB5A46" w:rsidRPr="00BB5A46" w:rsidRDefault="00BB5A46" w:rsidP="00BA6606">
      <w:pPr>
        <w:numPr>
          <w:ilvl w:val="0"/>
          <w:numId w:val="27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La TCC </w:t>
      </w:r>
    </w:p>
    <w:p w:rsidR="00BB5A46" w:rsidRPr="00BB5A46" w:rsidRDefault="00BB5A46" w:rsidP="00BA6606">
      <w:pPr>
        <w:numPr>
          <w:ilvl w:val="0"/>
          <w:numId w:val="27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Le massage utérin </w:t>
      </w:r>
    </w:p>
    <w:p w:rsidR="00BB5A46" w:rsidRPr="00BB5A46" w:rsidRDefault="00BB5A46" w:rsidP="00BA6606">
      <w:pPr>
        <w:numPr>
          <w:ilvl w:val="0"/>
          <w:numId w:val="27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L’injection de 10UI en IV de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Syntocinon</w:t>
      </w:r>
      <w:proofErr w:type="spellEnd"/>
    </w:p>
    <w:p w:rsidR="00BB5A46" w:rsidRPr="00BB5A46" w:rsidRDefault="00BB5A46" w:rsidP="00BB5A46">
      <w:pPr>
        <w:ind w:left="720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after="0" w:line="240" w:lineRule="auto"/>
        <w:ind w:left="851" w:hanging="425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Les gestes contemporains à la délivrance sont : trouvez les deux réponses exactes</w:t>
      </w:r>
    </w:p>
    <w:p w:rsidR="00BB5A46" w:rsidRPr="00BB5A46" w:rsidRDefault="00BB5A46" w:rsidP="00BA6606">
      <w:pPr>
        <w:numPr>
          <w:ilvl w:val="0"/>
          <w:numId w:val="28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Examen des voies génitales </w:t>
      </w:r>
    </w:p>
    <w:p w:rsidR="00BB5A46" w:rsidRPr="00BB5A46" w:rsidRDefault="00BB5A46" w:rsidP="00BA6606">
      <w:pPr>
        <w:numPr>
          <w:ilvl w:val="0"/>
          <w:numId w:val="28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Examen du placenta et des membranes </w:t>
      </w:r>
    </w:p>
    <w:p w:rsidR="00BB5A46" w:rsidRPr="00BB5A46" w:rsidRDefault="00BB5A46" w:rsidP="00BA6606">
      <w:pPr>
        <w:numPr>
          <w:ilvl w:val="0"/>
          <w:numId w:val="28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Assurer la surveillance stricte dans les 6h du post partum </w:t>
      </w:r>
    </w:p>
    <w:p w:rsidR="00BB5A46" w:rsidRPr="00BB5A46" w:rsidRDefault="00BB5A46" w:rsidP="00BA6606">
      <w:pPr>
        <w:numPr>
          <w:ilvl w:val="0"/>
          <w:numId w:val="28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Faire une révision utérine systématiquement </w:t>
      </w:r>
    </w:p>
    <w:p w:rsidR="00BB5A46" w:rsidRPr="00BB5A46" w:rsidRDefault="00BB5A46" w:rsidP="00BA6606">
      <w:pPr>
        <w:numPr>
          <w:ilvl w:val="0"/>
          <w:numId w:val="28"/>
        </w:numPr>
        <w:spacing w:after="0" w:line="240" w:lineRule="auto"/>
        <w:ind w:left="851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Assurer la vidange vésicale</w:t>
      </w:r>
    </w:p>
    <w:p w:rsidR="00BB5A46" w:rsidRDefault="00BB5A46" w:rsidP="00BB5A46">
      <w:pPr>
        <w:rPr>
          <w:rFonts w:ascii="Times New Roman" w:hAnsi="Times New Roman" w:cs="Times New Roman"/>
          <w:sz w:val="28"/>
          <w:szCs w:val="28"/>
        </w:rPr>
      </w:pPr>
    </w:p>
    <w:p w:rsidR="00BA6606" w:rsidRDefault="00BA6606" w:rsidP="00BB5A46">
      <w:pPr>
        <w:rPr>
          <w:rFonts w:ascii="Times New Roman" w:hAnsi="Times New Roman" w:cs="Times New Roman"/>
          <w:sz w:val="28"/>
          <w:szCs w:val="28"/>
        </w:rPr>
      </w:pPr>
    </w:p>
    <w:p w:rsidR="00033052" w:rsidRPr="00BB5A46" w:rsidRDefault="00033052" w:rsidP="00BB5A46">
      <w:pPr>
        <w:rPr>
          <w:rFonts w:ascii="Times New Roman" w:hAnsi="Times New Roman" w:cs="Times New Roman"/>
          <w:sz w:val="28"/>
          <w:szCs w:val="28"/>
        </w:rPr>
      </w:pPr>
    </w:p>
    <w:p w:rsidR="00BB5A46" w:rsidRPr="00033052" w:rsidRDefault="00BB5A46" w:rsidP="00033052">
      <w:pPr>
        <w:pStyle w:val="Paragraphedeliste"/>
        <w:numPr>
          <w:ilvl w:val="0"/>
          <w:numId w:val="3"/>
        </w:numPr>
        <w:ind w:hanging="76"/>
        <w:rPr>
          <w:rFonts w:ascii="Times New Roman" w:eastAsia="Calibri" w:hAnsi="Times New Roman" w:cs="Times New Roman"/>
          <w:sz w:val="28"/>
          <w:szCs w:val="28"/>
        </w:rPr>
      </w:pPr>
      <w:r w:rsidRPr="00033052">
        <w:rPr>
          <w:rFonts w:ascii="Times New Roman" w:eastAsia="Calibri" w:hAnsi="Times New Roman" w:cs="Times New Roman"/>
          <w:sz w:val="28"/>
          <w:szCs w:val="28"/>
        </w:rPr>
        <w:lastRenderedPageBreak/>
        <w:t>Citez 2 causes obstétricales indirectes de mortalité maternelle :</w:t>
      </w:r>
    </w:p>
    <w:p w:rsidR="00BB5A46" w:rsidRPr="00BB5A46" w:rsidRDefault="00BB5A46" w:rsidP="00BA6606">
      <w:pPr>
        <w:numPr>
          <w:ilvl w:val="0"/>
          <w:numId w:val="9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Hémorragie </w:t>
      </w:r>
    </w:p>
    <w:p w:rsidR="00BB5A46" w:rsidRPr="00BB5A46" w:rsidRDefault="00BB5A46" w:rsidP="00BA6606">
      <w:pPr>
        <w:numPr>
          <w:ilvl w:val="0"/>
          <w:numId w:val="9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Eclampsie </w:t>
      </w:r>
    </w:p>
    <w:p w:rsidR="00BB5A46" w:rsidRPr="00BB5A46" w:rsidRDefault="00BB5A46" w:rsidP="00BA6606">
      <w:pPr>
        <w:numPr>
          <w:ilvl w:val="0"/>
          <w:numId w:val="9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VIH et SIDA </w:t>
      </w:r>
    </w:p>
    <w:p w:rsidR="00BB5A46" w:rsidRPr="00BB5A46" w:rsidRDefault="00BB5A46" w:rsidP="00BA6606">
      <w:pPr>
        <w:numPr>
          <w:ilvl w:val="0"/>
          <w:numId w:val="9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Paludisme </w:t>
      </w:r>
    </w:p>
    <w:p w:rsidR="00BB5A46" w:rsidRPr="00BB5A46" w:rsidRDefault="00BB5A46" w:rsidP="00BA6606">
      <w:pPr>
        <w:numPr>
          <w:ilvl w:val="0"/>
          <w:numId w:val="9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Avortement provoqué</w:t>
      </w:r>
    </w:p>
    <w:p w:rsidR="00BB5A46" w:rsidRPr="00BB5A46" w:rsidRDefault="00BB5A46" w:rsidP="00BB5A46">
      <w:pPr>
        <w:ind w:left="720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Citez deux causes fœtales de prématurité</w:t>
      </w:r>
    </w:p>
    <w:p w:rsidR="00BB5A46" w:rsidRPr="00BB5A46" w:rsidRDefault="00BB5A46" w:rsidP="00033052">
      <w:pPr>
        <w:numPr>
          <w:ilvl w:val="1"/>
          <w:numId w:val="3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Hydramnios </w:t>
      </w:r>
    </w:p>
    <w:p w:rsidR="00BB5A46" w:rsidRPr="00BB5A46" w:rsidRDefault="00BB5A46" w:rsidP="00033052">
      <w:pPr>
        <w:numPr>
          <w:ilvl w:val="1"/>
          <w:numId w:val="3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Grossesse multiple </w:t>
      </w:r>
    </w:p>
    <w:p w:rsidR="00BB5A46" w:rsidRPr="00BB5A46" w:rsidRDefault="00BB5A46" w:rsidP="00033052">
      <w:pPr>
        <w:numPr>
          <w:ilvl w:val="1"/>
          <w:numId w:val="3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Anémie </w:t>
      </w:r>
    </w:p>
    <w:p w:rsidR="00BB5A46" w:rsidRPr="00BB5A46" w:rsidRDefault="00BB5A46" w:rsidP="00033052">
      <w:pPr>
        <w:numPr>
          <w:ilvl w:val="1"/>
          <w:numId w:val="3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HTA</w:t>
      </w:r>
    </w:p>
    <w:p w:rsidR="00BB5A46" w:rsidRPr="00BB5A46" w:rsidRDefault="00BB5A46" w:rsidP="00033052">
      <w:pPr>
        <w:numPr>
          <w:ilvl w:val="1"/>
          <w:numId w:val="3"/>
        </w:numPr>
        <w:spacing w:line="240" w:lineRule="auto"/>
        <w:ind w:left="1134"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Diabète maternel</w:t>
      </w:r>
    </w:p>
    <w:p w:rsidR="00BB5A46" w:rsidRPr="00BB5A46" w:rsidRDefault="00BB5A46" w:rsidP="00BB5A46">
      <w:pPr>
        <w:ind w:left="1440"/>
        <w:rPr>
          <w:rFonts w:ascii="Times New Roman" w:eastAsia="Calibri" w:hAnsi="Times New Roman" w:cs="Times New Roman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line="240" w:lineRule="auto"/>
        <w:ind w:hanging="357"/>
        <w:contextualSpacing/>
        <w:rPr>
          <w:rFonts w:ascii="Times New Roman" w:eastAsia="Arial Unicode MS" w:hAnsi="Times New Roman" w:cs="Times New Roman"/>
          <w:bCs/>
          <w:sz w:val="28"/>
          <w:szCs w:val="28"/>
        </w:rPr>
      </w:pPr>
      <w:r w:rsidRPr="00BB5A46">
        <w:rPr>
          <w:rFonts w:ascii="Times New Roman" w:eastAsia="Arial Unicode MS" w:hAnsi="Times New Roman" w:cs="Times New Roman"/>
          <w:bCs/>
          <w:sz w:val="28"/>
          <w:szCs w:val="28"/>
        </w:rPr>
        <w:t>La prise de poids normale au cours de la grossesse ne doit pas excéder :</w:t>
      </w:r>
    </w:p>
    <w:p w:rsidR="00BB5A46" w:rsidRPr="00BB5A46" w:rsidRDefault="00BB5A46" w:rsidP="00BA6606">
      <w:pPr>
        <w:numPr>
          <w:ilvl w:val="0"/>
          <w:numId w:val="10"/>
        </w:numPr>
        <w:spacing w:line="240" w:lineRule="auto"/>
        <w:ind w:left="1134" w:hanging="357"/>
        <w:contextualSpacing/>
        <w:rPr>
          <w:rFonts w:ascii="Times New Roman" w:eastAsia="Arial Unicode MS" w:hAnsi="Times New Roman" w:cs="Times New Roman"/>
          <w:bCs/>
          <w:sz w:val="28"/>
          <w:szCs w:val="28"/>
        </w:rPr>
      </w:pPr>
      <w:r w:rsidRPr="00BB5A46">
        <w:rPr>
          <w:rFonts w:ascii="Times New Roman" w:eastAsia="Arial Unicode MS" w:hAnsi="Times New Roman" w:cs="Times New Roman"/>
          <w:bCs/>
          <w:sz w:val="28"/>
          <w:szCs w:val="28"/>
        </w:rPr>
        <w:t xml:space="preserve">20 </w:t>
      </w:r>
      <w:proofErr w:type="spellStart"/>
      <w:r w:rsidRPr="00BB5A46">
        <w:rPr>
          <w:rFonts w:ascii="Times New Roman" w:eastAsia="Arial Unicode MS" w:hAnsi="Times New Roman" w:cs="Times New Roman"/>
          <w:bCs/>
          <w:sz w:val="28"/>
          <w:szCs w:val="28"/>
        </w:rPr>
        <w:t>kgrs</w:t>
      </w:r>
      <w:proofErr w:type="spellEnd"/>
    </w:p>
    <w:p w:rsidR="00BB5A46" w:rsidRPr="00BB5A46" w:rsidRDefault="00BB5A46" w:rsidP="00BA6606">
      <w:pPr>
        <w:numPr>
          <w:ilvl w:val="0"/>
          <w:numId w:val="10"/>
        </w:numPr>
        <w:spacing w:line="240" w:lineRule="auto"/>
        <w:ind w:left="1134" w:hanging="357"/>
        <w:contextualSpacing/>
        <w:rPr>
          <w:rFonts w:ascii="Times New Roman" w:eastAsia="Arial Unicode MS" w:hAnsi="Times New Roman" w:cs="Times New Roman"/>
          <w:bCs/>
          <w:sz w:val="28"/>
          <w:szCs w:val="28"/>
        </w:rPr>
      </w:pPr>
      <w:r w:rsidRPr="00BB5A46">
        <w:rPr>
          <w:rFonts w:ascii="Times New Roman" w:eastAsia="Arial Unicode MS" w:hAnsi="Times New Roman" w:cs="Times New Roman"/>
          <w:bCs/>
          <w:sz w:val="28"/>
          <w:szCs w:val="28"/>
        </w:rPr>
        <w:t xml:space="preserve">16 </w:t>
      </w:r>
      <w:proofErr w:type="spellStart"/>
      <w:r w:rsidRPr="00BB5A46">
        <w:rPr>
          <w:rFonts w:ascii="Times New Roman" w:eastAsia="Arial Unicode MS" w:hAnsi="Times New Roman" w:cs="Times New Roman"/>
          <w:bCs/>
          <w:sz w:val="28"/>
          <w:szCs w:val="28"/>
        </w:rPr>
        <w:t>kgrs</w:t>
      </w:r>
      <w:proofErr w:type="spellEnd"/>
    </w:p>
    <w:p w:rsidR="00BB5A46" w:rsidRPr="00BB5A46" w:rsidRDefault="00BB5A46" w:rsidP="00BA6606">
      <w:pPr>
        <w:numPr>
          <w:ilvl w:val="0"/>
          <w:numId w:val="10"/>
        </w:numPr>
        <w:spacing w:line="240" w:lineRule="auto"/>
        <w:ind w:left="1134" w:hanging="357"/>
        <w:contextualSpacing/>
        <w:rPr>
          <w:rFonts w:ascii="Times New Roman" w:eastAsia="Arial Unicode MS" w:hAnsi="Times New Roman" w:cs="Times New Roman"/>
          <w:bCs/>
          <w:color w:val="FF0000"/>
          <w:sz w:val="28"/>
          <w:szCs w:val="28"/>
        </w:rPr>
      </w:pPr>
      <w:r w:rsidRPr="00BB5A46">
        <w:rPr>
          <w:rFonts w:ascii="Times New Roman" w:eastAsia="Arial Unicode MS" w:hAnsi="Times New Roman" w:cs="Times New Roman"/>
          <w:bCs/>
          <w:color w:val="FF0000"/>
          <w:sz w:val="28"/>
          <w:szCs w:val="28"/>
        </w:rPr>
        <w:t xml:space="preserve">12 </w:t>
      </w:r>
      <w:proofErr w:type="spellStart"/>
      <w:r w:rsidRPr="00BB5A46">
        <w:rPr>
          <w:rFonts w:ascii="Times New Roman" w:eastAsia="Arial Unicode MS" w:hAnsi="Times New Roman" w:cs="Times New Roman"/>
          <w:bCs/>
          <w:color w:val="FF0000"/>
          <w:sz w:val="28"/>
          <w:szCs w:val="28"/>
        </w:rPr>
        <w:t>kgrs</w:t>
      </w:r>
      <w:proofErr w:type="spellEnd"/>
    </w:p>
    <w:p w:rsidR="00BB5A46" w:rsidRPr="00BB5A46" w:rsidRDefault="00BB5A46" w:rsidP="00BA6606">
      <w:pPr>
        <w:numPr>
          <w:ilvl w:val="0"/>
          <w:numId w:val="10"/>
        </w:numPr>
        <w:spacing w:line="240" w:lineRule="auto"/>
        <w:ind w:left="1134" w:hanging="357"/>
        <w:contextualSpacing/>
        <w:rPr>
          <w:rFonts w:ascii="Times New Roman" w:eastAsia="Arial Unicode MS" w:hAnsi="Times New Roman" w:cs="Times New Roman"/>
          <w:bCs/>
          <w:color w:val="000000"/>
          <w:sz w:val="28"/>
          <w:szCs w:val="28"/>
        </w:rPr>
      </w:pPr>
      <w:r w:rsidRPr="00BB5A46">
        <w:rPr>
          <w:rFonts w:ascii="Times New Roman" w:eastAsia="Arial Unicode MS" w:hAnsi="Times New Roman" w:cs="Times New Roman"/>
          <w:bCs/>
          <w:color w:val="000000"/>
          <w:sz w:val="28"/>
          <w:szCs w:val="28"/>
        </w:rPr>
        <w:t xml:space="preserve">10 </w:t>
      </w:r>
      <w:proofErr w:type="spellStart"/>
      <w:r w:rsidRPr="00BB5A46">
        <w:rPr>
          <w:rFonts w:ascii="Times New Roman" w:eastAsia="Arial Unicode MS" w:hAnsi="Times New Roman" w:cs="Times New Roman"/>
          <w:bCs/>
          <w:color w:val="000000"/>
          <w:sz w:val="28"/>
          <w:szCs w:val="28"/>
        </w:rPr>
        <w:t>Kgrs</w:t>
      </w:r>
      <w:proofErr w:type="spellEnd"/>
    </w:p>
    <w:p w:rsidR="00BB5A46" w:rsidRPr="00BB5A46" w:rsidRDefault="00BB5A46" w:rsidP="00BB5A46">
      <w:pPr>
        <w:ind w:left="1134"/>
        <w:rPr>
          <w:rFonts w:ascii="Times New Roman" w:eastAsia="Arial Unicode MS" w:hAnsi="Times New Roman" w:cs="Times New Roman"/>
          <w:bCs/>
          <w:color w:val="FF0000"/>
          <w:sz w:val="28"/>
          <w:szCs w:val="28"/>
        </w:rPr>
      </w:pPr>
    </w:p>
    <w:p w:rsidR="00BB5A46" w:rsidRPr="00BB5A46" w:rsidRDefault="00BB5A46" w:rsidP="00BB5A46">
      <w:pPr>
        <w:rPr>
          <w:rFonts w:ascii="Times New Roman" w:eastAsia="Arial Unicode MS" w:hAnsi="Times New Roman" w:cs="Times New Roman"/>
          <w:bCs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Dans les 2 pathologies suivantes la myomectomie est un facteur favorisant :</w:t>
      </w:r>
    </w:p>
    <w:p w:rsidR="00BB5A46" w:rsidRPr="00BB5A46" w:rsidRDefault="00BB5A46" w:rsidP="00BA6606">
      <w:pPr>
        <w:numPr>
          <w:ilvl w:val="0"/>
          <w:numId w:val="11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Le placenta </w:t>
      </w:r>
      <w:proofErr w:type="spellStart"/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praevia</w:t>
      </w:r>
      <w:proofErr w:type="spellEnd"/>
    </w:p>
    <w:p w:rsidR="00BB5A46" w:rsidRPr="00BB5A46" w:rsidRDefault="00BB5A46" w:rsidP="00BA6606">
      <w:pPr>
        <w:numPr>
          <w:ilvl w:val="0"/>
          <w:numId w:val="11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L’hématome retro placentaire</w:t>
      </w:r>
    </w:p>
    <w:p w:rsidR="00BB5A46" w:rsidRPr="00BB5A46" w:rsidRDefault="00BB5A46" w:rsidP="00BA6606">
      <w:pPr>
        <w:numPr>
          <w:ilvl w:val="0"/>
          <w:numId w:val="11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La rupture utérine</w:t>
      </w:r>
    </w:p>
    <w:p w:rsidR="00BB5A46" w:rsidRPr="00BB5A46" w:rsidRDefault="00BB5A46" w:rsidP="00BA6606">
      <w:pPr>
        <w:numPr>
          <w:ilvl w:val="0"/>
          <w:numId w:val="11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La rupture prématurée des membranes</w:t>
      </w:r>
    </w:p>
    <w:p w:rsidR="00BB5A46" w:rsidRPr="00BB5A46" w:rsidRDefault="00BB5A46" w:rsidP="00BA6606">
      <w:pPr>
        <w:numPr>
          <w:ilvl w:val="0"/>
          <w:numId w:val="11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Grossesse extra-utérine</w:t>
      </w:r>
    </w:p>
    <w:p w:rsidR="00BB5A46" w:rsidRPr="00BB5A46" w:rsidRDefault="00BB5A46" w:rsidP="00BB5A46">
      <w:pPr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:rsidR="00BB5A46" w:rsidRPr="00BB5A46" w:rsidRDefault="00BB5A46" w:rsidP="00BB5A46">
      <w:pPr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Quels sont les signes cliniques en défaveur d’une GEU ?</w:t>
      </w:r>
    </w:p>
    <w:p w:rsidR="00BB5A46" w:rsidRPr="00BB5A46" w:rsidRDefault="00BB5A46" w:rsidP="00BA6606">
      <w:pPr>
        <w:numPr>
          <w:ilvl w:val="0"/>
          <w:numId w:val="12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L’utérus est augmenté de volume</w:t>
      </w:r>
    </w:p>
    <w:p w:rsidR="00BB5A46" w:rsidRPr="00BB5A46" w:rsidRDefault="00BB5A46" w:rsidP="00BA6606">
      <w:pPr>
        <w:numPr>
          <w:ilvl w:val="0"/>
          <w:numId w:val="12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Des métrorragies minimes sépia</w:t>
      </w:r>
    </w:p>
    <w:p w:rsidR="00BB5A46" w:rsidRPr="00BB5A46" w:rsidRDefault="00BB5A46" w:rsidP="00BA6606">
      <w:pPr>
        <w:numPr>
          <w:ilvl w:val="0"/>
          <w:numId w:val="12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L’œuf est perçu sous la peau </w:t>
      </w:r>
    </w:p>
    <w:p w:rsidR="00BB5A46" w:rsidRPr="00BB5A46" w:rsidRDefault="00BB5A46" w:rsidP="00BA6606">
      <w:pPr>
        <w:numPr>
          <w:ilvl w:val="0"/>
          <w:numId w:val="12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Masse </w:t>
      </w:r>
      <w:proofErr w:type="spellStart"/>
      <w:r w:rsidRPr="00BB5A46">
        <w:rPr>
          <w:rFonts w:ascii="Times New Roman" w:eastAsia="Calibri" w:hAnsi="Times New Roman" w:cs="Times New Roman"/>
          <w:sz w:val="28"/>
          <w:szCs w:val="28"/>
        </w:rPr>
        <w:t>latéro</w:t>
      </w:r>
      <w:proofErr w:type="spellEnd"/>
      <w:r w:rsidRPr="00BB5A46">
        <w:rPr>
          <w:rFonts w:ascii="Times New Roman" w:eastAsia="Calibri" w:hAnsi="Times New Roman" w:cs="Times New Roman"/>
          <w:sz w:val="28"/>
          <w:szCs w:val="28"/>
        </w:rPr>
        <w:t>-utérine</w:t>
      </w:r>
    </w:p>
    <w:p w:rsidR="00BB5A46" w:rsidRPr="00BB5A46" w:rsidRDefault="00BB5A46" w:rsidP="00BA6606">
      <w:pPr>
        <w:numPr>
          <w:ilvl w:val="0"/>
          <w:numId w:val="12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>Algies pelviennes</w:t>
      </w:r>
    </w:p>
    <w:p w:rsidR="00BB5A46" w:rsidRPr="00BB5A46" w:rsidRDefault="00BB5A46" w:rsidP="00BB5A46">
      <w:pPr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:rsidR="00BB5A46" w:rsidRPr="00BB5A46" w:rsidRDefault="00BB5A46" w:rsidP="00033052">
      <w:pPr>
        <w:numPr>
          <w:ilvl w:val="0"/>
          <w:numId w:val="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Les objectifs de la 2eme CPN sont : cocher la réponse fausse</w:t>
      </w:r>
    </w:p>
    <w:p w:rsidR="00BB5A46" w:rsidRPr="00BB5A46" w:rsidRDefault="00BB5A46" w:rsidP="00BA6606">
      <w:pPr>
        <w:numPr>
          <w:ilvl w:val="1"/>
          <w:numId w:val="1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Réévaluer les facteurs de risque </w:t>
      </w:r>
    </w:p>
    <w:p w:rsidR="00BB5A46" w:rsidRPr="00BB5A46" w:rsidRDefault="00BB5A46" w:rsidP="00BA6606">
      <w:pPr>
        <w:numPr>
          <w:ilvl w:val="1"/>
          <w:numId w:val="1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Vérifier la bonne évolutivité de la grossesse </w:t>
      </w:r>
    </w:p>
    <w:p w:rsidR="00BB5A46" w:rsidRPr="00BB5A46" w:rsidRDefault="00BB5A46" w:rsidP="00BA6606">
      <w:pPr>
        <w:numPr>
          <w:ilvl w:val="1"/>
          <w:numId w:val="1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B5A46">
        <w:rPr>
          <w:rFonts w:ascii="Times New Roman" w:eastAsia="Calibri" w:hAnsi="Times New Roman" w:cs="Times New Roman"/>
          <w:sz w:val="28"/>
          <w:szCs w:val="28"/>
        </w:rPr>
        <w:t xml:space="preserve">Faire les prescriptions  </w:t>
      </w:r>
    </w:p>
    <w:p w:rsidR="00BB5A46" w:rsidRPr="00BB5A46" w:rsidRDefault="00BB5A46" w:rsidP="00BA6606">
      <w:pPr>
        <w:numPr>
          <w:ilvl w:val="1"/>
          <w:numId w:val="13"/>
        </w:numPr>
        <w:spacing w:line="240" w:lineRule="auto"/>
        <w:ind w:hanging="357"/>
        <w:contextualSpacing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Confirmer la grossesse </w:t>
      </w:r>
    </w:p>
    <w:p w:rsidR="00BB5A46" w:rsidRPr="00BB5A46" w:rsidRDefault="00BB5A46" w:rsidP="00033052">
      <w:pPr>
        <w:pStyle w:val="Paragraphedeliste"/>
        <w:numPr>
          <w:ilvl w:val="0"/>
          <w:numId w:val="3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Au 6</w:t>
      </w:r>
      <w:r w:rsidRPr="00BB5A46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Pr="00BB5A46">
        <w:rPr>
          <w:rFonts w:ascii="Times New Roman" w:hAnsi="Times New Roman" w:cs="Times New Roman"/>
          <w:sz w:val="28"/>
          <w:szCs w:val="28"/>
        </w:rPr>
        <w:t xml:space="preserve"> mois de la grossesse, la hauteur utérine normale doit être de :</w:t>
      </w:r>
    </w:p>
    <w:p w:rsidR="00BB5A46" w:rsidRPr="00BB5A46" w:rsidRDefault="00BB5A46" w:rsidP="00033052">
      <w:pPr>
        <w:pStyle w:val="Paragraphedeliste"/>
        <w:numPr>
          <w:ilvl w:val="1"/>
          <w:numId w:val="3"/>
        </w:numPr>
        <w:ind w:left="993"/>
        <w:contextualSpacing w:val="0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20 cm</w:t>
      </w:r>
    </w:p>
    <w:p w:rsidR="00BB5A46" w:rsidRPr="00BB5A46" w:rsidRDefault="00BB5A46" w:rsidP="00033052">
      <w:pPr>
        <w:pStyle w:val="Paragraphedeliste"/>
        <w:numPr>
          <w:ilvl w:val="1"/>
          <w:numId w:val="3"/>
        </w:numPr>
        <w:ind w:left="993"/>
        <w:contextualSpacing w:val="0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22 cm</w:t>
      </w:r>
    </w:p>
    <w:p w:rsidR="00BB5A46" w:rsidRPr="00BB5A46" w:rsidRDefault="00BB5A46" w:rsidP="00033052">
      <w:pPr>
        <w:pStyle w:val="Paragraphedeliste"/>
        <w:numPr>
          <w:ilvl w:val="1"/>
          <w:numId w:val="3"/>
        </w:numPr>
        <w:ind w:left="993"/>
        <w:contextualSpacing w:val="0"/>
        <w:rPr>
          <w:rFonts w:ascii="Times New Roman" w:hAnsi="Times New Roman" w:cs="Times New Roman"/>
          <w:color w:val="FF0000"/>
          <w:sz w:val="28"/>
          <w:szCs w:val="28"/>
        </w:rPr>
      </w:pPr>
      <w:r w:rsidRPr="00BB5A46">
        <w:rPr>
          <w:rFonts w:ascii="Times New Roman" w:hAnsi="Times New Roman" w:cs="Times New Roman"/>
          <w:color w:val="FF0000"/>
          <w:sz w:val="28"/>
          <w:szCs w:val="28"/>
        </w:rPr>
        <w:t>24 cm</w:t>
      </w:r>
    </w:p>
    <w:p w:rsidR="00BB5A46" w:rsidRPr="00BB5A46" w:rsidRDefault="00BB5A46" w:rsidP="00033052">
      <w:pPr>
        <w:pStyle w:val="Paragraphedeliste"/>
        <w:numPr>
          <w:ilvl w:val="1"/>
          <w:numId w:val="3"/>
        </w:numPr>
        <w:ind w:left="993"/>
        <w:contextualSpacing w:val="0"/>
        <w:rPr>
          <w:rFonts w:ascii="Times New Roman" w:hAnsi="Times New Roman" w:cs="Times New Roman"/>
          <w:sz w:val="28"/>
          <w:szCs w:val="28"/>
        </w:rPr>
      </w:pPr>
      <w:r w:rsidRPr="00BB5A46">
        <w:rPr>
          <w:rFonts w:ascii="Times New Roman" w:hAnsi="Times New Roman" w:cs="Times New Roman"/>
          <w:sz w:val="28"/>
          <w:szCs w:val="28"/>
        </w:rPr>
        <w:t>28 cm</w:t>
      </w:r>
    </w:p>
    <w:p w:rsidR="00BB5A46" w:rsidRPr="00BB5A46" w:rsidRDefault="00BB5A46" w:rsidP="00033052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BB5A46" w:rsidRPr="00033052" w:rsidRDefault="00BB5A46" w:rsidP="00033052">
      <w:pPr>
        <w:pStyle w:val="Paragraphedeliste"/>
        <w:widowControl w:val="0"/>
        <w:numPr>
          <w:ilvl w:val="0"/>
          <w:numId w:val="3"/>
        </w:numPr>
        <w:suppressAutoHyphens/>
        <w:autoSpaceDE w:val="0"/>
        <w:autoSpaceDN w:val="0"/>
        <w:spacing w:after="240"/>
        <w:ind w:hanging="357"/>
        <w:textAlignment w:val="baseline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33052">
        <w:rPr>
          <w:rFonts w:ascii="Times New Roman" w:eastAsia="Calibri" w:hAnsi="Times New Roman" w:cs="Times New Roman"/>
          <w:color w:val="000000"/>
          <w:sz w:val="28"/>
          <w:szCs w:val="28"/>
        </w:rPr>
        <w:t>Quel est parmi les signes suivants, le signe annonciateur d’une crise d’éclampsie ?</w:t>
      </w:r>
    </w:p>
    <w:p w:rsidR="00BB5A46" w:rsidRPr="00BB5A46" w:rsidRDefault="00033052" w:rsidP="00033052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 w:line="240" w:lineRule="auto"/>
        <w:ind w:left="993" w:hanging="284"/>
        <w:contextualSpacing/>
        <w:textAlignment w:val="baseline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Œdèmes des membres inférieurs.</w:t>
      </w:r>
    </w:p>
    <w:p w:rsidR="00BB5A46" w:rsidRPr="00BB5A46" w:rsidRDefault="00033052" w:rsidP="00033052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 w:line="240" w:lineRule="auto"/>
        <w:ind w:left="993" w:hanging="284"/>
        <w:contextualSpacing/>
        <w:textAlignment w:val="baseline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000000"/>
          <w:sz w:val="28"/>
          <w:szCs w:val="28"/>
        </w:rPr>
        <w:t>Vomissements à répétition</w:t>
      </w:r>
    </w:p>
    <w:p w:rsidR="00033052" w:rsidRDefault="00033052" w:rsidP="00033052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 w:line="240" w:lineRule="auto"/>
        <w:ind w:left="993" w:hanging="284"/>
        <w:contextualSpacing/>
        <w:textAlignment w:val="baseline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Douleurs </w:t>
      </w:r>
      <w:r w:rsidR="00BB5A46" w:rsidRPr="00BB5A46">
        <w:rPr>
          <w:rFonts w:ascii="Times New Roman" w:eastAsia="Calibri" w:hAnsi="Times New Roman" w:cs="Times New Roman"/>
          <w:color w:val="FF0000"/>
          <w:sz w:val="28"/>
          <w:szCs w:val="28"/>
        </w:rPr>
        <w:t>épigastriques en barre.</w:t>
      </w:r>
    </w:p>
    <w:p w:rsidR="00BB5A46" w:rsidRPr="00033052" w:rsidRDefault="00BB5A46" w:rsidP="00033052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 w:line="240" w:lineRule="auto"/>
        <w:ind w:left="993" w:hanging="284"/>
        <w:contextualSpacing/>
        <w:textAlignment w:val="baseline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03305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Une </w:t>
      </w:r>
      <w:r w:rsidRPr="00033052">
        <w:rPr>
          <w:rFonts w:ascii="Times New Roman" w:eastAsia="Calibri" w:hAnsi="Times New Roman" w:cs="Times New Roman"/>
          <w:color w:val="000000"/>
          <w:sz w:val="28"/>
          <w:szCs w:val="28"/>
        </w:rPr>
        <w:t>dyspnée de décubitus</w:t>
      </w:r>
    </w:p>
    <w:p w:rsidR="00734810" w:rsidRPr="00AC468E" w:rsidRDefault="00734810" w:rsidP="00734810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L’évaluation du bien-être fœtal est appréciée par :</w:t>
      </w:r>
    </w:p>
    <w:p w:rsidR="00734810" w:rsidRPr="00AC468E" w:rsidRDefault="00734810" w:rsidP="00734810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Le rythme cardiaque </w:t>
      </w:r>
      <w:proofErr w:type="spellStart"/>
      <w:r w:rsidRPr="00AC468E">
        <w:rPr>
          <w:rFonts w:ascii="Times New Roman" w:hAnsi="Times New Roman" w:cs="Times New Roman"/>
          <w:color w:val="FF0000"/>
          <w:sz w:val="26"/>
          <w:szCs w:val="26"/>
        </w:rPr>
        <w:t>foetal</w:t>
      </w:r>
      <w:proofErr w:type="spellEnd"/>
    </w:p>
    <w:p w:rsidR="00734810" w:rsidRPr="00AC468E" w:rsidRDefault="00734810" w:rsidP="00734810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Degré de modelage de la tête</w:t>
      </w:r>
    </w:p>
    <w:p w:rsidR="00734810" w:rsidRPr="00AC468E" w:rsidRDefault="00734810" w:rsidP="00734810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Le niveau de la présentation fœtale </w:t>
      </w:r>
    </w:p>
    <w:p w:rsidR="00C773C0" w:rsidRPr="00BB5A46" w:rsidRDefault="00C773C0">
      <w:pPr>
        <w:rPr>
          <w:rFonts w:ascii="Times New Roman" w:hAnsi="Times New Roman" w:cs="Times New Roman"/>
          <w:sz w:val="28"/>
          <w:szCs w:val="28"/>
        </w:rPr>
      </w:pPr>
    </w:p>
    <w:sectPr w:rsidR="00C773C0" w:rsidRPr="00BB5A46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AF0BCC"/>
    <w:multiLevelType w:val="multilevel"/>
    <w:tmpl w:val="984628E2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65078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2D915DFE"/>
    <w:multiLevelType w:val="multilevel"/>
    <w:tmpl w:val="57D04EA8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CF07F2"/>
    <w:multiLevelType w:val="hybridMultilevel"/>
    <w:tmpl w:val="0C16F5F0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34095C"/>
    <w:multiLevelType w:val="hybridMultilevel"/>
    <w:tmpl w:val="7D6ABEEA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91674D"/>
    <w:multiLevelType w:val="hybridMultilevel"/>
    <w:tmpl w:val="88327FBE"/>
    <w:lvl w:ilvl="0" w:tplc="040C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366A5A"/>
    <w:multiLevelType w:val="multilevel"/>
    <w:tmpl w:val="C5783C34"/>
    <w:lvl w:ilvl="0">
      <w:start w:val="1"/>
      <w:numFmt w:val="upperLetter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5D11FE3"/>
    <w:multiLevelType w:val="hybridMultilevel"/>
    <w:tmpl w:val="1212A164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>
      <w:start w:val="1"/>
      <w:numFmt w:val="low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166C1C"/>
    <w:multiLevelType w:val="hybridMultilevel"/>
    <w:tmpl w:val="9B7C48EC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342C5B"/>
    <w:multiLevelType w:val="hybridMultilevel"/>
    <w:tmpl w:val="AB6AAC56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E623EA"/>
    <w:multiLevelType w:val="hybridMultilevel"/>
    <w:tmpl w:val="72D6EA5C"/>
    <w:lvl w:ilvl="0" w:tplc="8842C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D5616EA"/>
    <w:multiLevelType w:val="hybridMultilevel"/>
    <w:tmpl w:val="6B4E067C"/>
    <w:lvl w:ilvl="0" w:tplc="5992A5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FE5545B"/>
    <w:multiLevelType w:val="hybridMultilevel"/>
    <w:tmpl w:val="F44832D6"/>
    <w:lvl w:ilvl="0" w:tplc="040C0015">
      <w:start w:val="1"/>
      <w:numFmt w:val="upperLetter"/>
      <w:lvlText w:val="%1."/>
      <w:lvlJc w:val="left"/>
      <w:pPr>
        <w:ind w:left="1353" w:hanging="360"/>
      </w:pPr>
      <w:rPr>
        <w:rFonts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B03CA2"/>
    <w:multiLevelType w:val="hybridMultilevel"/>
    <w:tmpl w:val="59A8DACC"/>
    <w:lvl w:ilvl="0" w:tplc="5526E4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F57950"/>
    <w:multiLevelType w:val="hybridMultilevel"/>
    <w:tmpl w:val="4088ED0C"/>
    <w:lvl w:ilvl="0" w:tplc="04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">
    <w:nsid w:val="561A7865"/>
    <w:multiLevelType w:val="hybridMultilevel"/>
    <w:tmpl w:val="0E6ED8E8"/>
    <w:lvl w:ilvl="0" w:tplc="093A54B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EF249E"/>
    <w:multiLevelType w:val="multilevel"/>
    <w:tmpl w:val="D4D0D5EE"/>
    <w:lvl w:ilvl="0">
      <w:start w:val="1"/>
      <w:numFmt w:val="upp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4550DA"/>
    <w:multiLevelType w:val="hybridMultilevel"/>
    <w:tmpl w:val="85EAC538"/>
    <w:lvl w:ilvl="0" w:tplc="1E4A7A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E757EA9"/>
    <w:multiLevelType w:val="hybridMultilevel"/>
    <w:tmpl w:val="BFEC6038"/>
    <w:lvl w:ilvl="0" w:tplc="040C0015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>
    <w:nsid w:val="5F726E12"/>
    <w:multiLevelType w:val="hybridMultilevel"/>
    <w:tmpl w:val="CB680544"/>
    <w:lvl w:ilvl="0" w:tplc="040C0015">
      <w:start w:val="1"/>
      <w:numFmt w:val="upperLetter"/>
      <w:lvlText w:val="%1."/>
      <w:lvlJc w:val="left"/>
      <w:pPr>
        <w:ind w:left="1353" w:hanging="360"/>
      </w:p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659F5EDA"/>
    <w:multiLevelType w:val="multilevel"/>
    <w:tmpl w:val="116006DC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E3819EA"/>
    <w:multiLevelType w:val="multilevel"/>
    <w:tmpl w:val="94643950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FC80858"/>
    <w:multiLevelType w:val="multilevel"/>
    <w:tmpl w:val="D5887528"/>
    <w:lvl w:ilvl="0">
      <w:start w:val="21"/>
      <w:numFmt w:val="decimal"/>
      <w:lvlText w:val="%1-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29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3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9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rFonts w:hint="default"/>
      </w:rPr>
    </w:lvl>
  </w:abstractNum>
  <w:abstractNum w:abstractNumId="24">
    <w:nsid w:val="6FFF5F87"/>
    <w:multiLevelType w:val="hybridMultilevel"/>
    <w:tmpl w:val="F09AC9F4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2F74CB"/>
    <w:multiLevelType w:val="hybridMultilevel"/>
    <w:tmpl w:val="AFB07FA8"/>
    <w:lvl w:ilvl="0" w:tplc="040C0015">
      <w:start w:val="1"/>
      <w:numFmt w:val="upperLetter"/>
      <w:lvlText w:val="%1."/>
      <w:lvlJc w:val="left"/>
      <w:pPr>
        <w:ind w:left="1353" w:hanging="360"/>
      </w:pPr>
    </w:lvl>
    <w:lvl w:ilvl="1" w:tplc="040C0019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>
    <w:nsid w:val="727F4B48"/>
    <w:multiLevelType w:val="hybridMultilevel"/>
    <w:tmpl w:val="7AF80314"/>
    <w:lvl w:ilvl="0" w:tplc="040C0015">
      <w:start w:val="1"/>
      <w:numFmt w:val="upperLetter"/>
      <w:lvlText w:val="%1."/>
      <w:lvlJc w:val="left"/>
      <w:pPr>
        <w:ind w:left="1353" w:hanging="360"/>
      </w:pPr>
    </w:lvl>
    <w:lvl w:ilvl="1" w:tplc="040C0019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>
    <w:nsid w:val="78E42831"/>
    <w:multiLevelType w:val="hybridMultilevel"/>
    <w:tmpl w:val="15C22780"/>
    <w:lvl w:ilvl="0" w:tplc="D878EEB4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353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0E1BFB"/>
    <w:multiLevelType w:val="hybridMultilevel"/>
    <w:tmpl w:val="3A5659BE"/>
    <w:lvl w:ilvl="0" w:tplc="376A587C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6"/>
  </w:num>
  <w:num w:numId="3">
    <w:abstractNumId w:val="28"/>
  </w:num>
  <w:num w:numId="4">
    <w:abstractNumId w:val="12"/>
  </w:num>
  <w:num w:numId="5">
    <w:abstractNumId w:val="11"/>
  </w:num>
  <w:num w:numId="6">
    <w:abstractNumId w:val="2"/>
  </w:num>
  <w:num w:numId="7">
    <w:abstractNumId w:val="7"/>
  </w:num>
  <w:num w:numId="8">
    <w:abstractNumId w:val="23"/>
  </w:num>
  <w:num w:numId="9">
    <w:abstractNumId w:val="17"/>
  </w:num>
  <w:num w:numId="10">
    <w:abstractNumId w:val="1"/>
  </w:num>
  <w:num w:numId="11">
    <w:abstractNumId w:val="3"/>
  </w:num>
  <w:num w:numId="12">
    <w:abstractNumId w:val="22"/>
  </w:num>
  <w:num w:numId="13">
    <w:abstractNumId w:val="21"/>
  </w:num>
  <w:num w:numId="14">
    <w:abstractNumId w:val="14"/>
  </w:num>
  <w:num w:numId="15">
    <w:abstractNumId w:val="8"/>
  </w:num>
  <w:num w:numId="16">
    <w:abstractNumId w:val="6"/>
  </w:num>
  <w:num w:numId="17">
    <w:abstractNumId w:val="15"/>
  </w:num>
  <w:num w:numId="18">
    <w:abstractNumId w:val="5"/>
  </w:num>
  <w:num w:numId="19">
    <w:abstractNumId w:val="9"/>
  </w:num>
  <w:num w:numId="20">
    <w:abstractNumId w:val="25"/>
  </w:num>
  <w:num w:numId="21">
    <w:abstractNumId w:val="26"/>
  </w:num>
  <w:num w:numId="22">
    <w:abstractNumId w:val="20"/>
  </w:num>
  <w:num w:numId="23">
    <w:abstractNumId w:val="4"/>
  </w:num>
  <w:num w:numId="24">
    <w:abstractNumId w:val="24"/>
  </w:num>
  <w:num w:numId="25">
    <w:abstractNumId w:val="10"/>
  </w:num>
  <w:num w:numId="26">
    <w:abstractNumId w:val="27"/>
  </w:num>
  <w:num w:numId="27">
    <w:abstractNumId w:val="13"/>
  </w:num>
  <w:num w:numId="28">
    <w:abstractNumId w:val="19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hyphenationZone w:val="425"/>
  <w:characterSpacingControl w:val="doNotCompress"/>
  <w:compat/>
  <w:rsids>
    <w:rsidRoot w:val="00BB5A46"/>
    <w:rsid w:val="00033052"/>
    <w:rsid w:val="00092DD7"/>
    <w:rsid w:val="000C540F"/>
    <w:rsid w:val="00734810"/>
    <w:rsid w:val="0073604F"/>
    <w:rsid w:val="008020D7"/>
    <w:rsid w:val="00A939AB"/>
    <w:rsid w:val="00BA6606"/>
    <w:rsid w:val="00BB5A46"/>
    <w:rsid w:val="00C773C0"/>
    <w:rsid w:val="00F13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40F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5A46"/>
    <w:pPr>
      <w:spacing w:after="0" w:line="240" w:lineRule="auto"/>
      <w:ind w:left="720" w:firstLine="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786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ORDI</cp:lastModifiedBy>
  <cp:revision>2</cp:revision>
  <dcterms:created xsi:type="dcterms:W3CDTF">2020-12-05T11:35:00Z</dcterms:created>
  <dcterms:modified xsi:type="dcterms:W3CDTF">2020-12-05T11:35:00Z</dcterms:modified>
</cp:coreProperties>
</file>