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color="auto" w:val="clear"/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BFD4EE"/>
          <w:sz w:val="18"/>
          <w:szCs w:val="18"/>
        </w:rPr>
        <w:t xml:space="preserve">FORMATION PLUS</w:t>
      </w:r>
    </w:p>
    <w:p>
      <w:pPr>
        <w:pBdr>
          <w:bottom w:val="single" w:color="2E8B84" w:sz="16" w:space="8"/>
        </w:pBdr>
        <w:shd w:fill="1F3864" w:color="auto" w:val="clear"/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SÉMIOLOGIE CHIRURGICALE  2024-2025</w:t>
      </w:r>
    </w:p>
    <w:p>
      <w:pPr>
        <w:shd w:fill="2E8B84" w:color="auto" w:val="clear"/>
        <w:spacing w:after="160" w:before="260"/>
        <w:ind w:left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I  -  QUESTIONS À CHOIX DOUBLE (QCD)</w:t>
      </w:r>
    </w:p>
    <w:p>
      <w:pPr>
        <w:pBdr>
          <w:left w:val="single" w:color="1F3864" w:sz="24" w:space="10"/>
        </w:pBdr>
        <w:shd w:fill="E4F1EF" w:color="auto" w:val="clear"/>
        <w:spacing w:after="240" w:before="0"/>
        <w:ind w:left="200"/>
      </w:pP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(Enoncé A = vrai, Enoncé B = faux)</w:t>
      </w:r>
    </w:p>
    <w:p>
      <w:pPr>
        <w:spacing w:after="150" w:before="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Il existe le plus souvent une leucocytose à polynucléose dans l'abcès chaud</w:t>
      </w:r>
    </w:p>
    <w:p>
      <w:pPr>
        <w:spacing w:after="150" w:before="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L'absence de chaleur et l'hématome sont des signes de l'inflammation</w:t>
      </w:r>
    </w:p>
    <w:p>
      <w:pPr>
        <w:spacing w:after="150" w:before="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La douleur spontanée pulsatile est un signe général du panaris</w:t>
      </w:r>
    </w:p>
    <w:p>
      <w:pPr>
        <w:spacing w:after="150" w:before="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Une fracture est fermée lorsqu'est entamée la couverture cutanée</w:t>
      </w:r>
    </w:p>
    <w:p>
      <w:pPr>
        <w:spacing w:after="150" w:before="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Les germes le plus souvent responsables d'ostéomyélite sont le staphylocoque doré et E. coli</w:t>
      </w:r>
    </w:p>
    <w:p>
      <w:pPr>
        <w:spacing w:after="150" w:before="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Toute lésion infectieuse des membres peut se compliquer de lymphangite</w:t>
      </w:r>
    </w:p>
    <w:p>
      <w:pPr>
        <w:spacing w:after="150" w:before="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Dans l'abcès froid, la tuméfaction ne s'accompagne ni de douleur ni de rougeur ni de chaleur</w:t>
      </w:r>
    </w:p>
    <w:p>
      <w:pPr>
        <w:spacing w:after="150" w:before="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La température est oscillante et s'accompagne de frissons dans l'abcès chaud</w:t>
      </w:r>
    </w:p>
    <w:p>
      <w:pPr>
        <w:spacing w:after="150" w:before="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Dans la phase cellulaire du phénomène de l'inflammation, il y a afflux local de nombreuses cellules</w:t>
      </w:r>
    </w:p>
    <w:p>
      <w:pPr>
        <w:spacing w:after="150" w:before="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Les dermatoses prurigineuses sont des facteurs favorisant les furoncles</w:t>
      </w:r>
    </w:p>
    <w:p>
      <w:pPr>
        <w:spacing w:after="150" w:before="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11.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Une fracture comminutive c'est lorsqu'un os se fracture en plusieurs endroits</w:t>
      </w:r>
    </w:p>
    <w:p>
      <w:pPr>
        <w:spacing w:after="150" w:before="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12.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La fracture en bois vert est plus fréquente chez l'enfant</w:t>
      </w:r>
    </w:p>
    <w:p>
      <w:pPr>
        <w:spacing w:after="150" w:before="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13.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Une plaie simple se limite à l'effraction des tissus d'une fracture</w:t>
      </w:r>
    </w:p>
    <w:p>
      <w:pPr>
        <w:spacing w:after="150" w:before="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14.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Une entorse grave de la cheville ne nécessite jamais de suture ligamentaire</w:t>
      </w:r>
    </w:p>
    <w:p>
      <w:pPr>
        <w:spacing w:after="150" w:before="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15.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La luxation est une perte de contact temporaire entre deux surfaces articulaires</w:t>
      </w:r>
    </w:p>
    <w:p>
      <w:pPr>
        <w:spacing w:after="100" w:before="20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16.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 septicémie à colibacille a pour porte d'entrée :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Plaie mal traitée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Urinaire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Brûlure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Digestive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Pleuro pulmonaire</w:t>
      </w:r>
    </w:p>
    <w:p>
      <w:pPr>
        <w:spacing w:after="100" w:before="20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17.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Les signes cardinaux de l'inflammation (cochez les propositions exactes) :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Rougeur, douleur, œdème, pâleur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Rougeur, tuméfaction, chaleur, douleur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Fièvre, toux, éruption, douleur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Tuméfaction, chaleur, démangeaison, douleur, phase de gonflement, phase de rougeur</w:t>
      </w:r>
    </w:p>
    <w:p>
      <w:pPr>
        <w:spacing w:after="100" w:before="20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18.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Parmi les étiologies de la septicémie, on retrouve (cochez les propositions fausses) :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Le Staphylocoque doré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Le Streptocoque hémolytique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La septicémie à colibacille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Toutes les réponses ci-dessus sont fausses</w:t>
      </w:r>
    </w:p>
    <w:p>
      <w:pPr>
        <w:spacing w:after="100" w:before="20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19.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Les sièges ci-dessous énumérés ne sont pas ceux de la lymphangite sur le plan topographique :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Crâne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Seins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Paupières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Fesses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Membres</w:t>
      </w:r>
    </w:p>
    <w:p>
      <w:pPr>
        <w:spacing w:after="100" w:before="20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20.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Quel est le germe le plus souvent incriminé dans l'abcès froid ? (Cochez les propositions fausses) :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Staphylocoque doré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Le Streptocoque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Le Bacille de Koch (B.K.)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L'Escherichia coli</w:t>
      </w:r>
    </w:p>
    <w:p>
      <w:pPr>
        <w:spacing w:after="100" w:before="20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21.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À propos du furoncle :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Il débute le plus souvent au niveau d'un appareil pilo-sébacé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Il débute le plus souvent au niveau d'une lésion nerveuse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L'agglomération des furoncles donne l'Anthrax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Il débute le plus souvent au niveau d'un os</w:t>
      </w:r>
    </w:p>
    <w:p>
      <w:pPr>
        <w:spacing w:after="100" w:before="20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22.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Deux signes radiographiques sont notés dans le diagnostic de panaris parmi ceux cités ci-dessous ; lesquels ?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Rougeur et tuméfaction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Présence de corps étrangers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Atteinte ostéo-articulaire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Adénopathie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Lymphangite</w:t>
      </w:r>
    </w:p>
    <w:p>
      <w:pPr>
        <w:spacing w:after="100" w:before="20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23.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Dans l'ostéomyélite aiguë (cochez les propositions exactes) :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La maladie se déroule en deux phases : une d'infection générale et l'autre de localisation osseuse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Le début est brutal avec fièvre sans douleur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La radiographie standard permet toujours un diagnostic précoce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Le traitement associe antibiothérapie et chirurgie</w:t>
      </w:r>
    </w:p>
    <w:p>
      <w:pPr>
        <w:spacing w:after="100" w:before="20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24.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Une plaie est définie comme :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Simple décoloration de la peau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Solution de continuité de la peau simple ou associée à d'autres lésions des tissus sous-jacent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Une ecchymose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Une inflammation sans effraction</w:t>
      </w:r>
    </w:p>
    <w:p>
      <w:pPr>
        <w:spacing w:after="100" w:before="200"/>
        <w:ind w:left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25.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Les types de lésions pouvant réaliser les contusions des parties molles :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L'hématome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Épanchement séreux de Morel Lavallée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La nécrose secondaire de la peau</w:t>
      </w:r>
    </w:p>
    <w:p>
      <w:pPr>
        <w:spacing w:after="70" w:before="0"/>
        <w:ind w:left="5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Toutes les réponses ci-dessus sont justes</w:t>
      </w:r>
    </w:p>
    <w:sectPr>
      <w:headerReference w:type="default" r:id="rId7"/>
      <w:footerReference w:type="default" r:id="rId8"/>
      <w:pgSz w:w="11906" w:h="16838" w:orient="portrait"/>
      <w:pgMar w:top="1200" w:right="1150" w:bottom="1100" w:left="1150" w:header="62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1F3864"/>
        <w:sz w:val="18"/>
        <w:szCs w:val="18"/>
      </w:rPr>
      <w:t xml:space="preserve">Page </w:t>
    </w:r>
    <w:r>
      <w:rPr>
        <w:rFonts w:ascii="Calibri" w:cs="Calibri" w:eastAsia="Calibri" w:hAnsi="Calibri"/>
        <w:color w:val="1F386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rPr>
        <w:rFonts w:ascii="Calibri" w:cs="Calibri" w:eastAsia="Calibri" w:hAnsi="Calibri"/>
        <w:b/>
        <w:bCs/>
        <w:i/>
        <w:iCs/>
        <w:color w:val="1F3864"/>
        <w:sz w:val="18"/>
        <w:szCs w:val="18"/>
      </w:rPr>
      <w:t xml:space="preserve">LE RESPONSABLE</w:t>
    </w:r>
  </w:p>
  <w:p>
    <w:pPr>
      <w:pBdr>
        <w:bottom w:val="single" w:color="2E8B84" w:sz="6" w:space="5"/>
      </w:pBdr>
      <w:spacing w:after="40"/>
      <w:jc w:val="center"/>
    </w:pPr>
    <w:r>
      <w:rPr>
        <w:rFonts w:ascii="Calibri" w:cs="Calibri" w:eastAsia="Calibri" w:hAnsi="Calibri"/>
        <w:i/>
        <w:iCs/>
        <w:color w:val="1F3864"/>
        <w:sz w:val="18"/>
        <w:szCs w:val="18"/>
      </w:rPr>
      <w:t xml:space="preserve">Dr Roch Aka Koffi  :  07 58 11 37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2026-07-22T12:10:48.053Z</dcterms:created>
  <dcterms:modified xsi:type="dcterms:W3CDTF">2026-07-22T12:10:48.218Z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