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916" w:rsidRPr="006D2EE9" w:rsidRDefault="006D2EE9" w:rsidP="006D2EE9">
      <w:pPr>
        <w:pStyle w:val="Title"/>
        <w:spacing w:line="300" w:lineRule="auto"/>
        <w:jc w:val="center"/>
        <w:rPr>
          <w:rFonts w:ascii="Times New Roman" w:hAnsi="Times New Roman" w:cs="Times New Roman"/>
          <w:sz w:val="32"/>
          <w:szCs w:val="32"/>
        </w:rPr>
      </w:pPr>
      <w:r w:rsidRPr="006D2EE9">
        <w:rPr>
          <w:rFonts w:ascii="Times New Roman" w:hAnsi="Times New Roman" w:cs="Times New Roman"/>
          <w:sz w:val="32"/>
          <w:szCs w:val="32"/>
        </w:rPr>
        <w:t>Comparison Between Two Coronary Artery Surgical Treatment</w:t>
      </w:r>
      <w:r w:rsidR="00C630AB">
        <w:rPr>
          <w:rFonts w:ascii="Times New Roman" w:hAnsi="Times New Roman" w:cs="Times New Roman"/>
          <w:sz w:val="32"/>
          <w:szCs w:val="32"/>
        </w:rPr>
        <w:t>s</w:t>
      </w:r>
    </w:p>
    <w:p w:rsidR="006D2EE9" w:rsidRPr="006D2EE9" w:rsidRDefault="006D2EE9" w:rsidP="006D2EE9">
      <w:pPr>
        <w:spacing w:line="120" w:lineRule="auto"/>
        <w:jc w:val="center"/>
        <w:rPr>
          <w:rFonts w:ascii="Times New Roman" w:hAnsi="Times New Roman" w:cs="Times New Roman"/>
          <w:sz w:val="16"/>
          <w:szCs w:val="16"/>
        </w:rPr>
      </w:pPr>
    </w:p>
    <w:p w:rsidR="006D2EE9" w:rsidRPr="006D2EE9" w:rsidRDefault="006D2EE9" w:rsidP="006D2EE9">
      <w:pPr>
        <w:spacing w:line="300" w:lineRule="auto"/>
        <w:jc w:val="center"/>
        <w:rPr>
          <w:rFonts w:ascii="Times New Roman" w:hAnsi="Times New Roman" w:cs="Times New Roman"/>
          <w:sz w:val="24"/>
          <w:szCs w:val="24"/>
        </w:rPr>
      </w:pPr>
      <w:r w:rsidRPr="006D2EE9">
        <w:rPr>
          <w:rFonts w:ascii="Times New Roman" w:hAnsi="Times New Roman" w:cs="Times New Roman"/>
          <w:sz w:val="24"/>
          <w:szCs w:val="24"/>
        </w:rPr>
        <w:t>Yao Song</w:t>
      </w:r>
    </w:p>
    <w:p w:rsidR="006D2EE9" w:rsidRDefault="006D2EE9" w:rsidP="006D2EE9">
      <w:pPr>
        <w:pStyle w:val="Heading2"/>
        <w:spacing w:line="300" w:lineRule="auto"/>
        <w:rPr>
          <w:rFonts w:ascii="Times New Roman" w:hAnsi="Times New Roman" w:cs="Times New Roman"/>
          <w:color w:val="000000" w:themeColor="text1"/>
        </w:rPr>
      </w:pP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t>Abstract</w:t>
      </w:r>
    </w:p>
    <w:p w:rsidR="006D2EE9" w:rsidRDefault="0099045E" w:rsidP="006D2EE9">
      <w:pPr>
        <w:spacing w:line="300" w:lineRule="auto"/>
        <w:rPr>
          <w:rFonts w:ascii="Times New Roman" w:hAnsi="Times New Roman" w:cs="Times New Roman"/>
        </w:rPr>
      </w:pPr>
      <w:r>
        <w:rPr>
          <w:rFonts w:ascii="Times New Roman" w:hAnsi="Times New Roman" w:cs="Times New Roman"/>
        </w:rPr>
        <w:t xml:space="preserve">Two surgical treatment A and B are popular </w:t>
      </w:r>
      <w:r w:rsidRPr="0099045E">
        <w:rPr>
          <w:rFonts w:ascii="Times New Roman" w:hAnsi="Times New Roman" w:cs="Times New Roman"/>
        </w:rPr>
        <w:t>therapies</w:t>
      </w:r>
      <w:r>
        <w:rPr>
          <w:rFonts w:ascii="Times New Roman" w:hAnsi="Times New Roman" w:cs="Times New Roman"/>
        </w:rPr>
        <w:t xml:space="preserve"> for patients with coronary artery disease. 300 patients were divided into 4 groups based on the initial disease status, with similar demographic characteristics in each group, and assigned a treatment randomly. The length of hospital </w:t>
      </w:r>
      <w:r w:rsidR="0071308C">
        <w:rPr>
          <w:rFonts w:ascii="Times New Roman" w:hAnsi="Times New Roman" w:cs="Times New Roman"/>
        </w:rPr>
        <w:t xml:space="preserve">stay </w:t>
      </w:r>
      <w:r>
        <w:rPr>
          <w:rFonts w:ascii="Times New Roman" w:hAnsi="Times New Roman" w:cs="Times New Roman"/>
        </w:rPr>
        <w:t>over 5 years was</w:t>
      </w:r>
      <w:r w:rsidR="008E63F1">
        <w:rPr>
          <w:rFonts w:ascii="Times New Roman" w:hAnsi="Times New Roman" w:cs="Times New Roman"/>
        </w:rPr>
        <w:t xml:space="preserve"> used to evaluate the efficacy</w:t>
      </w:r>
      <w:r w:rsidR="0071308C">
        <w:rPr>
          <w:rFonts w:ascii="Times New Roman" w:hAnsi="Times New Roman" w:cs="Times New Roman"/>
        </w:rPr>
        <w:t xml:space="preserve"> of those two trea</w:t>
      </w:r>
      <w:r w:rsidR="008E63F1">
        <w:rPr>
          <w:rFonts w:ascii="Times New Roman" w:hAnsi="Times New Roman" w:cs="Times New Roman"/>
        </w:rPr>
        <w:t>tments. By studying the efficacy</w:t>
      </w:r>
      <w:r w:rsidR="0071308C">
        <w:rPr>
          <w:rFonts w:ascii="Times New Roman" w:hAnsi="Times New Roman" w:cs="Times New Roman"/>
        </w:rPr>
        <w:t xml:space="preserve"> of treatment, it is not significantly associated with the length of hospital stay, while the probability of patients with more than 1 week but within 1 month stay corresponding to patients with no hospital stay in treatment A is larger than in treatment B. </w:t>
      </w:r>
      <w:r w:rsidR="00AA2D13">
        <w:rPr>
          <w:rFonts w:ascii="Times New Roman" w:hAnsi="Times New Roman" w:cs="Times New Roman"/>
        </w:rPr>
        <w:t xml:space="preserve">However, cumulative model shows treatment B performs better. </w:t>
      </w:r>
      <w:r w:rsidR="008E63F1">
        <w:rPr>
          <w:rFonts w:ascii="Times New Roman" w:hAnsi="Times New Roman" w:cs="Times New Roman"/>
        </w:rPr>
        <w:t>By studying the efficacy</w:t>
      </w:r>
      <w:r w:rsidR="00AA2D13">
        <w:rPr>
          <w:rFonts w:ascii="Times New Roman" w:hAnsi="Times New Roman" w:cs="Times New Roman"/>
        </w:rPr>
        <w:t xml:space="preserve"> of treatment and status, patients with mild disease status or severe disease status have better performance of the hospitalization days in treatment B, after adjusting for the baseline characteristics.</w:t>
      </w:r>
    </w:p>
    <w:p w:rsidR="00C33B05" w:rsidRPr="002643BC" w:rsidRDefault="00C33B05" w:rsidP="006D2EE9">
      <w:pPr>
        <w:spacing w:line="300" w:lineRule="auto"/>
        <w:rPr>
          <w:rFonts w:ascii="Times New Roman" w:hAnsi="Times New Roman" w:cs="Times New Roman"/>
        </w:rPr>
      </w:pPr>
      <w:r w:rsidRPr="002643BC">
        <w:rPr>
          <w:rFonts w:ascii="Times New Roman" w:hAnsi="Times New Roman" w:cs="Times New Roman"/>
        </w:rPr>
        <w:t>Keyword: coronary artery disease treatment, efficacy, cumulative logistic model</w:t>
      </w: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t>Introduction</w:t>
      </w:r>
    </w:p>
    <w:p w:rsidR="009D3A51" w:rsidRDefault="00AA2D13" w:rsidP="006D2EE9">
      <w:pPr>
        <w:spacing w:line="300" w:lineRule="auto"/>
        <w:rPr>
          <w:rFonts w:ascii="Times New Roman" w:hAnsi="Times New Roman" w:cs="Times New Roman"/>
        </w:rPr>
      </w:pPr>
      <w:bookmarkStart w:id="0" w:name="OLE_LINK1"/>
      <w:r>
        <w:rPr>
          <w:rFonts w:ascii="Times New Roman" w:hAnsi="Times New Roman" w:cs="Times New Roman"/>
        </w:rPr>
        <w:t xml:space="preserve">Coronary artery disease </w:t>
      </w:r>
      <w:bookmarkEnd w:id="0"/>
      <w:r>
        <w:rPr>
          <w:rFonts w:ascii="Times New Roman" w:hAnsi="Times New Roman" w:cs="Times New Roman"/>
        </w:rPr>
        <w:t xml:space="preserve">and its main complication, </w:t>
      </w:r>
      <w:r w:rsidR="00A95FD9">
        <w:rPr>
          <w:rFonts w:ascii="Times New Roman" w:hAnsi="Times New Roman" w:cs="Times New Roman"/>
        </w:rPr>
        <w:t>congestive heart failure, stroke or myocardial infarction, are leading causes of death and disability worldwide. Surgeries are common methods to treat coronary artery disease, while treatment A and B are two popular surg</w:t>
      </w:r>
      <w:r w:rsidR="008E63F1">
        <w:rPr>
          <w:rFonts w:ascii="Times New Roman" w:hAnsi="Times New Roman" w:cs="Times New Roman"/>
        </w:rPr>
        <w:t>ical therapies. But the efficacy</w:t>
      </w:r>
      <w:r w:rsidR="00A95FD9">
        <w:rPr>
          <w:rFonts w:ascii="Times New Roman" w:hAnsi="Times New Roman" w:cs="Times New Roman"/>
        </w:rPr>
        <w:t xml:space="preserve"> of treatments may be influenced by various factors. In general, </w:t>
      </w:r>
      <w:r w:rsidR="009D3A51">
        <w:rPr>
          <w:rFonts w:ascii="Times New Roman" w:hAnsi="Times New Roman" w:cs="Times New Roman"/>
        </w:rPr>
        <w:t xml:space="preserve">patients with severe disease status would have longer length of hospital stay, because of complications after the treatment. Besides, demographic characteristics, such as age, the history of diabetes and history of smoking, would have impacts on the performance of treatments. </w:t>
      </w:r>
    </w:p>
    <w:p w:rsidR="006D2EE9" w:rsidRDefault="009D3A51" w:rsidP="006D2EE9">
      <w:pPr>
        <w:spacing w:line="300" w:lineRule="auto"/>
        <w:rPr>
          <w:rFonts w:ascii="Times New Roman" w:hAnsi="Times New Roman" w:cs="Times New Roman"/>
        </w:rPr>
      </w:pPr>
      <w:r>
        <w:rPr>
          <w:rFonts w:ascii="Times New Roman" w:hAnsi="Times New Roman" w:cs="Times New Roman"/>
        </w:rPr>
        <w:t xml:space="preserve">In this study, 300 patients are recruited and divide into 4 groups based on their initial disease status, including mild, moderate, severe and very severe. </w:t>
      </w:r>
      <w:r w:rsidR="008E63F1">
        <w:rPr>
          <w:rFonts w:ascii="Times New Roman" w:hAnsi="Times New Roman" w:cs="Times New Roman"/>
        </w:rPr>
        <w:t>In order to compare the efficacy</w:t>
      </w:r>
      <w:r>
        <w:rPr>
          <w:rFonts w:ascii="Times New Roman" w:hAnsi="Times New Roman" w:cs="Times New Roman"/>
        </w:rPr>
        <w:t xml:space="preserve"> of two treatments, treatment A and B are assigned to patients in each group randomly. The length of hospital stay over 5 years after the treatment is recorded as outcome</w:t>
      </w:r>
      <w:r w:rsidR="008E63F1">
        <w:rPr>
          <w:rFonts w:ascii="Times New Roman" w:hAnsi="Times New Roman" w:cs="Times New Roman"/>
        </w:rPr>
        <w:t>, the efficacy</w:t>
      </w:r>
      <w:r w:rsidR="00D2186E">
        <w:rPr>
          <w:rFonts w:ascii="Times New Roman" w:hAnsi="Times New Roman" w:cs="Times New Roman"/>
        </w:rPr>
        <w:t xml:space="preserve"> of two treatments</w:t>
      </w:r>
      <w:r>
        <w:rPr>
          <w:rFonts w:ascii="Times New Roman" w:hAnsi="Times New Roman" w:cs="Times New Roman"/>
        </w:rPr>
        <w:t>.</w:t>
      </w:r>
      <w:r w:rsidR="008F568C">
        <w:rPr>
          <w:rFonts w:ascii="Times New Roman" w:hAnsi="Times New Roman" w:cs="Times New Roman"/>
        </w:rPr>
        <w:t xml:space="preserve"> And it is clinical meaningful to examine hospital stay in terms of no hospital stay (0 day), within 1 week stay (1-7 days), more than 1 week but within 1 month stay (8-30 days) and more than 1 month stay (31 or more days).</w:t>
      </w:r>
      <w:r>
        <w:rPr>
          <w:rFonts w:ascii="Times New Roman" w:hAnsi="Times New Roman" w:cs="Times New Roman"/>
        </w:rPr>
        <w:t xml:space="preserve"> Demographic characteristics are also recorded as the factors that may influence the treatments’ performance, including</w:t>
      </w:r>
      <w:r w:rsidR="008F568C">
        <w:rPr>
          <w:rFonts w:ascii="Times New Roman" w:hAnsi="Times New Roman" w:cs="Times New Roman"/>
        </w:rPr>
        <w:t xml:space="preserve"> status,</w:t>
      </w:r>
      <w:r>
        <w:rPr>
          <w:rFonts w:ascii="Times New Roman" w:hAnsi="Times New Roman" w:cs="Times New Roman"/>
        </w:rPr>
        <w:t xml:space="preserve"> age, history of diabetes, history of hypertension, gender, race, history of congestive heart failure, history of myocardial infarction, history of smoking and ejection fraction. </w:t>
      </w:r>
    </w:p>
    <w:p w:rsidR="00916BE1" w:rsidRPr="00AA2D13" w:rsidRDefault="00916BE1" w:rsidP="006D2EE9">
      <w:pPr>
        <w:spacing w:line="300" w:lineRule="auto"/>
        <w:rPr>
          <w:rFonts w:ascii="Times New Roman" w:hAnsi="Times New Roman" w:cs="Times New Roman"/>
        </w:rPr>
      </w:pPr>
      <w:r>
        <w:rPr>
          <w:rFonts w:ascii="Times New Roman" w:hAnsi="Times New Roman" w:cs="Times New Roman"/>
        </w:rPr>
        <w:t>This study reports the</w:t>
      </w:r>
      <w:r w:rsidR="008E63F1">
        <w:rPr>
          <w:rFonts w:ascii="Times New Roman" w:hAnsi="Times New Roman" w:cs="Times New Roman"/>
        </w:rPr>
        <w:t xml:space="preserve"> comparison between the efficacy</w:t>
      </w:r>
      <w:r>
        <w:rPr>
          <w:rFonts w:ascii="Times New Roman" w:hAnsi="Times New Roman" w:cs="Times New Roman"/>
        </w:rPr>
        <w:t xml:space="preserve"> of surgical treatment A and B for the patients with coronary artery disease, by using the length of hospital stay over 5 years. </w:t>
      </w:r>
      <w:r w:rsidR="00C75732">
        <w:rPr>
          <w:rFonts w:ascii="Times New Roman" w:hAnsi="Times New Roman" w:cs="Times New Roman"/>
        </w:rPr>
        <w:t>And the differences of hospital stay between two treatments across patients with different initial disease status, after adjusting for the baseline characteristics, are also considered to describe the impact of the relationship between treatments and disease status on the hospitalization of days.</w:t>
      </w: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lastRenderedPageBreak/>
        <w:t>Methodology</w:t>
      </w:r>
    </w:p>
    <w:p w:rsidR="006D2EE9" w:rsidRDefault="00C75732" w:rsidP="006D2EE9">
      <w:pPr>
        <w:spacing w:line="300" w:lineRule="auto"/>
        <w:rPr>
          <w:rFonts w:ascii="Times New Roman" w:hAnsi="Times New Roman" w:cs="Times New Roman"/>
        </w:rPr>
      </w:pPr>
      <w:r>
        <w:rPr>
          <w:rFonts w:ascii="Times New Roman" w:hAnsi="Times New Roman" w:cs="Times New Roman"/>
        </w:rPr>
        <w:t xml:space="preserve">1. Baseline characteristics of patients in two treatment groups </w:t>
      </w:r>
      <w:r w:rsidR="0053774D">
        <w:rPr>
          <w:rFonts w:ascii="Times New Roman" w:hAnsi="Times New Roman" w:cs="Times New Roman"/>
        </w:rPr>
        <w:t>are</w:t>
      </w:r>
      <w:r>
        <w:rPr>
          <w:rFonts w:ascii="Times New Roman" w:hAnsi="Times New Roman" w:cs="Times New Roman"/>
        </w:rPr>
        <w:t xml:space="preserve"> compared </w:t>
      </w:r>
      <w:r w:rsidR="0053774D">
        <w:rPr>
          <w:rFonts w:ascii="Times New Roman" w:hAnsi="Times New Roman" w:cs="Times New Roman"/>
        </w:rPr>
        <w:t>to determine whether the characteristics in treatment groups are in balance</w:t>
      </w:r>
      <w:r w:rsidR="00A45312">
        <w:rPr>
          <w:rFonts w:ascii="Times New Roman" w:hAnsi="Times New Roman" w:cs="Times New Roman"/>
        </w:rPr>
        <w:t xml:space="preserve"> (Table I)</w:t>
      </w:r>
      <w:r w:rsidR="0053774D">
        <w:rPr>
          <w:rFonts w:ascii="Times New Roman" w:hAnsi="Times New Roman" w:cs="Times New Roman"/>
        </w:rPr>
        <w:t xml:space="preserve">. Because two treatments are randomly assigned to the patients, the proportion of </w:t>
      </w:r>
      <w:r w:rsidR="00A45312">
        <w:rPr>
          <w:rFonts w:ascii="Times New Roman" w:hAnsi="Times New Roman" w:cs="Times New Roman"/>
        </w:rPr>
        <w:t>each category should be similar in treatment A and B.</w:t>
      </w:r>
    </w:p>
    <w:p w:rsidR="00A45312" w:rsidRDefault="00A45312" w:rsidP="006D2EE9">
      <w:pPr>
        <w:spacing w:line="300" w:lineRule="auto"/>
        <w:rPr>
          <w:rFonts w:ascii="Times New Roman" w:hAnsi="Times New Roman" w:cs="Times New Roman"/>
        </w:rPr>
      </w:pPr>
      <w:r>
        <w:rPr>
          <w:rFonts w:ascii="Times New Roman" w:hAnsi="Times New Roman" w:cs="Times New Roman"/>
        </w:rPr>
        <w:t xml:space="preserve">2. Patients are divided by 4 groups based on hospital stay. Treatment, status, baseline characteristics of patients in each group are compared to determine whether these variables are associated with the efficacy of treatment, the length of hospital stay (Table II). The chi-square or fisher’s exact test is used to identify the significant differences of categorical variables, and t test or </w:t>
      </w:r>
      <w:proofErr w:type="spellStart"/>
      <w:r w:rsidRPr="00A45312">
        <w:rPr>
          <w:rFonts w:ascii="Times New Roman" w:hAnsi="Times New Roman" w:cs="Times New Roman"/>
        </w:rPr>
        <w:t>kruskal-wallis</w:t>
      </w:r>
      <w:proofErr w:type="spellEnd"/>
      <w:r>
        <w:rPr>
          <w:rFonts w:ascii="Times New Roman" w:hAnsi="Times New Roman" w:cs="Times New Roman"/>
        </w:rPr>
        <w:t xml:space="preserve"> test is used to determine the </w:t>
      </w:r>
      <w:r w:rsidR="008B3F9D">
        <w:rPr>
          <w:rFonts w:ascii="Times New Roman" w:hAnsi="Times New Roman" w:cs="Times New Roman"/>
        </w:rPr>
        <w:t>relationship of continuous variables. Categorical variables are presented as N (%), while continuous variables are presented as mean (</w:t>
      </w:r>
      <w:proofErr w:type="spellStart"/>
      <w:r w:rsidR="008B3F9D">
        <w:rPr>
          <w:rFonts w:ascii="Times New Roman" w:hAnsi="Times New Roman" w:cs="Times New Roman"/>
        </w:rPr>
        <w:t>sd</w:t>
      </w:r>
      <w:proofErr w:type="spellEnd"/>
      <w:r w:rsidR="008B3F9D">
        <w:rPr>
          <w:rFonts w:ascii="Times New Roman" w:hAnsi="Times New Roman" w:cs="Times New Roman"/>
        </w:rPr>
        <w:t>). All tests are two-sided and are considered as significant when the p-value is less than 0.05 significance level. All missing values are assumed to be missing at random.</w:t>
      </w:r>
    </w:p>
    <w:p w:rsidR="008B3F9D" w:rsidRDefault="008B3F9D" w:rsidP="006D2EE9">
      <w:pPr>
        <w:spacing w:line="300" w:lineRule="auto"/>
        <w:rPr>
          <w:rFonts w:ascii="Times New Roman" w:hAnsi="Times New Roman" w:cs="Times New Roman"/>
        </w:rPr>
      </w:pPr>
      <w:r>
        <w:rPr>
          <w:rFonts w:ascii="Times New Roman" w:hAnsi="Times New Roman" w:cs="Times New Roman"/>
        </w:rPr>
        <w:t xml:space="preserve">3. </w:t>
      </w:r>
      <w:r w:rsidR="009B7503">
        <w:rPr>
          <w:rFonts w:ascii="Times New Roman" w:hAnsi="Times New Roman" w:cs="Times New Roman"/>
        </w:rPr>
        <w:t>To determine the differences of the hospitalization days over 5 years in two treatment groups</w:t>
      </w:r>
      <w:r>
        <w:rPr>
          <w:rFonts w:ascii="Times New Roman" w:hAnsi="Times New Roman" w:cs="Times New Roman"/>
        </w:rPr>
        <w:t xml:space="preserve">, generalized logistic model is used, where the length of hospital stay is the outcome and treatment is the </w:t>
      </w:r>
      <w:r w:rsidR="00CA2C7B">
        <w:rPr>
          <w:rFonts w:ascii="Times New Roman" w:hAnsi="Times New Roman" w:cs="Times New Roman"/>
        </w:rPr>
        <w:t xml:space="preserve">factors. The relative probabilities and 95% confidence interval of hospitalization days are provided with the p-value of treatment (Table III), in order to compare the </w:t>
      </w:r>
      <w:r w:rsidR="008E63F1">
        <w:rPr>
          <w:rFonts w:ascii="Times New Roman" w:hAnsi="Times New Roman" w:cs="Times New Roman"/>
        </w:rPr>
        <w:t>efficacy</w:t>
      </w:r>
      <w:r w:rsidR="00CA2C7B">
        <w:rPr>
          <w:rFonts w:ascii="Times New Roman" w:hAnsi="Times New Roman" w:cs="Times New Roman"/>
        </w:rPr>
        <w:t xml:space="preserve"> of treatment A and B. The test is two-sided, while</w:t>
      </w:r>
      <w:r w:rsidR="00C25203">
        <w:rPr>
          <w:rFonts w:ascii="Times New Roman" w:hAnsi="Times New Roman" w:cs="Times New Roman"/>
        </w:rPr>
        <w:t xml:space="preserve"> the significance level is 0.05.</w:t>
      </w:r>
    </w:p>
    <w:p w:rsidR="00CA2C7B" w:rsidRDefault="00CA2C7B" w:rsidP="006D2EE9">
      <w:pPr>
        <w:spacing w:line="300" w:lineRule="auto"/>
        <w:rPr>
          <w:rFonts w:ascii="Times New Roman" w:hAnsi="Times New Roman" w:cs="Times New Roman"/>
        </w:rPr>
      </w:pPr>
      <w:r>
        <w:rPr>
          <w:rFonts w:ascii="Times New Roman" w:hAnsi="Times New Roman" w:cs="Times New Roman"/>
        </w:rPr>
        <w:t>4. Because the outcome, the length of hospital stay, is an ordinal categorical variable, cumulative logistic model is used</w:t>
      </w:r>
      <w:r w:rsidR="009B7503" w:rsidRPr="009B7503">
        <w:rPr>
          <w:rFonts w:ascii="Times New Roman" w:hAnsi="Times New Roman" w:cs="Times New Roman"/>
        </w:rPr>
        <w:t xml:space="preserve"> </w:t>
      </w:r>
      <w:r w:rsidR="009B7503">
        <w:rPr>
          <w:rFonts w:ascii="Times New Roman" w:hAnsi="Times New Roman" w:cs="Times New Roman"/>
        </w:rPr>
        <w:t>to determine the relationship between hospitalization days and treatments. Score test for proportional odds assumption is used to identify whether the model is a proportional logistic model. Odds</w:t>
      </w:r>
      <w:r w:rsidR="00FA0C9E">
        <w:rPr>
          <w:rFonts w:ascii="Times New Roman" w:hAnsi="Times New Roman" w:cs="Times New Roman"/>
        </w:rPr>
        <w:t xml:space="preserve"> </w:t>
      </w:r>
      <w:r w:rsidR="009B7503">
        <w:rPr>
          <w:rFonts w:ascii="Times New Roman" w:hAnsi="Times New Roman" w:cs="Times New Roman"/>
        </w:rPr>
        <w:t xml:space="preserve">ratio is provided with 95% confidence interval to </w:t>
      </w:r>
      <w:r w:rsidR="008E63F1">
        <w:rPr>
          <w:rFonts w:ascii="Times New Roman" w:hAnsi="Times New Roman" w:cs="Times New Roman"/>
        </w:rPr>
        <w:t>check the different efficacy</w:t>
      </w:r>
      <w:r w:rsidR="000C0D55">
        <w:rPr>
          <w:rFonts w:ascii="Times New Roman" w:hAnsi="Times New Roman" w:cs="Times New Roman"/>
        </w:rPr>
        <w:t xml:space="preserve"> of two treatments (Table IV). The test is two-sid</w:t>
      </w:r>
      <w:r w:rsidR="00C25203">
        <w:rPr>
          <w:rFonts w:ascii="Times New Roman" w:hAnsi="Times New Roman" w:cs="Times New Roman"/>
        </w:rPr>
        <w:t>ed with 0.05 significance level, and goodness of fit of the model should be tested.</w:t>
      </w:r>
    </w:p>
    <w:p w:rsidR="00666FD1" w:rsidRDefault="000C0D55" w:rsidP="00666FD1">
      <w:pPr>
        <w:spacing w:line="300" w:lineRule="auto"/>
        <w:rPr>
          <w:rFonts w:ascii="Times New Roman" w:hAnsi="Times New Roman" w:cs="Times New Roman"/>
        </w:rPr>
      </w:pPr>
      <w:r>
        <w:rPr>
          <w:rFonts w:ascii="Times New Roman" w:hAnsi="Times New Roman" w:cs="Times New Roman"/>
        </w:rPr>
        <w:t>5. To determine whether the differences of hospital stay between two treatments are the same across patients with different initial disease status, three-way contingency table is created with treatment, disease status and the length of hospital stay (Table V). The chi-square or fisher’s exact test is used to identify the significant differences of treatment in each status group</w:t>
      </w:r>
      <w:r w:rsidR="00666FD1">
        <w:rPr>
          <w:rFonts w:ascii="Times New Roman" w:hAnsi="Times New Roman" w:cs="Times New Roman"/>
        </w:rPr>
        <w:t>. The tests are two-sid</w:t>
      </w:r>
      <w:r w:rsidR="00C25203">
        <w:rPr>
          <w:rFonts w:ascii="Times New Roman" w:hAnsi="Times New Roman" w:cs="Times New Roman"/>
        </w:rPr>
        <w:t>ed with 0.05 significance level.</w:t>
      </w:r>
    </w:p>
    <w:p w:rsidR="00C750F2" w:rsidRDefault="00666FD1" w:rsidP="006D2EE9">
      <w:pPr>
        <w:spacing w:line="300" w:lineRule="auto"/>
        <w:rPr>
          <w:rFonts w:ascii="Times New Roman" w:hAnsi="Times New Roman" w:cs="Times New Roman"/>
        </w:rPr>
      </w:pPr>
      <w:r>
        <w:rPr>
          <w:rFonts w:ascii="Times New Roman" w:hAnsi="Times New Roman" w:cs="Times New Roman"/>
        </w:rPr>
        <w:t xml:space="preserve">6. Because demographic characteristics, such as age, history of hypertension, and history of diabetes, would cause symptoms that require hospitalization during the follow-up </w:t>
      </w:r>
      <w:r w:rsidR="008E63F1">
        <w:rPr>
          <w:rFonts w:ascii="Times New Roman" w:hAnsi="Times New Roman" w:cs="Times New Roman"/>
        </w:rPr>
        <w:t>period or influence the efficacy</w:t>
      </w:r>
      <w:r>
        <w:rPr>
          <w:rFonts w:ascii="Times New Roman" w:hAnsi="Times New Roman" w:cs="Times New Roman"/>
        </w:rPr>
        <w:t xml:space="preserve"> of the treatments, the </w:t>
      </w:r>
      <w:r w:rsidR="00113BF9">
        <w:rPr>
          <w:rFonts w:ascii="Times New Roman" w:hAnsi="Times New Roman" w:cs="Times New Roman"/>
        </w:rPr>
        <w:t xml:space="preserve">cumulative logistic </w:t>
      </w:r>
      <w:r>
        <w:rPr>
          <w:rFonts w:ascii="Times New Roman" w:hAnsi="Times New Roman" w:cs="Times New Roman"/>
        </w:rPr>
        <w:t xml:space="preserve">model is </w:t>
      </w:r>
      <w:r w:rsidR="00722151">
        <w:rPr>
          <w:rFonts w:ascii="Times New Roman" w:hAnsi="Times New Roman" w:cs="Times New Roman"/>
        </w:rPr>
        <w:t>used with demographic characteristics as covariates, where the length of hospital stay is the outcome, treatment, status, the interaction term of treatment and status are the factors. Cumulative logistic model is more appropriate for the ordinal variable and helpful to avoid 0 cells in the contingency table. The odds</w:t>
      </w:r>
      <w:r w:rsidR="00FA0C9E">
        <w:rPr>
          <w:rFonts w:ascii="Times New Roman" w:hAnsi="Times New Roman" w:cs="Times New Roman"/>
        </w:rPr>
        <w:t xml:space="preserve"> </w:t>
      </w:r>
      <w:r w:rsidR="00722151">
        <w:rPr>
          <w:rFonts w:ascii="Times New Roman" w:hAnsi="Times New Roman" w:cs="Times New Roman"/>
        </w:rPr>
        <w:t>ratios with 95% confidence interval of two treatments in different initial disease status in both univariate model and multivariate model are provided to determine the differences of hospital stay between two treatments across patients with diff</w:t>
      </w:r>
      <w:r w:rsidR="00C25203">
        <w:rPr>
          <w:rFonts w:ascii="Times New Roman" w:hAnsi="Times New Roman" w:cs="Times New Roman"/>
        </w:rPr>
        <w:t>erent disease status (Table VI), and goodness of fit of the model should be tested.</w:t>
      </w:r>
    </w:p>
    <w:p w:rsidR="00C750F2" w:rsidRDefault="00C750F2" w:rsidP="006D2EE9">
      <w:pPr>
        <w:spacing w:line="300" w:lineRule="auto"/>
        <w:rPr>
          <w:rFonts w:ascii="Times New Roman" w:hAnsi="Times New Roman" w:cs="Times New Roman"/>
        </w:rPr>
      </w:pPr>
      <w:r>
        <w:rPr>
          <w:rFonts w:ascii="Times New Roman" w:hAnsi="Times New Roman" w:cs="Times New Roman"/>
        </w:rPr>
        <w:t>All analyses are done by using SAS 9.4.</w:t>
      </w: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lastRenderedPageBreak/>
        <w:t>Results</w:t>
      </w:r>
    </w:p>
    <w:p w:rsidR="006D2EE9" w:rsidRDefault="00986EE3" w:rsidP="006D2EE9">
      <w:pPr>
        <w:spacing w:line="300" w:lineRule="auto"/>
        <w:rPr>
          <w:rFonts w:ascii="Times New Roman" w:hAnsi="Times New Roman" w:cs="Times New Roman"/>
        </w:rPr>
      </w:pPr>
      <w:r>
        <w:rPr>
          <w:rFonts w:ascii="Times New Roman" w:hAnsi="Times New Roman" w:cs="Times New Roman"/>
        </w:rPr>
        <w:t>The baseline characteristics of patients in two treatments are listed in Table I.</w:t>
      </w:r>
      <w:r w:rsidR="0089690E">
        <w:rPr>
          <w:rFonts w:ascii="Times New Roman" w:hAnsi="Times New Roman" w:cs="Times New Roman"/>
        </w:rPr>
        <w:t xml:space="preserve"> When comparing the difference features of pa</w:t>
      </w:r>
      <w:r w:rsidR="008B5DD4">
        <w:rPr>
          <w:rFonts w:ascii="Times New Roman" w:hAnsi="Times New Roman" w:cs="Times New Roman"/>
        </w:rPr>
        <w:t>tients in treatment A and B, it can be seen that more similarities than difference of the baseline characteristics in two treatments. For example, the proportion of patients with diabetes in treatment A (22.5%) is almost the same as the proportion in treatment B (23.5%); the average age in treatment A (61.8) is nearly equal to the average age in treatment B (61.4). Therefore, the patients in different treatments are in balance of all baseline characteristics.</w:t>
      </w:r>
    </w:p>
    <w:tbl>
      <w:tblPr>
        <w:tblW w:w="6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1890"/>
        <w:gridCol w:w="1440"/>
        <w:gridCol w:w="1080"/>
      </w:tblGrid>
      <w:tr w:rsidR="00377D21" w:rsidRPr="009E5F95" w:rsidTr="00C27F7E">
        <w:trPr>
          <w:trHeight w:val="293"/>
          <w:jc w:val="center"/>
        </w:trPr>
        <w:tc>
          <w:tcPr>
            <w:tcW w:w="6570" w:type="dxa"/>
            <w:gridSpan w:val="4"/>
          </w:tcPr>
          <w:p w:rsidR="00377D21" w:rsidRPr="006B63AA" w:rsidRDefault="00377D21" w:rsidP="00377D21">
            <w:pPr>
              <w:pStyle w:val="NoSpacing"/>
              <w:rPr>
                <w:rFonts w:ascii="Times New Roman" w:hAnsi="Times New Roman" w:cs="Times New Roman"/>
              </w:rPr>
            </w:pPr>
            <w:bookmarkStart w:id="1" w:name="IDX"/>
            <w:bookmarkEnd w:id="1"/>
            <w:r w:rsidRPr="00C27F7E">
              <w:rPr>
                <w:rFonts w:ascii="Times New Roman" w:hAnsi="Times New Roman" w:cs="Times New Roman"/>
                <w:b/>
              </w:rPr>
              <w:t xml:space="preserve">Table I </w:t>
            </w:r>
            <w:r w:rsidRPr="006B63AA">
              <w:rPr>
                <w:rFonts w:ascii="Times New Roman" w:hAnsi="Times New Roman" w:cs="Times New Roman"/>
              </w:rPr>
              <w:t xml:space="preserve">  Baseline Characteristics of Patients in Two Treatment Groups</w:t>
            </w:r>
          </w:p>
        </w:tc>
      </w:tr>
      <w:tr w:rsidR="00377D21"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2"/>
          <w:jc w:val="center"/>
        </w:trPr>
        <w:tc>
          <w:tcPr>
            <w:tcW w:w="2160" w:type="dxa"/>
            <w:tcBorders>
              <w:top w:val="single" w:sz="12" w:space="0" w:color="auto"/>
              <w:left w:val="single" w:sz="6" w:space="0" w:color="auto"/>
              <w:bottom w:val="single" w:sz="8" w:space="0" w:color="000000"/>
              <w:right w:val="nil"/>
            </w:tcBorders>
            <w:shd w:val="clear" w:color="000000" w:fill="FFFFFF"/>
            <w:vAlign w:val="center"/>
            <w:hideMark/>
          </w:tcPr>
          <w:p w:rsidR="003C0B74" w:rsidRPr="009E5F95" w:rsidRDefault="003C0B74" w:rsidP="00377D21">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c>
          <w:tcPr>
            <w:tcW w:w="1890" w:type="dxa"/>
            <w:tcBorders>
              <w:top w:val="single" w:sz="12" w:space="0" w:color="auto"/>
              <w:left w:val="nil"/>
              <w:bottom w:val="single" w:sz="8" w:space="0" w:color="000000"/>
              <w:right w:val="nil"/>
            </w:tcBorders>
            <w:shd w:val="clear" w:color="000000" w:fill="FFFFFF"/>
            <w:vAlign w:val="center"/>
            <w:hideMark/>
          </w:tcPr>
          <w:p w:rsidR="003C0B74" w:rsidRPr="009E5F95" w:rsidRDefault="003C0B74" w:rsidP="00377D21">
            <w:pPr>
              <w:pStyle w:val="NoSpacing"/>
              <w:rPr>
                <w:rFonts w:ascii="Times New Roman" w:hAnsi="Times New Roman" w:cs="Times New Roman"/>
                <w:sz w:val="20"/>
                <w:szCs w:val="20"/>
              </w:rPr>
            </w:pPr>
            <w:r w:rsidRPr="009E5F95">
              <w:rPr>
                <w:rFonts w:ascii="Times New Roman" w:hAnsi="Times New Roman" w:cs="Times New Roman"/>
                <w:sz w:val="20"/>
                <w:szCs w:val="20"/>
              </w:rPr>
              <w:t>A                                        (N=151)</w:t>
            </w:r>
          </w:p>
        </w:tc>
        <w:tc>
          <w:tcPr>
            <w:tcW w:w="1440" w:type="dxa"/>
            <w:tcBorders>
              <w:top w:val="single" w:sz="12" w:space="0" w:color="auto"/>
              <w:left w:val="nil"/>
              <w:bottom w:val="single" w:sz="8" w:space="0" w:color="000000"/>
              <w:right w:val="nil"/>
            </w:tcBorders>
            <w:shd w:val="clear" w:color="000000" w:fill="FFFFFF"/>
            <w:vAlign w:val="center"/>
            <w:hideMark/>
          </w:tcPr>
          <w:p w:rsidR="003C0B74" w:rsidRPr="009E5F95" w:rsidRDefault="003C0B74" w:rsidP="00377D21">
            <w:pPr>
              <w:pStyle w:val="NoSpacing"/>
              <w:rPr>
                <w:rFonts w:ascii="Times New Roman" w:hAnsi="Times New Roman" w:cs="Times New Roman"/>
                <w:sz w:val="20"/>
                <w:szCs w:val="20"/>
              </w:rPr>
            </w:pPr>
            <w:r w:rsidRPr="009E5F95">
              <w:rPr>
                <w:rFonts w:ascii="Times New Roman" w:hAnsi="Times New Roman" w:cs="Times New Roman"/>
                <w:sz w:val="20"/>
                <w:szCs w:val="20"/>
              </w:rPr>
              <w:t>B                                        (N=149)</w:t>
            </w:r>
          </w:p>
        </w:tc>
        <w:tc>
          <w:tcPr>
            <w:tcW w:w="1080" w:type="dxa"/>
            <w:tcBorders>
              <w:top w:val="single" w:sz="12" w:space="0" w:color="auto"/>
              <w:left w:val="nil"/>
              <w:bottom w:val="single" w:sz="8" w:space="0" w:color="000000"/>
              <w:right w:val="single" w:sz="6" w:space="0" w:color="auto"/>
            </w:tcBorders>
            <w:shd w:val="clear" w:color="000000" w:fill="FFFFFF"/>
            <w:vAlign w:val="center"/>
            <w:hideMark/>
          </w:tcPr>
          <w:p w:rsidR="003C0B74" w:rsidRPr="009E5F95" w:rsidRDefault="003C0B74" w:rsidP="00377D21">
            <w:pPr>
              <w:pStyle w:val="NoSpacing"/>
              <w:rPr>
                <w:rFonts w:ascii="Times New Roman" w:hAnsi="Times New Roman" w:cs="Times New Roman"/>
                <w:sz w:val="20"/>
                <w:szCs w:val="20"/>
              </w:rPr>
            </w:pPr>
            <w:r w:rsidRPr="009E5F95">
              <w:rPr>
                <w:rFonts w:ascii="Times New Roman" w:hAnsi="Times New Roman" w:cs="Times New Roman"/>
                <w:sz w:val="20"/>
                <w:szCs w:val="20"/>
              </w:rPr>
              <w:t>p value</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7"/>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AGE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r w:rsidRPr="009E5F95">
              <w:rPr>
                <w:rFonts w:ascii="Times New Roman" w:hAnsi="Times New Roman" w:cs="Times New Roman"/>
                <w:sz w:val="20"/>
                <w:szCs w:val="20"/>
              </w:rPr>
              <w:t>61.8 (10.3)</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61.4 (9.8)</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0.7512</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vertAlign w:val="superscript"/>
              </w:rPr>
            </w:pPr>
            <w:r w:rsidRPr="009E5F95">
              <w:rPr>
                <w:rFonts w:ascii="Times New Roman" w:hAnsi="Times New Roman" w:cs="Times New Roman"/>
                <w:b/>
                <w:bCs/>
                <w:sz w:val="20"/>
                <w:szCs w:val="20"/>
              </w:rPr>
              <w:t>EJECFRAC</w:t>
            </w:r>
            <w:r w:rsidRPr="009E5F95">
              <w:rPr>
                <w:rFonts w:ascii="Times New Roman" w:hAnsi="Times New Roman" w:cs="Times New Roman"/>
                <w:b/>
                <w:bCs/>
                <w:sz w:val="20"/>
                <w:szCs w:val="20"/>
                <w:vertAlign w:val="superscript"/>
              </w:rPr>
              <w:t>+</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r w:rsidRPr="009E5F95">
              <w:rPr>
                <w:rFonts w:ascii="Times New Roman" w:hAnsi="Times New Roman" w:cs="Times New Roman"/>
                <w:sz w:val="20"/>
                <w:szCs w:val="20"/>
              </w:rPr>
              <w:t>60.2 (11.6)</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r w:rsidRPr="009E5F95">
              <w:rPr>
                <w:rFonts w:ascii="Times New Roman" w:hAnsi="Times New Roman" w:cs="Times New Roman"/>
                <w:sz w:val="20"/>
                <w:szCs w:val="20"/>
              </w:rPr>
              <w:t>62.2 (12.0)</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0.1564</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STATUS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0.9476</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mild</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55 (36.4%)</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54 (36.2%)</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moderate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62 (41.1%)</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61 (40.9%)</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severe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6 (4.0%)</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8 (5.4%)</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very severe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28 (18.5%)</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26 (17.4%)</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DIAB yes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0.8412</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no</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117 (77.5%)</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114 (76.5%)</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yes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34 (22.5%)</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35 (23.5%)</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HYPER</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0.4889</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no</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72 (47.7%)</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77 (51.7%)</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0"/>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yes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79 (52.3%)</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72 (48.3%)</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0"/>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SEX</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0.7415</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Female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40 (26.5%)</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42 (28.2%)</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Male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111 (73.5%)</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107 (71.8%)</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RACE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0.5515</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White</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139 (92.1%)</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140 (94.0%)</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4"/>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Asian</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 (0.7%)</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0 (0.0%)</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4"/>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Black</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11 (7.3%)</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9 (6.0%)</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CHF</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0.7198</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no</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147 (97.4%)</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144 (96.6%)</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4"/>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yes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4 (2.6%)</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 (3.4%)</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MI</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0.7945</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no</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90 (59.6%)</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91 (61.1%)</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yes</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61 (40.4%)</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58 (38.9%)</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HXSMK</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 </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b/>
                <w:bCs/>
                <w:sz w:val="20"/>
                <w:szCs w:val="20"/>
              </w:rPr>
            </w:pPr>
            <w:r w:rsidRPr="009E5F95">
              <w:rPr>
                <w:rFonts w:ascii="Times New Roman" w:hAnsi="Times New Roman" w:cs="Times New Roman"/>
                <w:b/>
                <w:bCs/>
                <w:sz w:val="20"/>
                <w:szCs w:val="20"/>
              </w:rPr>
              <w:t>0.8827</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no</w:t>
            </w:r>
          </w:p>
        </w:tc>
        <w:tc>
          <w:tcPr>
            <w:tcW w:w="189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58 (38.4%)</w:t>
            </w:r>
          </w:p>
        </w:tc>
        <w:tc>
          <w:tcPr>
            <w:tcW w:w="1440" w:type="dxa"/>
            <w:tcBorders>
              <w:top w:val="nil"/>
              <w:left w:val="nil"/>
              <w:bottom w:val="nil"/>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56 (37.6%)</w:t>
            </w:r>
          </w:p>
        </w:tc>
        <w:tc>
          <w:tcPr>
            <w:tcW w:w="1080" w:type="dxa"/>
            <w:tcBorders>
              <w:top w:val="nil"/>
              <w:left w:val="nil"/>
              <w:bottom w:val="nil"/>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2160" w:type="dxa"/>
            <w:tcBorders>
              <w:top w:val="nil"/>
              <w:left w:val="single" w:sz="6" w:space="0" w:color="auto"/>
              <w:bottom w:val="single" w:sz="8" w:space="0" w:color="auto"/>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yes</w:t>
            </w:r>
          </w:p>
        </w:tc>
        <w:tc>
          <w:tcPr>
            <w:tcW w:w="1890" w:type="dxa"/>
            <w:tcBorders>
              <w:top w:val="nil"/>
              <w:left w:val="nil"/>
              <w:bottom w:val="single" w:sz="8" w:space="0" w:color="auto"/>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93 (61.6%)</w:t>
            </w:r>
          </w:p>
        </w:tc>
        <w:tc>
          <w:tcPr>
            <w:tcW w:w="1440" w:type="dxa"/>
            <w:tcBorders>
              <w:top w:val="nil"/>
              <w:left w:val="nil"/>
              <w:bottom w:val="single" w:sz="8" w:space="0" w:color="auto"/>
              <w:right w:val="nil"/>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93 (62.4%)</w:t>
            </w:r>
          </w:p>
        </w:tc>
        <w:tc>
          <w:tcPr>
            <w:tcW w:w="1080" w:type="dxa"/>
            <w:tcBorders>
              <w:top w:val="nil"/>
              <w:left w:val="nil"/>
              <w:bottom w:val="single" w:sz="8" w:space="0" w:color="auto"/>
              <w:right w:val="single" w:sz="6" w:space="0" w:color="auto"/>
            </w:tcBorders>
            <w:shd w:val="clear" w:color="000000" w:fill="FFFFFF"/>
            <w:vAlign w:val="center"/>
            <w:hideMark/>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rPr>
              <w:t> </w:t>
            </w:r>
          </w:p>
        </w:tc>
      </w:tr>
      <w:tr w:rsidR="00AF5FEE" w:rsidRPr="009E5F95" w:rsidTr="00C27F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6"/>
          <w:jc w:val="center"/>
        </w:trPr>
        <w:tc>
          <w:tcPr>
            <w:tcW w:w="6570" w:type="dxa"/>
            <w:gridSpan w:val="4"/>
            <w:tcBorders>
              <w:top w:val="nil"/>
              <w:left w:val="single" w:sz="6" w:space="0" w:color="auto"/>
              <w:bottom w:val="single" w:sz="8" w:space="0" w:color="auto"/>
              <w:right w:val="single" w:sz="6" w:space="0" w:color="auto"/>
            </w:tcBorders>
            <w:shd w:val="clear" w:color="000000" w:fill="FFFFFF"/>
            <w:vAlign w:val="center"/>
          </w:tcPr>
          <w:p w:rsidR="00AF5FEE" w:rsidRPr="009E5F95" w:rsidRDefault="00AF5FEE" w:rsidP="00AF5FEE">
            <w:pPr>
              <w:pStyle w:val="NoSpacing"/>
              <w:rPr>
                <w:rFonts w:ascii="Times New Roman" w:hAnsi="Times New Roman" w:cs="Times New Roman"/>
                <w:sz w:val="20"/>
                <w:szCs w:val="20"/>
              </w:rPr>
            </w:pPr>
            <w:r w:rsidRPr="009E5F95">
              <w:rPr>
                <w:rFonts w:ascii="Times New Roman" w:hAnsi="Times New Roman" w:cs="Times New Roman"/>
                <w:sz w:val="20"/>
                <w:szCs w:val="20"/>
                <w:vertAlign w:val="superscript"/>
              </w:rPr>
              <w:t>+</w:t>
            </w:r>
            <w:r w:rsidRPr="009E5F95">
              <w:rPr>
                <w:rFonts w:ascii="Times New Roman" w:hAnsi="Times New Roman" w:cs="Times New Roman"/>
                <w:sz w:val="20"/>
                <w:szCs w:val="20"/>
              </w:rPr>
              <w:t>Few missing values are presented and mean (</w:t>
            </w:r>
            <w:proofErr w:type="spellStart"/>
            <w:r w:rsidRPr="009E5F95">
              <w:rPr>
                <w:rFonts w:ascii="Times New Roman" w:hAnsi="Times New Roman" w:cs="Times New Roman"/>
                <w:sz w:val="20"/>
                <w:szCs w:val="20"/>
              </w:rPr>
              <w:t>sd</w:t>
            </w:r>
            <w:proofErr w:type="spellEnd"/>
            <w:r w:rsidRPr="009E5F95">
              <w:rPr>
                <w:rFonts w:ascii="Times New Roman" w:hAnsi="Times New Roman" w:cs="Times New Roman"/>
                <w:sz w:val="20"/>
                <w:szCs w:val="20"/>
              </w:rPr>
              <w:t>) are calculated based on available data</w:t>
            </w:r>
          </w:p>
        </w:tc>
      </w:tr>
    </w:tbl>
    <w:p w:rsidR="00377D21" w:rsidRDefault="00377D21" w:rsidP="008B5DD4">
      <w:pPr>
        <w:rPr>
          <w:rFonts w:ascii="Times New Roman" w:hAnsi="Times New Roman" w:cs="Times New Roman"/>
        </w:rPr>
      </w:pPr>
    </w:p>
    <w:p w:rsidR="009E5F95" w:rsidRDefault="00AF5FEE" w:rsidP="008B5DD4">
      <w:pPr>
        <w:rPr>
          <w:rFonts w:ascii="Times New Roman" w:hAnsi="Times New Roman" w:cs="Times New Roman"/>
        </w:rPr>
      </w:pPr>
      <w:r>
        <w:rPr>
          <w:rFonts w:ascii="Times New Roman" w:hAnsi="Times New Roman" w:cs="Times New Roman"/>
        </w:rPr>
        <w:t xml:space="preserve">Treatment, status, and baseline characteristics of patients in each hospital stay group are listed in Table II. </w:t>
      </w:r>
      <w:r w:rsidR="00A3695A">
        <w:rPr>
          <w:rFonts w:ascii="Times New Roman" w:hAnsi="Times New Roman" w:cs="Times New Roman"/>
        </w:rPr>
        <w:t>By comparing the p-values of variables and the 0.05 significance level, age is related to the hospital stay</w:t>
      </w:r>
      <w:r w:rsidR="00304372">
        <w:rPr>
          <w:rFonts w:ascii="Times New Roman" w:hAnsi="Times New Roman" w:cs="Times New Roman"/>
        </w:rPr>
        <w:t xml:space="preserve"> </w:t>
      </w:r>
      <w:r w:rsidR="00A3695A">
        <w:rPr>
          <w:rFonts w:ascii="Times New Roman" w:hAnsi="Times New Roman" w:cs="Times New Roman"/>
        </w:rPr>
        <w:t>that older patients are more likely to have symptoms which require hospitalization during the follow-up period after the treatment. Besides, the history of hypertension is ass</w:t>
      </w:r>
      <w:r w:rsidR="00304372">
        <w:rPr>
          <w:rFonts w:ascii="Times New Roman" w:hAnsi="Times New Roman" w:cs="Times New Roman"/>
        </w:rPr>
        <w:t>ociated with the hospital stay. Patients with hypertension have higher probabilities to stay longer in hospital, which indicates that history of hyperte</w:t>
      </w:r>
      <w:r w:rsidR="008E63F1">
        <w:rPr>
          <w:rFonts w:ascii="Times New Roman" w:hAnsi="Times New Roman" w:cs="Times New Roman"/>
        </w:rPr>
        <w:t>nsion may influence the efficacy</w:t>
      </w:r>
      <w:r w:rsidR="00304372">
        <w:rPr>
          <w:rFonts w:ascii="Times New Roman" w:hAnsi="Times New Roman" w:cs="Times New Roman"/>
        </w:rPr>
        <w:t xml:space="preserve"> of treatments. However, treatment is not significantly </w:t>
      </w:r>
      <w:r w:rsidR="00304372">
        <w:rPr>
          <w:rFonts w:ascii="Times New Roman" w:hAnsi="Times New Roman" w:cs="Times New Roman"/>
        </w:rPr>
        <w:lastRenderedPageBreak/>
        <w:t>associated with the length of hospital stay at 0.05 significance level, which indicates that hospital stay over 5-year period can be seen the same between patients received treatment A and B.</w:t>
      </w:r>
    </w:p>
    <w:tbl>
      <w:tblPr>
        <w:tblW w:w="6763" w:type="dxa"/>
        <w:tblInd w:w="1080" w:type="dxa"/>
        <w:tblLook w:val="04A0" w:firstRow="1" w:lastRow="0" w:firstColumn="1" w:lastColumn="0" w:noHBand="0" w:noVBand="1"/>
      </w:tblPr>
      <w:tblGrid>
        <w:gridCol w:w="1357"/>
        <w:gridCol w:w="1216"/>
        <w:gridCol w:w="1216"/>
        <w:gridCol w:w="1116"/>
        <w:gridCol w:w="1116"/>
        <w:gridCol w:w="766"/>
      </w:tblGrid>
      <w:tr w:rsidR="00AF5FEE" w:rsidRPr="00AF5FEE" w:rsidTr="009E5F95">
        <w:trPr>
          <w:trHeight w:val="290"/>
        </w:trPr>
        <w:tc>
          <w:tcPr>
            <w:tcW w:w="6763" w:type="dxa"/>
            <w:gridSpan w:val="6"/>
            <w:tcBorders>
              <w:top w:val="single" w:sz="8" w:space="0" w:color="000000"/>
              <w:left w:val="single" w:sz="6" w:space="0" w:color="auto"/>
              <w:bottom w:val="single" w:sz="8" w:space="0" w:color="auto"/>
              <w:right w:val="single" w:sz="6" w:space="0" w:color="auto"/>
            </w:tcBorders>
            <w:shd w:val="clear" w:color="000000" w:fill="FFFFFF"/>
            <w:vAlign w:val="center"/>
            <w:hideMark/>
          </w:tcPr>
          <w:p w:rsidR="00AF5FEE" w:rsidRPr="00AF5FEE" w:rsidRDefault="00AF5FEE" w:rsidP="009E5F95">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 </w:t>
            </w:r>
            <w:r w:rsidR="009E5F95" w:rsidRPr="009E5F95">
              <w:rPr>
                <w:rFonts w:ascii="Times New Roman" w:eastAsia="Times New Roman" w:hAnsi="Times New Roman" w:cs="Times New Roman"/>
                <w:b/>
                <w:bCs/>
                <w:color w:val="000000"/>
              </w:rPr>
              <w:t>Table II</w:t>
            </w:r>
            <w:r w:rsidR="009E5F95">
              <w:rPr>
                <w:rFonts w:ascii="Times New Roman" w:eastAsia="Times New Roman" w:hAnsi="Times New Roman" w:cs="Times New Roman"/>
                <w:b/>
                <w:bCs/>
                <w:color w:val="000000"/>
                <w:sz w:val="20"/>
                <w:szCs w:val="20"/>
              </w:rPr>
              <w:t xml:space="preserve">   </w:t>
            </w:r>
            <w:r w:rsidR="009E5F95" w:rsidRPr="00377D21">
              <w:rPr>
                <w:rFonts w:ascii="Times New Roman" w:hAnsi="Times New Roman" w:cs="Times New Roman"/>
              </w:rPr>
              <w:t xml:space="preserve">Characteristics of Patients in </w:t>
            </w:r>
            <w:r w:rsidR="009E5F95">
              <w:rPr>
                <w:rFonts w:ascii="Times New Roman" w:hAnsi="Times New Roman" w:cs="Times New Roman"/>
              </w:rPr>
              <w:t>Four</w:t>
            </w:r>
            <w:r w:rsidR="009E5F95" w:rsidRPr="00377D21">
              <w:rPr>
                <w:rFonts w:ascii="Times New Roman" w:hAnsi="Times New Roman" w:cs="Times New Roman"/>
              </w:rPr>
              <w:t xml:space="preserve"> </w:t>
            </w:r>
            <w:r w:rsidR="009E5F95">
              <w:rPr>
                <w:rFonts w:ascii="Times New Roman" w:hAnsi="Times New Roman" w:cs="Times New Roman"/>
              </w:rPr>
              <w:t>Hospital Stay</w:t>
            </w:r>
            <w:r w:rsidR="009E5F95" w:rsidRPr="00377D21">
              <w:rPr>
                <w:rFonts w:ascii="Times New Roman" w:hAnsi="Times New Roman" w:cs="Times New Roman"/>
              </w:rPr>
              <w:t xml:space="preserve"> Groups</w:t>
            </w:r>
          </w:p>
        </w:tc>
      </w:tr>
      <w:tr w:rsidR="00AF5FEE" w:rsidRPr="00AF5FEE" w:rsidTr="009E5F95">
        <w:trPr>
          <w:cantSplit/>
          <w:trHeight w:val="90"/>
        </w:trPr>
        <w:tc>
          <w:tcPr>
            <w:tcW w:w="1333" w:type="dxa"/>
            <w:tcBorders>
              <w:top w:val="single" w:sz="8" w:space="0" w:color="auto"/>
              <w:left w:val="single" w:sz="6" w:space="0" w:color="auto"/>
              <w:bottom w:val="single" w:sz="8" w:space="0" w:color="000000"/>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single" w:sz="8" w:space="0" w:color="auto"/>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more than 1 month stay                                        (N=39)</w:t>
            </w:r>
          </w:p>
        </w:tc>
        <w:tc>
          <w:tcPr>
            <w:tcW w:w="1216" w:type="dxa"/>
            <w:tcBorders>
              <w:top w:val="single" w:sz="8" w:space="0" w:color="auto"/>
              <w:left w:val="nil"/>
              <w:bottom w:val="single" w:sz="6" w:space="0" w:color="auto"/>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more than 1 week but within 1 month stay                                        (N=117)</w:t>
            </w:r>
          </w:p>
        </w:tc>
        <w:tc>
          <w:tcPr>
            <w:tcW w:w="1116" w:type="dxa"/>
            <w:tcBorders>
              <w:top w:val="single" w:sz="8" w:space="0" w:color="auto"/>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within 1 week stay                                        (N=95)</w:t>
            </w:r>
          </w:p>
        </w:tc>
        <w:tc>
          <w:tcPr>
            <w:tcW w:w="1116" w:type="dxa"/>
            <w:tcBorders>
              <w:top w:val="single" w:sz="8" w:space="0" w:color="auto"/>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no hospital stay                                        (N=49)</w:t>
            </w:r>
          </w:p>
        </w:tc>
        <w:tc>
          <w:tcPr>
            <w:tcW w:w="766" w:type="dxa"/>
            <w:tcBorders>
              <w:top w:val="single" w:sz="8" w:space="0" w:color="auto"/>
              <w:left w:val="nil"/>
              <w:bottom w:val="single" w:sz="8" w:space="0" w:color="000000"/>
              <w:right w:val="single" w:sz="6" w:space="0" w:color="auto"/>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p value</w:t>
            </w:r>
          </w:p>
        </w:tc>
      </w:tr>
      <w:tr w:rsidR="00AF5FEE" w:rsidRPr="00AF61DE" w:rsidTr="009E5F95">
        <w:trPr>
          <w:cantSplit/>
          <w:trHeight w:val="4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AGE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63.7 (11.6)</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62.8 (10.4)</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59.8 (8.9)</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60.6 (9.5)</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0.0286</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vertAlign w:val="superscript"/>
              </w:rPr>
            </w:pPr>
            <w:r w:rsidRPr="00AF5FEE">
              <w:rPr>
                <w:rFonts w:ascii="Times New Roman" w:eastAsia="Times New Roman" w:hAnsi="Times New Roman" w:cs="Times New Roman"/>
                <w:b/>
                <w:bCs/>
                <w:color w:val="000000"/>
                <w:sz w:val="20"/>
                <w:szCs w:val="20"/>
              </w:rPr>
              <w:t>EJECFRAC</w:t>
            </w:r>
            <w:r w:rsidR="009E5F95">
              <w:rPr>
                <w:rFonts w:ascii="Times New Roman" w:eastAsia="Times New Roman" w:hAnsi="Times New Roman" w:cs="Times New Roman"/>
                <w:b/>
                <w:bCs/>
                <w:color w:val="000000"/>
                <w:sz w:val="20"/>
                <w:szCs w:val="20"/>
                <w:vertAlign w:val="superscript"/>
              </w:rPr>
              <w:t>+</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63.1 (11.2)</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61.3 (11.6)</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60.9 (12.6)</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60.2 (11.4)</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0.8574</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TREAT</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0.0692</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A</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20 (51.3%)</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67 (57.3%)</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47 (49.5%)</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17 (34.7%)</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B</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19 (48.7%)</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50 (42.7%)</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48 (50.5%)</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32 (65.3%)</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STATUS</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0.6323</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mild</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14 (35.9%)</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41 (35.0%)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41 (43.2%)</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13 (26.5%)</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moderate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16 (41.0%)</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46 (39.3%)</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36 (37.9%)</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25 (51.0%)</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severe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 (7.7%)</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7 (6.0%)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 (2.1%)</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 (4.1%)</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very severe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 (15.4%)</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23 (19.7%)</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16 (16.8%)</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9 (18.4%)</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29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DIAB</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0.0775</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no</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26 (66.7%)</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86 (73.5%)</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81 (85.3%)</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38 (77.6%)</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yes</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13 (33.3%)</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31 (26.5%)</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14 (14.7%)</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11 (22.4%)</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29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HYPER</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0.003</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no</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10 (25.6%)</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55 (47.0%)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54 (56.8%)</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30 (61.2%)</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yes</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29 (74.4%)</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62 (53.0%)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41 (43.2%)</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19 (38.8%)</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SEX</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0.2581</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Female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14 (35.9%)</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36 (30.8%)</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21 (22.1%)</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11 (22.4%)</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Male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25 (64.1%)</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81 (69.2%)</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74 (77.9%)</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38 (77.6%)</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RACE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0.3669</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9E5F95" w:rsidP="00AF5FE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w:t>
            </w:r>
            <w:r w:rsidR="00AF5FEE" w:rsidRPr="00AF5FEE">
              <w:rPr>
                <w:rFonts w:ascii="Times New Roman" w:eastAsia="Times New Roman" w:hAnsi="Times New Roman" w:cs="Times New Roman"/>
                <w:color w:val="000000"/>
                <w:sz w:val="20"/>
                <w:szCs w:val="20"/>
              </w:rPr>
              <w:t>hite</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34 (87.2%)</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109 (93.2%)</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91 (95.8%)</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45 (91.8%)</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9E5F95" w:rsidP="00AF5FE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A</w:t>
            </w:r>
            <w:r w:rsidR="00AF5FEE" w:rsidRPr="00AF5FEE">
              <w:rPr>
                <w:rFonts w:ascii="Times New Roman" w:eastAsia="Times New Roman" w:hAnsi="Times New Roman" w:cs="Times New Roman"/>
                <w:color w:val="000000"/>
                <w:sz w:val="20"/>
                <w:szCs w:val="20"/>
              </w:rPr>
              <w:t>sian</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0 (0.0%)</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0 (0.0%)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 (1.1%)</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0 (0.0%)</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290"/>
        </w:trPr>
        <w:tc>
          <w:tcPr>
            <w:tcW w:w="1333" w:type="dxa"/>
            <w:tcBorders>
              <w:top w:val="nil"/>
              <w:left w:val="single" w:sz="6" w:space="0" w:color="auto"/>
              <w:bottom w:val="nil"/>
              <w:right w:val="nil"/>
            </w:tcBorders>
            <w:shd w:val="clear" w:color="000000" w:fill="FFFFFF"/>
            <w:vAlign w:val="center"/>
            <w:hideMark/>
          </w:tcPr>
          <w:p w:rsidR="00AF5FEE" w:rsidRPr="00AF5FEE" w:rsidRDefault="009E5F95" w:rsidP="00AF5FE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B</w:t>
            </w:r>
            <w:r w:rsidR="00AF5FEE" w:rsidRPr="00AF5FEE">
              <w:rPr>
                <w:rFonts w:ascii="Times New Roman" w:eastAsia="Times New Roman" w:hAnsi="Times New Roman" w:cs="Times New Roman"/>
                <w:color w:val="000000"/>
                <w:sz w:val="20"/>
                <w:szCs w:val="20"/>
              </w:rPr>
              <w:t>lack</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 (12.8%)</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8 (6.8%)</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 (3.2%)</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 (8.2%)</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6B63AA">
        <w:trPr>
          <w:cantSplit/>
          <w:trHeight w:val="153"/>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CHF</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0.3647</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no</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39 (100.0%)</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113 (96.6%)</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93 (97.9%)</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46 (93.9%)</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29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yes</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0 (0.0%)</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 (3.4%)</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 (2.1%)</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 (6.1%)</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MI</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0.457</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no</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27 (69.2%)</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65 (55.6%)</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58 (61.1%)</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31 (63.3%)</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yes</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12 (30.8%)</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52 (44.4%)</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37 (38.9%)</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18 (36.7%)</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 </w:t>
            </w:r>
          </w:p>
        </w:tc>
      </w:tr>
      <w:tr w:rsidR="00AF5FEE" w:rsidRPr="00AF61D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b/>
                <w:bCs/>
                <w:color w:val="000000"/>
                <w:sz w:val="20"/>
                <w:szCs w:val="20"/>
              </w:rPr>
            </w:pPr>
            <w:r w:rsidRPr="00AF5FEE">
              <w:rPr>
                <w:rFonts w:ascii="Times New Roman" w:eastAsia="Times New Roman" w:hAnsi="Times New Roman" w:cs="Times New Roman"/>
                <w:b/>
                <w:bCs/>
                <w:color w:val="000000"/>
                <w:sz w:val="20"/>
                <w:szCs w:val="20"/>
              </w:rPr>
              <w:t>HXSMK</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c>
          <w:tcPr>
            <w:tcW w:w="766" w:type="dxa"/>
            <w:tcBorders>
              <w:top w:val="nil"/>
              <w:left w:val="nil"/>
              <w:bottom w:val="nil"/>
              <w:right w:val="single" w:sz="6" w:space="0" w:color="auto"/>
            </w:tcBorders>
            <w:shd w:val="clear" w:color="000000" w:fill="FFFFFF"/>
            <w:vAlign w:val="center"/>
            <w:hideMark/>
          </w:tcPr>
          <w:p w:rsidR="00AF5FEE" w:rsidRPr="00AF61DE" w:rsidRDefault="00AF5FEE" w:rsidP="00AF5FEE">
            <w:pPr>
              <w:spacing w:after="0" w:line="240" w:lineRule="auto"/>
              <w:jc w:val="center"/>
              <w:rPr>
                <w:rFonts w:ascii="Times New Roman" w:eastAsia="Times New Roman" w:hAnsi="Times New Roman" w:cs="Times New Roman"/>
                <w:b/>
                <w:color w:val="000000"/>
                <w:sz w:val="20"/>
                <w:szCs w:val="20"/>
              </w:rPr>
            </w:pPr>
            <w:r w:rsidRPr="00AF61DE">
              <w:rPr>
                <w:rFonts w:ascii="Times New Roman" w:eastAsia="Times New Roman" w:hAnsi="Times New Roman" w:cs="Times New Roman"/>
                <w:b/>
                <w:color w:val="000000"/>
                <w:sz w:val="20"/>
                <w:szCs w:val="20"/>
              </w:rPr>
              <w:t>0.5384</w:t>
            </w:r>
          </w:p>
        </w:tc>
      </w:tr>
      <w:tr w:rsidR="00AF5FEE" w:rsidRPr="00AF5FEE" w:rsidTr="009E5F95">
        <w:trPr>
          <w:cantSplit/>
          <w:trHeight w:val="60"/>
        </w:trPr>
        <w:tc>
          <w:tcPr>
            <w:tcW w:w="1333" w:type="dxa"/>
            <w:tcBorders>
              <w:top w:val="nil"/>
              <w:left w:val="single" w:sz="6" w:space="0" w:color="auto"/>
              <w:bottom w:val="nil"/>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no</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17 (43.6%)</w:t>
            </w:r>
          </w:p>
        </w:tc>
        <w:tc>
          <w:tcPr>
            <w:tcW w:w="12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48 (41.0%)</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31 (32.6%)</w:t>
            </w:r>
          </w:p>
        </w:tc>
        <w:tc>
          <w:tcPr>
            <w:tcW w:w="1116" w:type="dxa"/>
            <w:tcBorders>
              <w:top w:val="nil"/>
              <w:left w:val="nil"/>
              <w:bottom w:val="nil"/>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18 (36.7%)</w:t>
            </w:r>
          </w:p>
        </w:tc>
        <w:tc>
          <w:tcPr>
            <w:tcW w:w="766" w:type="dxa"/>
            <w:tcBorders>
              <w:top w:val="nil"/>
              <w:left w:val="nil"/>
              <w:bottom w:val="nil"/>
              <w:right w:val="single" w:sz="6" w:space="0" w:color="auto"/>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r>
      <w:tr w:rsidR="00AF5FEE" w:rsidRPr="00AF5FEE" w:rsidTr="009E5F95">
        <w:trPr>
          <w:cantSplit/>
          <w:trHeight w:val="60"/>
        </w:trPr>
        <w:tc>
          <w:tcPr>
            <w:tcW w:w="1333" w:type="dxa"/>
            <w:tcBorders>
              <w:top w:val="nil"/>
              <w:left w:val="single" w:sz="6" w:space="0" w:color="auto"/>
              <w:bottom w:val="single" w:sz="8" w:space="0" w:color="000000"/>
              <w:right w:val="nil"/>
            </w:tcBorders>
            <w:shd w:val="clear" w:color="000000" w:fill="FFFFFF"/>
            <w:vAlign w:val="center"/>
            <w:hideMark/>
          </w:tcPr>
          <w:p w:rsidR="00AF5FEE" w:rsidRPr="00AF5FEE" w:rsidRDefault="00AF5FEE" w:rsidP="00AF5FEE">
            <w:pPr>
              <w:spacing w:after="0" w:line="240" w:lineRule="auto"/>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yes</w:t>
            </w:r>
          </w:p>
        </w:tc>
        <w:tc>
          <w:tcPr>
            <w:tcW w:w="1216" w:type="dxa"/>
            <w:tcBorders>
              <w:top w:val="nil"/>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22 (56.4%)</w:t>
            </w:r>
          </w:p>
        </w:tc>
        <w:tc>
          <w:tcPr>
            <w:tcW w:w="1216" w:type="dxa"/>
            <w:tcBorders>
              <w:top w:val="nil"/>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69 (59.0%)</w:t>
            </w:r>
          </w:p>
        </w:tc>
        <w:tc>
          <w:tcPr>
            <w:tcW w:w="1116" w:type="dxa"/>
            <w:tcBorders>
              <w:top w:val="nil"/>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64 (67.4%)</w:t>
            </w:r>
          </w:p>
        </w:tc>
        <w:tc>
          <w:tcPr>
            <w:tcW w:w="1116" w:type="dxa"/>
            <w:tcBorders>
              <w:top w:val="nil"/>
              <w:left w:val="nil"/>
              <w:bottom w:val="single" w:sz="8" w:space="0" w:color="000000"/>
              <w:right w:val="nil"/>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31 (63.3%)</w:t>
            </w:r>
          </w:p>
        </w:tc>
        <w:tc>
          <w:tcPr>
            <w:tcW w:w="766" w:type="dxa"/>
            <w:tcBorders>
              <w:top w:val="nil"/>
              <w:left w:val="nil"/>
              <w:bottom w:val="single" w:sz="8" w:space="0" w:color="000000"/>
              <w:right w:val="single" w:sz="6" w:space="0" w:color="auto"/>
            </w:tcBorders>
            <w:shd w:val="clear" w:color="000000" w:fill="FFFFFF"/>
            <w:vAlign w:val="center"/>
            <w:hideMark/>
          </w:tcPr>
          <w:p w:rsidR="00AF5FEE" w:rsidRPr="00AF5FEE" w:rsidRDefault="00AF5FEE" w:rsidP="00AF5FEE">
            <w:pPr>
              <w:spacing w:after="0" w:line="240" w:lineRule="auto"/>
              <w:jc w:val="center"/>
              <w:rPr>
                <w:rFonts w:ascii="Times New Roman" w:eastAsia="Times New Roman" w:hAnsi="Times New Roman" w:cs="Times New Roman"/>
                <w:color w:val="000000"/>
                <w:sz w:val="20"/>
                <w:szCs w:val="20"/>
              </w:rPr>
            </w:pPr>
            <w:r w:rsidRPr="00AF5FEE">
              <w:rPr>
                <w:rFonts w:ascii="Times New Roman" w:eastAsia="Times New Roman" w:hAnsi="Times New Roman" w:cs="Times New Roman"/>
                <w:color w:val="000000"/>
                <w:sz w:val="20"/>
                <w:szCs w:val="20"/>
              </w:rPr>
              <w:t> </w:t>
            </w:r>
          </w:p>
        </w:tc>
      </w:tr>
      <w:tr w:rsidR="00AF5FEE" w:rsidRPr="00AF5FEE" w:rsidTr="00607B81">
        <w:trPr>
          <w:trHeight w:val="300"/>
        </w:trPr>
        <w:tc>
          <w:tcPr>
            <w:tcW w:w="6763" w:type="dxa"/>
            <w:gridSpan w:val="6"/>
            <w:tcBorders>
              <w:top w:val="single" w:sz="8" w:space="0" w:color="000000"/>
              <w:left w:val="single" w:sz="6" w:space="0" w:color="auto"/>
              <w:bottom w:val="single" w:sz="8" w:space="0" w:color="auto"/>
              <w:right w:val="single" w:sz="6" w:space="0" w:color="auto"/>
            </w:tcBorders>
            <w:shd w:val="clear" w:color="000000" w:fill="FFFFFF"/>
            <w:vAlign w:val="center"/>
            <w:hideMark/>
          </w:tcPr>
          <w:p w:rsidR="00AF5FEE" w:rsidRPr="006B63AA" w:rsidRDefault="00AF5FEE" w:rsidP="00AF5FEE">
            <w:pPr>
              <w:spacing w:after="0" w:line="240" w:lineRule="auto"/>
              <w:rPr>
                <w:rFonts w:ascii="Times New Roman" w:eastAsia="Times New Roman" w:hAnsi="Times New Roman" w:cs="Times New Roman"/>
                <w:color w:val="000000"/>
                <w:sz w:val="20"/>
                <w:szCs w:val="20"/>
              </w:rPr>
            </w:pPr>
            <w:r w:rsidRPr="006B63AA">
              <w:rPr>
                <w:rFonts w:ascii="Times New Roman" w:eastAsia="Times New Roman" w:hAnsi="Times New Roman" w:cs="Times New Roman"/>
                <w:color w:val="000000"/>
                <w:sz w:val="20"/>
                <w:szCs w:val="20"/>
              </w:rPr>
              <w:t> </w:t>
            </w:r>
            <w:r w:rsidR="009E5F95" w:rsidRPr="006B63AA">
              <w:rPr>
                <w:rFonts w:ascii="Times New Roman" w:hAnsi="Times New Roman" w:cs="Times New Roman"/>
                <w:sz w:val="20"/>
                <w:szCs w:val="20"/>
                <w:vertAlign w:val="superscript"/>
              </w:rPr>
              <w:t>+</w:t>
            </w:r>
            <w:r w:rsidR="009E5F95" w:rsidRPr="006B63AA">
              <w:rPr>
                <w:rFonts w:ascii="Times New Roman" w:hAnsi="Times New Roman" w:cs="Times New Roman"/>
                <w:sz w:val="20"/>
                <w:szCs w:val="20"/>
              </w:rPr>
              <w:t>Few missing values are presented and mean (</w:t>
            </w:r>
            <w:proofErr w:type="spellStart"/>
            <w:r w:rsidR="009E5F95" w:rsidRPr="006B63AA">
              <w:rPr>
                <w:rFonts w:ascii="Times New Roman" w:hAnsi="Times New Roman" w:cs="Times New Roman"/>
                <w:sz w:val="20"/>
                <w:szCs w:val="20"/>
              </w:rPr>
              <w:t>sd</w:t>
            </w:r>
            <w:proofErr w:type="spellEnd"/>
            <w:r w:rsidR="009E5F95" w:rsidRPr="006B63AA">
              <w:rPr>
                <w:rFonts w:ascii="Times New Roman" w:hAnsi="Times New Roman" w:cs="Times New Roman"/>
                <w:sz w:val="20"/>
                <w:szCs w:val="20"/>
              </w:rPr>
              <w:t>) are calculated based on available data</w:t>
            </w:r>
          </w:p>
        </w:tc>
      </w:tr>
    </w:tbl>
    <w:p w:rsidR="00AF5FEE" w:rsidRDefault="00AF5FEE" w:rsidP="008B5DD4">
      <w:pPr>
        <w:rPr>
          <w:rFonts w:ascii="Times New Roman" w:hAnsi="Times New Roman" w:cs="Times New Roman"/>
        </w:rPr>
      </w:pPr>
    </w:p>
    <w:p w:rsidR="00304372" w:rsidRDefault="000F19EF" w:rsidP="008B5DD4">
      <w:pPr>
        <w:rPr>
          <w:rFonts w:ascii="Times New Roman" w:hAnsi="Times New Roman" w:cs="Times New Roman"/>
        </w:rPr>
      </w:pPr>
      <w:r>
        <w:rPr>
          <w:rFonts w:ascii="Times New Roman" w:hAnsi="Times New Roman" w:cs="Times New Roman"/>
        </w:rPr>
        <w:t>Although chi-square shows there is no relationship between treatment and hospital stay, generalized logistic model can be used to identify the differences of relative probability of various hospital stay in two treatment groups</w:t>
      </w:r>
      <w:r w:rsidR="00607B81">
        <w:rPr>
          <w:rFonts w:ascii="Times New Roman" w:hAnsi="Times New Roman" w:cs="Times New Roman"/>
        </w:rPr>
        <w:t xml:space="preserve">, which are listed in Table III. It can be seen that the relative probability of more than 1 week but within 1 month stay and no hospital stay in treatment A is 2.522 (1.261, 5.044) times larger than the relative probability in treatment B, which indicates that more patients in treatment A are required to stay in hospital longer, corresponding to no hospital stay, than patients in treatment B. But the other two relative probabilities are not significantly different between treatment A and B. The overall test of </w:t>
      </w:r>
      <w:r w:rsidR="00607B81">
        <w:rPr>
          <w:rFonts w:ascii="Times New Roman" w:hAnsi="Times New Roman" w:cs="Times New Roman"/>
        </w:rPr>
        <w:lastRenderedPageBreak/>
        <w:t>generalized logistic model shows that treatment is not significantly associated with hospital stay with p-value 0.075 at 0.05 significance level.</w:t>
      </w:r>
    </w:p>
    <w:tbl>
      <w:tblPr>
        <w:tblW w:w="9588" w:type="dxa"/>
        <w:tblLook w:val="04A0" w:firstRow="1" w:lastRow="0" w:firstColumn="1" w:lastColumn="0" w:noHBand="0" w:noVBand="1"/>
      </w:tblPr>
      <w:tblGrid>
        <w:gridCol w:w="1127"/>
        <w:gridCol w:w="2014"/>
        <w:gridCol w:w="2756"/>
        <w:gridCol w:w="2880"/>
        <w:gridCol w:w="900"/>
      </w:tblGrid>
      <w:tr w:rsidR="00CC4882" w:rsidRPr="00C27F7E" w:rsidTr="00050100">
        <w:trPr>
          <w:trHeight w:val="30"/>
        </w:trPr>
        <w:tc>
          <w:tcPr>
            <w:tcW w:w="9588" w:type="dxa"/>
            <w:gridSpan w:val="5"/>
            <w:tcBorders>
              <w:top w:val="single" w:sz="8" w:space="0" w:color="auto"/>
              <w:left w:val="single" w:sz="6" w:space="0" w:color="auto"/>
              <w:bottom w:val="nil"/>
              <w:right w:val="single" w:sz="6" w:space="0" w:color="auto"/>
            </w:tcBorders>
            <w:shd w:val="clear" w:color="auto" w:fill="auto"/>
            <w:noWrap/>
            <w:vAlign w:val="bottom"/>
          </w:tcPr>
          <w:p w:rsidR="00CC4882" w:rsidRPr="00C27F7E" w:rsidRDefault="00CC4882" w:rsidP="00CC4882">
            <w:pPr>
              <w:pStyle w:val="NoSpacing"/>
              <w:rPr>
                <w:rFonts w:ascii="Times New Roman" w:hAnsi="Times New Roman" w:cs="Times New Roman"/>
              </w:rPr>
            </w:pPr>
            <w:r w:rsidRPr="00C27F7E">
              <w:rPr>
                <w:rFonts w:ascii="Times New Roman" w:hAnsi="Times New Roman" w:cs="Times New Roman"/>
                <w:b/>
              </w:rPr>
              <w:t>Table III</w:t>
            </w:r>
            <w:r w:rsidRPr="00C27F7E">
              <w:rPr>
                <w:rFonts w:ascii="Times New Roman" w:hAnsi="Times New Roman" w:cs="Times New Roman"/>
              </w:rPr>
              <w:t xml:space="preserve">   Relative Probability of Hospital Stay vs. No Hospital Stay</w:t>
            </w:r>
          </w:p>
        </w:tc>
      </w:tr>
      <w:tr w:rsidR="00CC4882" w:rsidRPr="00CC4882" w:rsidTr="00BD2AEF">
        <w:trPr>
          <w:trHeight w:val="290"/>
        </w:trPr>
        <w:tc>
          <w:tcPr>
            <w:tcW w:w="1038" w:type="dxa"/>
            <w:tcBorders>
              <w:top w:val="single" w:sz="8" w:space="0" w:color="auto"/>
              <w:left w:val="single" w:sz="6" w:space="0" w:color="auto"/>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b/>
                <w:sz w:val="20"/>
                <w:szCs w:val="20"/>
              </w:rPr>
            </w:pPr>
            <w:r w:rsidRPr="00CC4882">
              <w:rPr>
                <w:rFonts w:ascii="Times New Roman" w:hAnsi="Times New Roman" w:cs="Times New Roman"/>
                <w:b/>
                <w:sz w:val="20"/>
                <w:szCs w:val="20"/>
              </w:rPr>
              <w:t>Treatment</w:t>
            </w:r>
          </w:p>
        </w:tc>
        <w:tc>
          <w:tcPr>
            <w:tcW w:w="2014" w:type="dxa"/>
            <w:tcBorders>
              <w:top w:val="single" w:sz="8" w:space="0" w:color="auto"/>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 xml:space="preserve">Relative Probability of within 1 week stay </w:t>
            </w:r>
            <w:r>
              <w:rPr>
                <w:rFonts w:ascii="Times New Roman" w:hAnsi="Times New Roman" w:cs="Times New Roman"/>
                <w:sz w:val="20"/>
                <w:szCs w:val="20"/>
              </w:rPr>
              <w:t xml:space="preserve">vs. no hospital stay </w:t>
            </w:r>
            <w:r w:rsidRPr="00CC4882">
              <w:rPr>
                <w:rFonts w:ascii="Times New Roman" w:hAnsi="Times New Roman" w:cs="Times New Roman"/>
                <w:sz w:val="20"/>
                <w:szCs w:val="20"/>
              </w:rPr>
              <w:t>(95% CI)</w:t>
            </w:r>
          </w:p>
        </w:tc>
        <w:tc>
          <w:tcPr>
            <w:tcW w:w="2756" w:type="dxa"/>
            <w:tcBorders>
              <w:top w:val="single" w:sz="8" w:space="0" w:color="auto"/>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Relative Probability of more than 1 week but within 1 month stay</w:t>
            </w:r>
            <w:r>
              <w:rPr>
                <w:rFonts w:ascii="Times New Roman" w:hAnsi="Times New Roman" w:cs="Times New Roman"/>
                <w:sz w:val="20"/>
                <w:szCs w:val="20"/>
              </w:rPr>
              <w:t xml:space="preserve"> vs. no hospital stay</w:t>
            </w:r>
            <w:r w:rsidRPr="00CC4882">
              <w:rPr>
                <w:rFonts w:ascii="Times New Roman" w:hAnsi="Times New Roman" w:cs="Times New Roman"/>
                <w:sz w:val="20"/>
                <w:szCs w:val="20"/>
              </w:rPr>
              <w:t xml:space="preserve"> (95% CI)</w:t>
            </w:r>
          </w:p>
        </w:tc>
        <w:tc>
          <w:tcPr>
            <w:tcW w:w="2880" w:type="dxa"/>
            <w:tcBorders>
              <w:top w:val="single" w:sz="8" w:space="0" w:color="auto"/>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 xml:space="preserve">Relative Probability of more than 1 month stay </w:t>
            </w:r>
            <w:r>
              <w:rPr>
                <w:rFonts w:ascii="Times New Roman" w:hAnsi="Times New Roman" w:cs="Times New Roman"/>
                <w:sz w:val="20"/>
                <w:szCs w:val="20"/>
              </w:rPr>
              <w:t xml:space="preserve"> vs. no hospital stay </w:t>
            </w:r>
            <w:r w:rsidRPr="00CC4882">
              <w:rPr>
                <w:rFonts w:ascii="Times New Roman" w:hAnsi="Times New Roman" w:cs="Times New Roman"/>
                <w:sz w:val="20"/>
                <w:szCs w:val="20"/>
              </w:rPr>
              <w:t>(95% CI)</w:t>
            </w:r>
          </w:p>
        </w:tc>
        <w:tc>
          <w:tcPr>
            <w:tcW w:w="900" w:type="dxa"/>
            <w:tcBorders>
              <w:top w:val="single" w:sz="8" w:space="0" w:color="auto"/>
              <w:left w:val="nil"/>
              <w:bottom w:val="single" w:sz="8" w:space="0" w:color="auto"/>
              <w:right w:val="single" w:sz="6" w:space="0" w:color="auto"/>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P-value</w:t>
            </w:r>
          </w:p>
        </w:tc>
      </w:tr>
      <w:tr w:rsidR="00CC4882" w:rsidRPr="00CC4882" w:rsidTr="00BD2AEF">
        <w:trPr>
          <w:trHeight w:val="290"/>
        </w:trPr>
        <w:tc>
          <w:tcPr>
            <w:tcW w:w="1038" w:type="dxa"/>
            <w:tcBorders>
              <w:top w:val="single" w:sz="8" w:space="0" w:color="auto"/>
              <w:left w:val="single" w:sz="6" w:space="0" w:color="auto"/>
              <w:bottom w:val="nil"/>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A</w:t>
            </w:r>
          </w:p>
        </w:tc>
        <w:tc>
          <w:tcPr>
            <w:tcW w:w="2014" w:type="dxa"/>
            <w:tcBorders>
              <w:top w:val="single" w:sz="8" w:space="0" w:color="auto"/>
              <w:left w:val="nil"/>
              <w:bottom w:val="nil"/>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1.843 (0.904, 3.759)</w:t>
            </w:r>
          </w:p>
        </w:tc>
        <w:tc>
          <w:tcPr>
            <w:tcW w:w="2756" w:type="dxa"/>
            <w:tcBorders>
              <w:top w:val="single" w:sz="8" w:space="0" w:color="auto"/>
              <w:left w:val="nil"/>
              <w:bottom w:val="nil"/>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2.522 (1.261, 5.044)</w:t>
            </w:r>
          </w:p>
        </w:tc>
        <w:tc>
          <w:tcPr>
            <w:tcW w:w="2880" w:type="dxa"/>
            <w:tcBorders>
              <w:top w:val="single" w:sz="8" w:space="0" w:color="auto"/>
              <w:left w:val="nil"/>
              <w:bottom w:val="nil"/>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1.981 (0.838, 4.684)</w:t>
            </w:r>
          </w:p>
        </w:tc>
        <w:tc>
          <w:tcPr>
            <w:tcW w:w="900" w:type="dxa"/>
            <w:tcBorders>
              <w:top w:val="single" w:sz="8" w:space="0" w:color="auto"/>
              <w:left w:val="nil"/>
              <w:bottom w:val="nil"/>
              <w:right w:val="single" w:sz="6" w:space="0" w:color="auto"/>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0.075</w:t>
            </w:r>
          </w:p>
        </w:tc>
      </w:tr>
      <w:tr w:rsidR="00CC4882" w:rsidRPr="00CC4882" w:rsidTr="00607B81">
        <w:trPr>
          <w:trHeight w:val="290"/>
        </w:trPr>
        <w:tc>
          <w:tcPr>
            <w:tcW w:w="1038" w:type="dxa"/>
            <w:tcBorders>
              <w:top w:val="nil"/>
              <w:left w:val="single" w:sz="6" w:space="0" w:color="auto"/>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B</w:t>
            </w:r>
          </w:p>
        </w:tc>
        <w:tc>
          <w:tcPr>
            <w:tcW w:w="2014" w:type="dxa"/>
            <w:tcBorders>
              <w:top w:val="nil"/>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reference</w:t>
            </w:r>
          </w:p>
        </w:tc>
        <w:tc>
          <w:tcPr>
            <w:tcW w:w="2756" w:type="dxa"/>
            <w:tcBorders>
              <w:top w:val="nil"/>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reference</w:t>
            </w:r>
          </w:p>
        </w:tc>
        <w:tc>
          <w:tcPr>
            <w:tcW w:w="2880" w:type="dxa"/>
            <w:tcBorders>
              <w:top w:val="nil"/>
              <w:left w:val="nil"/>
              <w:bottom w:val="single" w:sz="8" w:space="0" w:color="auto"/>
              <w:right w:val="nil"/>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r w:rsidRPr="00CC4882">
              <w:rPr>
                <w:rFonts w:ascii="Times New Roman" w:hAnsi="Times New Roman" w:cs="Times New Roman"/>
                <w:sz w:val="20"/>
                <w:szCs w:val="20"/>
              </w:rPr>
              <w:t>reference</w:t>
            </w:r>
          </w:p>
        </w:tc>
        <w:tc>
          <w:tcPr>
            <w:tcW w:w="900" w:type="dxa"/>
            <w:tcBorders>
              <w:top w:val="nil"/>
              <w:left w:val="nil"/>
              <w:bottom w:val="single" w:sz="8" w:space="0" w:color="auto"/>
              <w:right w:val="single" w:sz="6" w:space="0" w:color="auto"/>
            </w:tcBorders>
            <w:shd w:val="clear" w:color="auto" w:fill="auto"/>
            <w:noWrap/>
            <w:vAlign w:val="bottom"/>
            <w:hideMark/>
          </w:tcPr>
          <w:p w:rsidR="00CC4882" w:rsidRPr="00CC4882" w:rsidRDefault="00CC4882" w:rsidP="00CC4882">
            <w:pPr>
              <w:pStyle w:val="NoSpacing"/>
              <w:rPr>
                <w:rFonts w:ascii="Times New Roman" w:hAnsi="Times New Roman" w:cs="Times New Roman"/>
                <w:sz w:val="20"/>
                <w:szCs w:val="20"/>
              </w:rPr>
            </w:pPr>
          </w:p>
        </w:tc>
      </w:tr>
    </w:tbl>
    <w:p w:rsidR="000F19EF" w:rsidRDefault="000F19EF" w:rsidP="008B5DD4">
      <w:pPr>
        <w:rPr>
          <w:rFonts w:ascii="Times New Roman" w:hAnsi="Times New Roman" w:cs="Times New Roman"/>
        </w:rPr>
      </w:pPr>
    </w:p>
    <w:p w:rsidR="00FA0C9E" w:rsidRDefault="00FA0C9E" w:rsidP="00FA0C9E">
      <w:pPr>
        <w:rPr>
          <w:rFonts w:ascii="Times New Roman" w:hAnsi="Times New Roman" w:cs="Times New Roman"/>
        </w:rPr>
      </w:pPr>
      <w:r>
        <w:rPr>
          <w:rFonts w:ascii="Times New Roman" w:hAnsi="Times New Roman" w:cs="Times New Roman"/>
        </w:rPr>
        <w:t xml:space="preserve">Because hospital stay is an ordinal variable, cumulative logistic model is also appropriate to determine the difference of two treatments. Score test for proportional odds assumption with p-value 0.2415 indicates that the it is a proportional odds model. </w:t>
      </w:r>
      <w:r w:rsidR="00AD6202">
        <w:rPr>
          <w:rFonts w:ascii="Times New Roman" w:hAnsi="Times New Roman" w:cs="Times New Roman"/>
        </w:rPr>
        <w:t xml:space="preserve">From the goodness of fit test, the proportional odds model is appropriate for this data set, though the p-value is not so high. </w:t>
      </w:r>
      <w:r>
        <w:rPr>
          <w:rFonts w:ascii="Times New Roman" w:hAnsi="Times New Roman" w:cs="Times New Roman"/>
        </w:rPr>
        <w:t xml:space="preserve">The </w:t>
      </w:r>
      <w:r w:rsidR="00AD6202">
        <w:rPr>
          <w:rFonts w:ascii="Times New Roman" w:hAnsi="Times New Roman" w:cs="Times New Roman"/>
        </w:rPr>
        <w:t>relative probability</w:t>
      </w:r>
      <w:r>
        <w:rPr>
          <w:rFonts w:ascii="Times New Roman" w:hAnsi="Times New Roman" w:cs="Times New Roman"/>
        </w:rPr>
        <w:t xml:space="preserve"> with 95% confidence interval are listed in Table IV.</w:t>
      </w:r>
      <w:r w:rsidR="008E7F65">
        <w:rPr>
          <w:rFonts w:ascii="Times New Roman" w:hAnsi="Times New Roman" w:cs="Times New Roman"/>
        </w:rPr>
        <w:t xml:space="preserve"> </w:t>
      </w:r>
      <w:r w:rsidR="00C25203">
        <w:rPr>
          <w:rFonts w:ascii="Times New Roman" w:hAnsi="Times New Roman" w:cs="Times New Roman"/>
        </w:rPr>
        <w:t xml:space="preserve">The relative probability of </w:t>
      </w:r>
      <w:r w:rsidR="00147503">
        <w:rPr>
          <w:rFonts w:ascii="Times New Roman" w:hAnsi="Times New Roman" w:cs="Times New Roman"/>
        </w:rPr>
        <w:t xml:space="preserve">more than 1 week stay </w:t>
      </w:r>
      <w:r w:rsidR="00C25203">
        <w:rPr>
          <w:rFonts w:ascii="Times New Roman" w:hAnsi="Times New Roman" w:cs="Times New Roman"/>
        </w:rPr>
        <w:t xml:space="preserve">to </w:t>
      </w:r>
      <w:r w:rsidR="00147503">
        <w:rPr>
          <w:rFonts w:ascii="Times New Roman" w:hAnsi="Times New Roman" w:cs="Times New Roman"/>
        </w:rPr>
        <w:t xml:space="preserve">less than 1 week stay </w:t>
      </w:r>
      <w:r w:rsidR="00C25203">
        <w:rPr>
          <w:rFonts w:ascii="Times New Roman" w:hAnsi="Times New Roman" w:cs="Times New Roman"/>
        </w:rPr>
        <w:t>of patients who received treatment A is 1.554 (1.026, 2.355) times more than the relative probability of</w:t>
      </w:r>
      <w:r w:rsidR="00147503">
        <w:rPr>
          <w:rFonts w:ascii="Times New Roman" w:hAnsi="Times New Roman" w:cs="Times New Roman"/>
        </w:rPr>
        <w:t xml:space="preserve"> patients received treatment B, which may indicate that treatment B would perform better than treatment A.</w:t>
      </w:r>
    </w:p>
    <w:tbl>
      <w:tblPr>
        <w:tblW w:w="4219" w:type="dxa"/>
        <w:jc w:val="center"/>
        <w:tblLook w:val="04A0" w:firstRow="1" w:lastRow="0" w:firstColumn="1" w:lastColumn="0" w:noHBand="0" w:noVBand="1"/>
      </w:tblPr>
      <w:tblGrid>
        <w:gridCol w:w="960"/>
        <w:gridCol w:w="361"/>
        <w:gridCol w:w="1938"/>
        <w:gridCol w:w="960"/>
      </w:tblGrid>
      <w:tr w:rsidR="00FA0C9E" w:rsidRPr="00C27F7E" w:rsidTr="00AD6202">
        <w:trPr>
          <w:trHeight w:val="290"/>
          <w:jc w:val="center"/>
        </w:trPr>
        <w:tc>
          <w:tcPr>
            <w:tcW w:w="4219" w:type="dxa"/>
            <w:gridSpan w:val="4"/>
            <w:tcBorders>
              <w:top w:val="single" w:sz="8" w:space="0" w:color="auto"/>
              <w:left w:val="single" w:sz="6" w:space="0" w:color="auto"/>
              <w:bottom w:val="single" w:sz="8" w:space="0" w:color="auto"/>
              <w:right w:val="single" w:sz="6" w:space="0" w:color="auto"/>
            </w:tcBorders>
            <w:shd w:val="clear" w:color="auto" w:fill="auto"/>
            <w:noWrap/>
            <w:vAlign w:val="bottom"/>
          </w:tcPr>
          <w:p w:rsidR="00FA0C9E" w:rsidRPr="00C27F7E" w:rsidRDefault="00FA0C9E" w:rsidP="00FA0C9E">
            <w:pPr>
              <w:pStyle w:val="NoSpacing"/>
              <w:rPr>
                <w:rFonts w:ascii="Times New Roman" w:hAnsi="Times New Roman" w:cs="Times New Roman"/>
                <w:color w:val="000000"/>
              </w:rPr>
            </w:pPr>
            <w:r w:rsidRPr="00C27F7E">
              <w:rPr>
                <w:rFonts w:ascii="Times New Roman" w:hAnsi="Times New Roman" w:cs="Times New Roman"/>
                <w:b/>
                <w:color w:val="000000"/>
              </w:rPr>
              <w:t>Table IV</w:t>
            </w:r>
            <w:r w:rsidRPr="00C27F7E">
              <w:rPr>
                <w:rFonts w:ascii="Times New Roman" w:hAnsi="Times New Roman" w:cs="Times New Roman"/>
                <w:color w:val="000000"/>
              </w:rPr>
              <w:t xml:space="preserve">   Proportional Odds Ratio</w:t>
            </w:r>
          </w:p>
        </w:tc>
      </w:tr>
      <w:tr w:rsidR="00FA0C9E" w:rsidRPr="00FA0C9E" w:rsidTr="00AD6202">
        <w:trPr>
          <w:trHeight w:val="290"/>
          <w:jc w:val="center"/>
        </w:trPr>
        <w:tc>
          <w:tcPr>
            <w:tcW w:w="960" w:type="dxa"/>
            <w:tcBorders>
              <w:top w:val="single" w:sz="8" w:space="0" w:color="auto"/>
              <w:left w:val="single" w:sz="6" w:space="0" w:color="auto"/>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sz w:val="20"/>
                <w:szCs w:val="20"/>
              </w:rPr>
            </w:pPr>
          </w:p>
        </w:tc>
        <w:tc>
          <w:tcPr>
            <w:tcW w:w="361" w:type="dxa"/>
            <w:tcBorders>
              <w:top w:val="single" w:sz="8" w:space="0" w:color="auto"/>
              <w:left w:val="nil"/>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sz w:val="20"/>
                <w:szCs w:val="20"/>
              </w:rPr>
            </w:pPr>
          </w:p>
        </w:tc>
        <w:tc>
          <w:tcPr>
            <w:tcW w:w="1938" w:type="dxa"/>
            <w:tcBorders>
              <w:top w:val="single" w:sz="8" w:space="0" w:color="auto"/>
              <w:left w:val="nil"/>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Proportional Odds Ratio (95% CI)</w:t>
            </w:r>
          </w:p>
        </w:tc>
        <w:tc>
          <w:tcPr>
            <w:tcW w:w="960" w:type="dxa"/>
            <w:tcBorders>
              <w:top w:val="single" w:sz="8" w:space="0" w:color="auto"/>
              <w:left w:val="nil"/>
              <w:bottom w:val="nil"/>
              <w:right w:val="single" w:sz="6" w:space="0" w:color="auto"/>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P-value</w:t>
            </w:r>
          </w:p>
        </w:tc>
      </w:tr>
      <w:tr w:rsidR="00FA0C9E" w:rsidRPr="00FA0C9E" w:rsidTr="00AD6202">
        <w:trPr>
          <w:trHeight w:val="290"/>
          <w:jc w:val="center"/>
        </w:trPr>
        <w:tc>
          <w:tcPr>
            <w:tcW w:w="1321" w:type="dxa"/>
            <w:gridSpan w:val="2"/>
            <w:tcBorders>
              <w:top w:val="single" w:sz="8" w:space="0" w:color="auto"/>
              <w:left w:val="single" w:sz="6" w:space="0" w:color="auto"/>
              <w:bottom w:val="nil"/>
              <w:right w:val="nil"/>
            </w:tcBorders>
            <w:shd w:val="clear" w:color="auto" w:fill="auto"/>
            <w:noWrap/>
            <w:vAlign w:val="bottom"/>
            <w:hideMark/>
          </w:tcPr>
          <w:p w:rsidR="00FA0C9E" w:rsidRPr="009C14A9" w:rsidRDefault="00FA0C9E" w:rsidP="00FA0C9E">
            <w:pPr>
              <w:pStyle w:val="NoSpacing"/>
              <w:rPr>
                <w:rFonts w:ascii="Times New Roman" w:hAnsi="Times New Roman" w:cs="Times New Roman"/>
                <w:b/>
                <w:color w:val="000000"/>
                <w:sz w:val="20"/>
                <w:szCs w:val="20"/>
              </w:rPr>
            </w:pPr>
            <w:r w:rsidRPr="009C14A9">
              <w:rPr>
                <w:rFonts w:ascii="Times New Roman" w:hAnsi="Times New Roman" w:cs="Times New Roman"/>
                <w:b/>
                <w:color w:val="000000"/>
                <w:sz w:val="20"/>
                <w:szCs w:val="20"/>
              </w:rPr>
              <w:t>Treatment</w:t>
            </w:r>
          </w:p>
        </w:tc>
        <w:tc>
          <w:tcPr>
            <w:tcW w:w="1938" w:type="dxa"/>
            <w:tcBorders>
              <w:top w:val="single" w:sz="8" w:space="0" w:color="auto"/>
              <w:left w:val="nil"/>
              <w:bottom w:val="nil"/>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p>
        </w:tc>
        <w:tc>
          <w:tcPr>
            <w:tcW w:w="960" w:type="dxa"/>
            <w:tcBorders>
              <w:top w:val="single" w:sz="8" w:space="0" w:color="auto"/>
              <w:left w:val="nil"/>
              <w:bottom w:val="nil"/>
              <w:right w:val="single" w:sz="6" w:space="0" w:color="auto"/>
            </w:tcBorders>
            <w:shd w:val="clear" w:color="auto" w:fill="auto"/>
            <w:noWrap/>
            <w:vAlign w:val="bottom"/>
            <w:hideMark/>
          </w:tcPr>
          <w:p w:rsidR="00FA0C9E" w:rsidRPr="00FA0C9E" w:rsidRDefault="00FA0C9E" w:rsidP="00FA0C9E">
            <w:pPr>
              <w:pStyle w:val="NoSpacing"/>
              <w:rPr>
                <w:rFonts w:ascii="Times New Roman" w:hAnsi="Times New Roman" w:cs="Times New Roman"/>
                <w:sz w:val="20"/>
                <w:szCs w:val="20"/>
              </w:rPr>
            </w:pPr>
          </w:p>
        </w:tc>
      </w:tr>
      <w:tr w:rsidR="00FA0C9E" w:rsidRPr="00FA0C9E" w:rsidTr="00AD6202">
        <w:trPr>
          <w:trHeight w:val="290"/>
          <w:jc w:val="center"/>
        </w:trPr>
        <w:tc>
          <w:tcPr>
            <w:tcW w:w="960" w:type="dxa"/>
            <w:tcBorders>
              <w:top w:val="nil"/>
              <w:left w:val="single" w:sz="6" w:space="0" w:color="auto"/>
              <w:bottom w:val="nil"/>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sz w:val="20"/>
                <w:szCs w:val="20"/>
              </w:rPr>
            </w:pPr>
          </w:p>
        </w:tc>
        <w:tc>
          <w:tcPr>
            <w:tcW w:w="361" w:type="dxa"/>
            <w:tcBorders>
              <w:top w:val="nil"/>
              <w:left w:val="nil"/>
              <w:bottom w:val="nil"/>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A</w:t>
            </w:r>
          </w:p>
        </w:tc>
        <w:tc>
          <w:tcPr>
            <w:tcW w:w="1938" w:type="dxa"/>
            <w:tcBorders>
              <w:top w:val="nil"/>
              <w:left w:val="nil"/>
              <w:bottom w:val="nil"/>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1.554 (1.026, 2.355)</w:t>
            </w:r>
          </w:p>
        </w:tc>
        <w:tc>
          <w:tcPr>
            <w:tcW w:w="960" w:type="dxa"/>
            <w:tcBorders>
              <w:top w:val="nil"/>
              <w:left w:val="nil"/>
              <w:bottom w:val="nil"/>
              <w:right w:val="single" w:sz="6" w:space="0" w:color="auto"/>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0.0376</w:t>
            </w:r>
          </w:p>
        </w:tc>
      </w:tr>
      <w:tr w:rsidR="00FA0C9E" w:rsidRPr="00FA0C9E" w:rsidTr="00AD6202">
        <w:trPr>
          <w:trHeight w:val="290"/>
          <w:jc w:val="center"/>
        </w:trPr>
        <w:tc>
          <w:tcPr>
            <w:tcW w:w="960" w:type="dxa"/>
            <w:tcBorders>
              <w:top w:val="nil"/>
              <w:left w:val="single" w:sz="6" w:space="0" w:color="auto"/>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p>
        </w:tc>
        <w:tc>
          <w:tcPr>
            <w:tcW w:w="361" w:type="dxa"/>
            <w:tcBorders>
              <w:top w:val="nil"/>
              <w:left w:val="nil"/>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B</w:t>
            </w:r>
          </w:p>
        </w:tc>
        <w:tc>
          <w:tcPr>
            <w:tcW w:w="1938" w:type="dxa"/>
            <w:tcBorders>
              <w:top w:val="nil"/>
              <w:left w:val="nil"/>
              <w:bottom w:val="single" w:sz="8" w:space="0" w:color="auto"/>
              <w:right w:val="nil"/>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r w:rsidRPr="00FA0C9E">
              <w:rPr>
                <w:rFonts w:ascii="Times New Roman" w:hAnsi="Times New Roman" w:cs="Times New Roman"/>
                <w:color w:val="000000"/>
                <w:sz w:val="20"/>
                <w:szCs w:val="20"/>
              </w:rPr>
              <w:t>reference</w:t>
            </w:r>
          </w:p>
        </w:tc>
        <w:tc>
          <w:tcPr>
            <w:tcW w:w="960" w:type="dxa"/>
            <w:tcBorders>
              <w:top w:val="nil"/>
              <w:left w:val="nil"/>
              <w:bottom w:val="single" w:sz="8" w:space="0" w:color="auto"/>
              <w:right w:val="single" w:sz="6" w:space="0" w:color="auto"/>
            </w:tcBorders>
            <w:shd w:val="clear" w:color="auto" w:fill="auto"/>
            <w:noWrap/>
            <w:vAlign w:val="bottom"/>
            <w:hideMark/>
          </w:tcPr>
          <w:p w:rsidR="00FA0C9E" w:rsidRPr="00FA0C9E" w:rsidRDefault="00FA0C9E" w:rsidP="00FA0C9E">
            <w:pPr>
              <w:pStyle w:val="NoSpacing"/>
              <w:rPr>
                <w:rFonts w:ascii="Times New Roman" w:hAnsi="Times New Roman" w:cs="Times New Roman"/>
                <w:color w:val="000000"/>
                <w:sz w:val="20"/>
                <w:szCs w:val="20"/>
              </w:rPr>
            </w:pPr>
          </w:p>
        </w:tc>
      </w:tr>
      <w:tr w:rsidR="00AD6202" w:rsidRPr="00FA0C9E" w:rsidTr="00C23B13">
        <w:trPr>
          <w:trHeight w:val="290"/>
          <w:jc w:val="center"/>
        </w:trPr>
        <w:tc>
          <w:tcPr>
            <w:tcW w:w="4219" w:type="dxa"/>
            <w:gridSpan w:val="4"/>
            <w:tcBorders>
              <w:top w:val="single" w:sz="8" w:space="0" w:color="auto"/>
              <w:left w:val="single" w:sz="6" w:space="0" w:color="auto"/>
              <w:bottom w:val="single" w:sz="8" w:space="0" w:color="auto"/>
              <w:right w:val="single" w:sz="6" w:space="0" w:color="auto"/>
            </w:tcBorders>
            <w:shd w:val="clear" w:color="auto" w:fill="auto"/>
            <w:noWrap/>
            <w:vAlign w:val="bottom"/>
          </w:tcPr>
          <w:p w:rsidR="00AD6202" w:rsidRDefault="00AD6202" w:rsidP="00FA0C9E">
            <w:pPr>
              <w:pStyle w:val="NoSpacing"/>
              <w:rPr>
                <w:rFonts w:ascii="Times New Roman" w:hAnsi="Times New Roman" w:cs="Times New Roman"/>
                <w:color w:val="000000"/>
                <w:sz w:val="20"/>
                <w:szCs w:val="20"/>
              </w:rPr>
            </w:pPr>
            <w:r>
              <w:rPr>
                <w:rFonts w:ascii="Times New Roman" w:hAnsi="Times New Roman" w:cs="Times New Roman"/>
                <w:color w:val="000000"/>
                <w:sz w:val="20"/>
                <w:szCs w:val="20"/>
              </w:rPr>
              <w:t>Goodness of Fit Test Deviance p-value is 0.2432</w:t>
            </w:r>
          </w:p>
          <w:p w:rsidR="00AD6202" w:rsidRPr="00FA0C9E" w:rsidRDefault="00AD6202" w:rsidP="00AD6202">
            <w:pPr>
              <w:pStyle w:val="NoSpacing"/>
              <w:rPr>
                <w:rFonts w:ascii="Times New Roman" w:hAnsi="Times New Roman" w:cs="Times New Roman"/>
                <w:color w:val="000000"/>
                <w:sz w:val="20"/>
                <w:szCs w:val="20"/>
              </w:rPr>
            </w:pPr>
            <w:r>
              <w:rPr>
                <w:rFonts w:ascii="Times New Roman" w:hAnsi="Times New Roman" w:cs="Times New Roman"/>
                <w:color w:val="000000"/>
                <w:sz w:val="20"/>
                <w:szCs w:val="20"/>
              </w:rPr>
              <w:t>Goodness of Fit Test Pearson p-value is 0.2425</w:t>
            </w:r>
          </w:p>
        </w:tc>
      </w:tr>
    </w:tbl>
    <w:p w:rsidR="00FA0C9E" w:rsidRDefault="00FA0C9E" w:rsidP="00FA0C9E">
      <w:pPr>
        <w:rPr>
          <w:rFonts w:ascii="Times New Roman" w:hAnsi="Times New Roman" w:cs="Times New Roman"/>
        </w:rPr>
      </w:pPr>
    </w:p>
    <w:p w:rsidR="00147503" w:rsidRDefault="008E63F1" w:rsidP="00FA0C9E">
      <w:pPr>
        <w:rPr>
          <w:rFonts w:ascii="Times New Roman" w:hAnsi="Times New Roman" w:cs="Times New Roman"/>
        </w:rPr>
      </w:pPr>
      <w:r>
        <w:rPr>
          <w:rFonts w:ascii="Times New Roman" w:hAnsi="Times New Roman" w:cs="Times New Roman"/>
        </w:rPr>
        <w:t>The efficacy</w:t>
      </w:r>
      <w:r w:rsidR="009B6CC1">
        <w:rPr>
          <w:rFonts w:ascii="Times New Roman" w:hAnsi="Times New Roman" w:cs="Times New Roman"/>
        </w:rPr>
        <w:t xml:space="preserve"> of treatments in the length of hospital stay may be influenced by patients’ initial disease status, therefore, a three-way contingency table is created to determine the relationship between the treatments and hospital stay based on difference disease status. The results are listed in Table V. </w:t>
      </w:r>
      <w:r w:rsidR="005729EC">
        <w:rPr>
          <w:rFonts w:ascii="Times New Roman" w:hAnsi="Times New Roman" w:cs="Times New Roman"/>
        </w:rPr>
        <w:t xml:space="preserve">Although there are homogeneous </w:t>
      </w:r>
      <w:r w:rsidR="00AD6202">
        <w:rPr>
          <w:rFonts w:ascii="Times New Roman" w:hAnsi="Times New Roman" w:cs="Times New Roman"/>
        </w:rPr>
        <w:t>relative probabilities</w:t>
      </w:r>
      <w:r w:rsidR="005729EC">
        <w:rPr>
          <w:rFonts w:ascii="Times New Roman" w:hAnsi="Times New Roman" w:cs="Times New Roman"/>
        </w:rPr>
        <w:t xml:space="preserve"> in different disease status, it can be seen that the p-value of fisher exact test for the mild status is significant, which indicates that a significant difference is detected in two treatments of patients with mild disease status.</w:t>
      </w:r>
    </w:p>
    <w:tbl>
      <w:tblPr>
        <w:tblW w:w="8902" w:type="dxa"/>
        <w:jc w:val="center"/>
        <w:tblLook w:val="04A0" w:firstRow="1" w:lastRow="0" w:firstColumn="1" w:lastColumn="0" w:noHBand="0" w:noVBand="1"/>
      </w:tblPr>
      <w:tblGrid>
        <w:gridCol w:w="1239"/>
        <w:gridCol w:w="1127"/>
        <w:gridCol w:w="1422"/>
        <w:gridCol w:w="1422"/>
        <w:gridCol w:w="1422"/>
        <w:gridCol w:w="1467"/>
        <w:gridCol w:w="892"/>
      </w:tblGrid>
      <w:tr w:rsidR="009B6CC1" w:rsidRPr="00C27F7E" w:rsidTr="009B6CC1">
        <w:trPr>
          <w:trHeight w:val="290"/>
          <w:jc w:val="center"/>
        </w:trPr>
        <w:tc>
          <w:tcPr>
            <w:tcW w:w="8902" w:type="dxa"/>
            <w:gridSpan w:val="7"/>
            <w:tcBorders>
              <w:top w:val="single" w:sz="8" w:space="0" w:color="auto"/>
              <w:left w:val="single" w:sz="6" w:space="0" w:color="auto"/>
              <w:bottom w:val="single" w:sz="8" w:space="0" w:color="auto"/>
              <w:right w:val="single" w:sz="6" w:space="0" w:color="auto"/>
            </w:tcBorders>
            <w:shd w:val="clear" w:color="auto" w:fill="auto"/>
            <w:noWrap/>
            <w:vAlign w:val="bottom"/>
          </w:tcPr>
          <w:p w:rsidR="009B6CC1" w:rsidRPr="00C27F7E" w:rsidRDefault="009B6CC1" w:rsidP="009B6CC1">
            <w:pPr>
              <w:pStyle w:val="NoSpacing"/>
              <w:rPr>
                <w:rFonts w:ascii="Times New Roman" w:hAnsi="Times New Roman" w:cs="Times New Roman"/>
              </w:rPr>
            </w:pPr>
            <w:r w:rsidRPr="00C27F7E">
              <w:rPr>
                <w:rFonts w:ascii="Times New Roman" w:hAnsi="Times New Roman" w:cs="Times New Roman"/>
                <w:b/>
              </w:rPr>
              <w:t>Table V</w:t>
            </w:r>
            <w:r w:rsidRPr="00C27F7E">
              <w:rPr>
                <w:rFonts w:ascii="Times New Roman" w:hAnsi="Times New Roman" w:cs="Times New Roman"/>
              </w:rPr>
              <w:t xml:space="preserve">   Three-Way Contingency Table of Status, Treatment and Hospital Stay</w:t>
            </w:r>
          </w:p>
        </w:tc>
      </w:tr>
      <w:tr w:rsidR="009B6CC1" w:rsidRPr="009B6CC1" w:rsidTr="009B6CC1">
        <w:trPr>
          <w:trHeight w:val="290"/>
          <w:jc w:val="center"/>
        </w:trPr>
        <w:tc>
          <w:tcPr>
            <w:tcW w:w="1239" w:type="dxa"/>
            <w:tcBorders>
              <w:top w:val="single" w:sz="8" w:space="0" w:color="auto"/>
              <w:left w:val="single" w:sz="6" w:space="0" w:color="auto"/>
              <w:bottom w:val="single" w:sz="8" w:space="0" w:color="auto"/>
              <w:right w:val="nil"/>
            </w:tcBorders>
            <w:shd w:val="clear" w:color="auto" w:fill="auto"/>
            <w:noWrap/>
            <w:vAlign w:val="bottom"/>
            <w:hideMark/>
          </w:tcPr>
          <w:p w:rsidR="009B6CC1" w:rsidRPr="009C14A9" w:rsidRDefault="009B6CC1" w:rsidP="009B6CC1">
            <w:pPr>
              <w:pStyle w:val="NoSpacing"/>
              <w:rPr>
                <w:rFonts w:ascii="Times New Roman" w:hAnsi="Times New Roman" w:cs="Times New Roman"/>
                <w:b/>
                <w:sz w:val="20"/>
                <w:szCs w:val="20"/>
              </w:rPr>
            </w:pPr>
            <w:r w:rsidRPr="009C14A9">
              <w:rPr>
                <w:rFonts w:ascii="Times New Roman" w:hAnsi="Times New Roman" w:cs="Times New Roman"/>
                <w:b/>
                <w:sz w:val="20"/>
                <w:szCs w:val="20"/>
              </w:rPr>
              <w:t>Status</w:t>
            </w:r>
          </w:p>
        </w:tc>
        <w:tc>
          <w:tcPr>
            <w:tcW w:w="1038" w:type="dxa"/>
            <w:tcBorders>
              <w:top w:val="single" w:sz="8" w:space="0" w:color="auto"/>
              <w:left w:val="nil"/>
              <w:bottom w:val="single" w:sz="8" w:space="0" w:color="auto"/>
              <w:right w:val="nil"/>
            </w:tcBorders>
            <w:shd w:val="clear" w:color="auto" w:fill="auto"/>
            <w:noWrap/>
            <w:vAlign w:val="bottom"/>
            <w:hideMark/>
          </w:tcPr>
          <w:p w:rsidR="009B6CC1" w:rsidRPr="009C14A9" w:rsidRDefault="009B6CC1" w:rsidP="009B6CC1">
            <w:pPr>
              <w:pStyle w:val="NoSpacing"/>
              <w:rPr>
                <w:rFonts w:ascii="Times New Roman" w:hAnsi="Times New Roman" w:cs="Times New Roman"/>
                <w:b/>
                <w:sz w:val="20"/>
                <w:szCs w:val="20"/>
              </w:rPr>
            </w:pPr>
            <w:r w:rsidRPr="009C14A9">
              <w:rPr>
                <w:rFonts w:ascii="Times New Roman" w:hAnsi="Times New Roman" w:cs="Times New Roman"/>
                <w:b/>
                <w:sz w:val="20"/>
                <w:szCs w:val="20"/>
              </w:rPr>
              <w:t>Treatment</w:t>
            </w:r>
          </w:p>
        </w:tc>
        <w:tc>
          <w:tcPr>
            <w:tcW w:w="1422" w:type="dxa"/>
            <w:tcBorders>
              <w:top w:val="single" w:sz="8" w:space="0" w:color="auto"/>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Days of no hospital stay n/N(%)</w:t>
            </w:r>
          </w:p>
        </w:tc>
        <w:tc>
          <w:tcPr>
            <w:tcW w:w="1422" w:type="dxa"/>
            <w:tcBorders>
              <w:top w:val="single" w:sz="8" w:space="0" w:color="auto"/>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Days of within 1 week stay n/N(%)</w:t>
            </w:r>
          </w:p>
        </w:tc>
        <w:tc>
          <w:tcPr>
            <w:tcW w:w="1422" w:type="dxa"/>
            <w:tcBorders>
              <w:top w:val="single" w:sz="8" w:space="0" w:color="auto"/>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Days of more than 1 week but within 1 month stay n/N(%)</w:t>
            </w:r>
          </w:p>
        </w:tc>
        <w:tc>
          <w:tcPr>
            <w:tcW w:w="1467" w:type="dxa"/>
            <w:tcBorders>
              <w:top w:val="single" w:sz="8" w:space="0" w:color="auto"/>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Days of more than 1 month stay n/N(%)</w:t>
            </w:r>
          </w:p>
        </w:tc>
        <w:tc>
          <w:tcPr>
            <w:tcW w:w="892" w:type="dxa"/>
            <w:tcBorders>
              <w:top w:val="single" w:sz="8" w:space="0" w:color="auto"/>
              <w:left w:val="nil"/>
              <w:bottom w:val="single" w:sz="8" w:space="0" w:color="auto"/>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P-value</w:t>
            </w:r>
          </w:p>
        </w:tc>
      </w:tr>
      <w:tr w:rsidR="009B6CC1" w:rsidRPr="009B6CC1" w:rsidTr="009B6CC1">
        <w:trPr>
          <w:trHeight w:val="290"/>
          <w:jc w:val="center"/>
        </w:trPr>
        <w:tc>
          <w:tcPr>
            <w:tcW w:w="1239" w:type="dxa"/>
            <w:tcBorders>
              <w:top w:val="single" w:sz="8" w:space="0" w:color="auto"/>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mild</w:t>
            </w:r>
          </w:p>
        </w:tc>
        <w:tc>
          <w:tcPr>
            <w:tcW w:w="1038" w:type="dxa"/>
            <w:tcBorders>
              <w:top w:val="single" w:sz="8" w:space="0" w:color="auto"/>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A</w:t>
            </w:r>
          </w:p>
        </w:tc>
        <w:tc>
          <w:tcPr>
            <w:tcW w:w="1422" w:type="dxa"/>
            <w:tcBorders>
              <w:top w:val="single" w:sz="8" w:space="0" w:color="auto"/>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2/55 (3.64%)</w:t>
            </w:r>
          </w:p>
        </w:tc>
        <w:tc>
          <w:tcPr>
            <w:tcW w:w="1422" w:type="dxa"/>
            <w:tcBorders>
              <w:top w:val="single" w:sz="8" w:space="0" w:color="auto"/>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19/55(34.55%)</w:t>
            </w:r>
          </w:p>
        </w:tc>
        <w:tc>
          <w:tcPr>
            <w:tcW w:w="1422" w:type="dxa"/>
            <w:tcBorders>
              <w:top w:val="single" w:sz="8" w:space="0" w:color="auto"/>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26/55(47.27%)</w:t>
            </w:r>
          </w:p>
        </w:tc>
        <w:tc>
          <w:tcPr>
            <w:tcW w:w="1467" w:type="dxa"/>
            <w:tcBorders>
              <w:top w:val="single" w:sz="8" w:space="0" w:color="auto"/>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8/55 (14.55%)</w:t>
            </w:r>
          </w:p>
        </w:tc>
        <w:tc>
          <w:tcPr>
            <w:tcW w:w="892" w:type="dxa"/>
            <w:tcBorders>
              <w:top w:val="single" w:sz="8" w:space="0" w:color="auto"/>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0.0187</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B</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11/54(20.37%)</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22/54(40.74%)</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15/54(27.78%)</w:t>
            </w:r>
          </w:p>
        </w:tc>
        <w:tc>
          <w:tcPr>
            <w:tcW w:w="2359" w:type="dxa"/>
            <w:gridSpan w:val="2"/>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6/54(11.11%)</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moderate</w:t>
            </w: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A</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12/62(19.35%)</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20/62(32.26%)</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22/62(35.48%)</w:t>
            </w:r>
          </w:p>
        </w:tc>
        <w:tc>
          <w:tcPr>
            <w:tcW w:w="1467"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8/62(12.9%)</w:t>
            </w:r>
          </w:p>
        </w:tc>
        <w:tc>
          <w:tcPr>
            <w:tcW w:w="892" w:type="dxa"/>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0.9038</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B</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13/61(21.31%)</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16/61(26.63%)</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24/61(39.34%)</w:t>
            </w:r>
          </w:p>
        </w:tc>
        <w:tc>
          <w:tcPr>
            <w:tcW w:w="2359" w:type="dxa"/>
            <w:gridSpan w:val="2"/>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8/61(13.11%)</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severe</w:t>
            </w: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A</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0/6(0%)</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0/6(0%)</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4/6(66.67%)</w:t>
            </w:r>
          </w:p>
        </w:tc>
        <w:tc>
          <w:tcPr>
            <w:tcW w:w="1467"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2/6(33.33%)</w:t>
            </w:r>
          </w:p>
        </w:tc>
        <w:tc>
          <w:tcPr>
            <w:tcW w:w="892" w:type="dxa"/>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0.366</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B</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2/8(25%)</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2/8(25%)</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3/8(37.5%)</w:t>
            </w:r>
          </w:p>
        </w:tc>
        <w:tc>
          <w:tcPr>
            <w:tcW w:w="2359" w:type="dxa"/>
            <w:gridSpan w:val="2"/>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1/8(12.5%)</w:t>
            </w:r>
          </w:p>
        </w:tc>
      </w:tr>
      <w:tr w:rsidR="009B6CC1" w:rsidRPr="009B6CC1" w:rsidTr="009B6CC1">
        <w:trPr>
          <w:trHeight w:val="290"/>
          <w:jc w:val="center"/>
        </w:trPr>
        <w:tc>
          <w:tcPr>
            <w:tcW w:w="1239" w:type="dxa"/>
            <w:tcBorders>
              <w:top w:val="nil"/>
              <w:left w:val="single" w:sz="6" w:space="0" w:color="auto"/>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very severe</w:t>
            </w:r>
          </w:p>
        </w:tc>
        <w:tc>
          <w:tcPr>
            <w:tcW w:w="1038"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A</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3/28(10.71%)</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8/28(28.57%)</w:t>
            </w:r>
          </w:p>
        </w:tc>
        <w:tc>
          <w:tcPr>
            <w:tcW w:w="1422"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15/28(53.57%)</w:t>
            </w:r>
          </w:p>
        </w:tc>
        <w:tc>
          <w:tcPr>
            <w:tcW w:w="1467" w:type="dxa"/>
            <w:tcBorders>
              <w:top w:val="nil"/>
              <w:left w:val="nil"/>
              <w:bottom w:val="nil"/>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2/28(7.14%)</w:t>
            </w:r>
          </w:p>
        </w:tc>
        <w:tc>
          <w:tcPr>
            <w:tcW w:w="892" w:type="dxa"/>
            <w:tcBorders>
              <w:top w:val="nil"/>
              <w:left w:val="nil"/>
              <w:bottom w:val="nil"/>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0.3186</w:t>
            </w:r>
          </w:p>
        </w:tc>
      </w:tr>
      <w:tr w:rsidR="009B6CC1" w:rsidRPr="009B6CC1" w:rsidTr="009B6CC1">
        <w:trPr>
          <w:trHeight w:val="290"/>
          <w:jc w:val="center"/>
        </w:trPr>
        <w:tc>
          <w:tcPr>
            <w:tcW w:w="1239" w:type="dxa"/>
            <w:tcBorders>
              <w:top w:val="nil"/>
              <w:left w:val="single" w:sz="6" w:space="0" w:color="auto"/>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p>
        </w:tc>
        <w:tc>
          <w:tcPr>
            <w:tcW w:w="1038" w:type="dxa"/>
            <w:tcBorders>
              <w:top w:val="nil"/>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B</w:t>
            </w:r>
          </w:p>
        </w:tc>
        <w:tc>
          <w:tcPr>
            <w:tcW w:w="1422" w:type="dxa"/>
            <w:tcBorders>
              <w:top w:val="nil"/>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6/26(23.08%)</w:t>
            </w:r>
          </w:p>
        </w:tc>
        <w:tc>
          <w:tcPr>
            <w:tcW w:w="1422" w:type="dxa"/>
            <w:tcBorders>
              <w:top w:val="nil"/>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8/26(30.77%)</w:t>
            </w:r>
          </w:p>
        </w:tc>
        <w:tc>
          <w:tcPr>
            <w:tcW w:w="1422" w:type="dxa"/>
            <w:tcBorders>
              <w:top w:val="nil"/>
              <w:left w:val="nil"/>
              <w:bottom w:val="single" w:sz="8" w:space="0" w:color="auto"/>
              <w:right w:val="nil"/>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8/26(30.77%)</w:t>
            </w:r>
          </w:p>
        </w:tc>
        <w:tc>
          <w:tcPr>
            <w:tcW w:w="2359" w:type="dxa"/>
            <w:gridSpan w:val="2"/>
            <w:tcBorders>
              <w:top w:val="nil"/>
              <w:left w:val="nil"/>
              <w:bottom w:val="single" w:sz="8" w:space="0" w:color="auto"/>
              <w:right w:val="single" w:sz="6" w:space="0" w:color="auto"/>
            </w:tcBorders>
            <w:shd w:val="clear" w:color="auto" w:fill="auto"/>
            <w:noWrap/>
            <w:vAlign w:val="bottom"/>
            <w:hideMark/>
          </w:tcPr>
          <w:p w:rsidR="009B6CC1" w:rsidRPr="009B6CC1" w:rsidRDefault="009B6CC1" w:rsidP="009B6CC1">
            <w:pPr>
              <w:pStyle w:val="NoSpacing"/>
              <w:rPr>
                <w:rFonts w:ascii="Times New Roman" w:hAnsi="Times New Roman" w:cs="Times New Roman"/>
                <w:sz w:val="20"/>
                <w:szCs w:val="20"/>
              </w:rPr>
            </w:pPr>
            <w:r w:rsidRPr="009B6CC1">
              <w:rPr>
                <w:rFonts w:ascii="Times New Roman" w:hAnsi="Times New Roman" w:cs="Times New Roman"/>
                <w:sz w:val="20"/>
                <w:szCs w:val="20"/>
              </w:rPr>
              <w:t>4/26(15.38%)</w:t>
            </w:r>
          </w:p>
        </w:tc>
      </w:tr>
      <w:tr w:rsidR="009B6CC1" w:rsidRPr="009B6CC1" w:rsidTr="00C23B13">
        <w:trPr>
          <w:trHeight w:val="290"/>
          <w:jc w:val="center"/>
        </w:trPr>
        <w:tc>
          <w:tcPr>
            <w:tcW w:w="8902" w:type="dxa"/>
            <w:gridSpan w:val="7"/>
            <w:tcBorders>
              <w:top w:val="single" w:sz="8" w:space="0" w:color="auto"/>
              <w:left w:val="single" w:sz="6" w:space="0" w:color="auto"/>
              <w:bottom w:val="single" w:sz="8" w:space="0" w:color="auto"/>
              <w:right w:val="single" w:sz="6" w:space="0" w:color="auto"/>
            </w:tcBorders>
            <w:shd w:val="clear" w:color="auto" w:fill="auto"/>
            <w:noWrap/>
            <w:vAlign w:val="bottom"/>
          </w:tcPr>
          <w:p w:rsidR="00AD6202" w:rsidRPr="009B6CC1" w:rsidRDefault="009B6CC1" w:rsidP="00AD6202">
            <w:pPr>
              <w:pStyle w:val="NoSpacing"/>
              <w:rPr>
                <w:rFonts w:ascii="Times New Roman" w:hAnsi="Times New Roman" w:cs="Times New Roman"/>
                <w:sz w:val="20"/>
                <w:szCs w:val="20"/>
              </w:rPr>
            </w:pPr>
            <w:r>
              <w:rPr>
                <w:rFonts w:ascii="Times New Roman" w:hAnsi="Times New Roman" w:cs="Times New Roman"/>
                <w:sz w:val="20"/>
                <w:szCs w:val="20"/>
              </w:rPr>
              <w:t xml:space="preserve">P-values of </w:t>
            </w:r>
            <w:r w:rsidRPr="009B6CC1">
              <w:rPr>
                <w:rFonts w:ascii="Times New Roman" w:hAnsi="Times New Roman" w:cs="Times New Roman"/>
                <w:sz w:val="20"/>
                <w:szCs w:val="20"/>
              </w:rPr>
              <w:t>Cochran-Mantel-</w:t>
            </w:r>
            <w:proofErr w:type="spellStart"/>
            <w:r w:rsidRPr="009B6CC1">
              <w:rPr>
                <w:rFonts w:ascii="Times New Roman" w:hAnsi="Times New Roman" w:cs="Times New Roman"/>
                <w:sz w:val="20"/>
                <w:szCs w:val="20"/>
              </w:rPr>
              <w:t>Haenszel</w:t>
            </w:r>
            <w:proofErr w:type="spellEnd"/>
            <w:r w:rsidRPr="009B6CC1">
              <w:rPr>
                <w:rFonts w:ascii="Times New Roman" w:hAnsi="Times New Roman" w:cs="Times New Roman"/>
                <w:sz w:val="20"/>
                <w:szCs w:val="20"/>
              </w:rPr>
              <w:t xml:space="preserve"> Statistics</w:t>
            </w:r>
            <w:r>
              <w:rPr>
                <w:rFonts w:ascii="Times New Roman" w:hAnsi="Times New Roman" w:cs="Times New Roman"/>
                <w:sz w:val="20"/>
                <w:szCs w:val="20"/>
              </w:rPr>
              <w:t xml:space="preserve"> are all not significant, indicating homogeneity of Odds ratio</w:t>
            </w:r>
          </w:p>
        </w:tc>
      </w:tr>
    </w:tbl>
    <w:p w:rsidR="005729EC" w:rsidRDefault="005729EC" w:rsidP="00FA0C9E">
      <w:pPr>
        <w:rPr>
          <w:rFonts w:ascii="Times New Roman" w:hAnsi="Times New Roman" w:cs="Times New Roman"/>
        </w:rPr>
      </w:pPr>
    </w:p>
    <w:p w:rsidR="009B6CC1" w:rsidRDefault="005729EC" w:rsidP="00FA0C9E">
      <w:pPr>
        <w:rPr>
          <w:rFonts w:ascii="Times New Roman" w:hAnsi="Times New Roman" w:cs="Times New Roman"/>
        </w:rPr>
      </w:pPr>
      <w:r>
        <w:rPr>
          <w:rFonts w:ascii="Times New Roman" w:hAnsi="Times New Roman" w:cs="Times New Roman"/>
        </w:rPr>
        <w:t>Since the baseline demographic characteristics may have impacts on the hospital stay, which c</w:t>
      </w:r>
      <w:r w:rsidR="008E63F1">
        <w:rPr>
          <w:rFonts w:ascii="Times New Roman" w:hAnsi="Times New Roman" w:cs="Times New Roman"/>
        </w:rPr>
        <w:t>an be considered as the efficacy</w:t>
      </w:r>
      <w:r>
        <w:rPr>
          <w:rFonts w:ascii="Times New Roman" w:hAnsi="Times New Roman" w:cs="Times New Roman"/>
        </w:rPr>
        <w:t xml:space="preserve"> of two treatments, cumulative model is used with all baseline characteristics as covariates. In order to determine the </w:t>
      </w:r>
      <w:r w:rsidR="009C14A9">
        <w:rPr>
          <w:rFonts w:ascii="Times New Roman" w:hAnsi="Times New Roman" w:cs="Times New Roman"/>
        </w:rPr>
        <w:t xml:space="preserve">influence of treatment and status on the length of hospital stay, interaction term of these two variable is considered as a covariate. </w:t>
      </w:r>
      <w:r w:rsidR="008075D0">
        <w:rPr>
          <w:rFonts w:ascii="Times New Roman" w:hAnsi="Times New Roman" w:cs="Times New Roman"/>
        </w:rPr>
        <w:t xml:space="preserve">Score test for proportional odds assumption with p-value </w:t>
      </w:r>
      <w:r w:rsidR="008075D0" w:rsidRPr="008075D0">
        <w:rPr>
          <w:rFonts w:ascii="Times New Roman" w:hAnsi="Times New Roman" w:cs="Times New Roman"/>
        </w:rPr>
        <w:t>0.5354</w:t>
      </w:r>
      <w:r w:rsidR="008075D0">
        <w:rPr>
          <w:rFonts w:ascii="Times New Roman" w:hAnsi="Times New Roman" w:cs="Times New Roman"/>
        </w:rPr>
        <w:t xml:space="preserve"> indicates that the it is a proportional odds model. </w:t>
      </w:r>
      <w:r w:rsidR="0096057A">
        <w:rPr>
          <w:rFonts w:ascii="Times New Roman" w:hAnsi="Times New Roman" w:cs="Times New Roman"/>
        </w:rPr>
        <w:t xml:space="preserve">From the goodness of fit test, the proportional odds model is appropriate for this data set, though the p-value of Pearson test is not so high. </w:t>
      </w:r>
      <w:r w:rsidR="009C14A9">
        <w:rPr>
          <w:rFonts w:ascii="Times New Roman" w:hAnsi="Times New Roman" w:cs="Times New Roman"/>
        </w:rPr>
        <w:t>The odds ratios with 95% confidence interval of different hospital stay with reference “no hospital stay” are listed in Table VI.</w:t>
      </w:r>
      <w:r w:rsidR="008075D0">
        <w:rPr>
          <w:rFonts w:ascii="Times New Roman" w:hAnsi="Times New Roman" w:cs="Times New Roman"/>
        </w:rPr>
        <w:t xml:space="preserve"> It indicates that the interaction term of treatment and status is not significantly associated with the hospital stay. That is, the efficacy of treatment on the hospital stay does not depend on patients’ initial disease status. However, by comparing the </w:t>
      </w:r>
      <w:r w:rsidR="00AD6202">
        <w:rPr>
          <w:rFonts w:ascii="Times New Roman" w:hAnsi="Times New Roman" w:cs="Times New Roman"/>
        </w:rPr>
        <w:t>relative probabilitie</w:t>
      </w:r>
      <w:r w:rsidR="008075D0">
        <w:rPr>
          <w:rFonts w:ascii="Times New Roman" w:hAnsi="Times New Roman" w:cs="Times New Roman"/>
        </w:rPr>
        <w:t xml:space="preserve">s of treatment based on different disease status, it can be seen that </w:t>
      </w:r>
      <w:r w:rsidR="00AD6202">
        <w:rPr>
          <w:rFonts w:ascii="Times New Roman" w:hAnsi="Times New Roman" w:cs="Times New Roman"/>
        </w:rPr>
        <w:t>relative probabilitie</w:t>
      </w:r>
      <w:r w:rsidR="008075D0">
        <w:rPr>
          <w:rFonts w:ascii="Times New Roman" w:hAnsi="Times New Roman" w:cs="Times New Roman"/>
        </w:rPr>
        <w:t xml:space="preserve">s with 95% confidence intervals of mild status and severe status are greater than 1, that illustrates treatment B would perform better than A in </w:t>
      </w:r>
      <w:bookmarkStart w:id="2" w:name="OLE_LINK2"/>
      <w:r w:rsidR="008075D0">
        <w:rPr>
          <w:rFonts w:ascii="Times New Roman" w:hAnsi="Times New Roman" w:cs="Times New Roman"/>
        </w:rPr>
        <w:t>patients</w:t>
      </w:r>
      <w:r w:rsidR="00D431C5">
        <w:rPr>
          <w:rFonts w:ascii="Times New Roman" w:hAnsi="Times New Roman" w:cs="Times New Roman"/>
        </w:rPr>
        <w:t xml:space="preserve"> who are evaluated as mild or severe status. For example, the relative probability of more than 1 week stay to less than 1 week stay of patients who received treatment A with mild status is 2.536 (1.242, 5.177) times more than </w:t>
      </w:r>
      <w:bookmarkEnd w:id="2"/>
      <w:r w:rsidR="00D431C5">
        <w:rPr>
          <w:rFonts w:ascii="Times New Roman" w:hAnsi="Times New Roman" w:cs="Times New Roman"/>
        </w:rPr>
        <w:t>the relative probability of patients received treatment B in mild</w:t>
      </w:r>
      <w:r w:rsidR="008E63F1">
        <w:rPr>
          <w:rFonts w:ascii="Times New Roman" w:hAnsi="Times New Roman" w:cs="Times New Roman"/>
        </w:rPr>
        <w:t xml:space="preserve"> status. Therefore, the efficacy</w:t>
      </w:r>
      <w:r w:rsidR="00D431C5">
        <w:rPr>
          <w:rFonts w:ascii="Times New Roman" w:hAnsi="Times New Roman" w:cs="Times New Roman"/>
        </w:rPr>
        <w:t xml:space="preserve"> of treatment A and B are significantly different in patients with mild status or severe status, while the </w:t>
      </w:r>
      <w:r w:rsidR="008E63F1">
        <w:rPr>
          <w:rFonts w:ascii="Times New Roman" w:hAnsi="Times New Roman" w:cs="Times New Roman"/>
        </w:rPr>
        <w:t>efficacy</w:t>
      </w:r>
      <w:r w:rsidR="00D431C5">
        <w:rPr>
          <w:rFonts w:ascii="Times New Roman" w:hAnsi="Times New Roman" w:cs="Times New Roman"/>
        </w:rPr>
        <w:t xml:space="preserve"> of treatment A and B in patients with moderate status or very severe status can be considered as the same.</w:t>
      </w:r>
    </w:p>
    <w:tbl>
      <w:tblPr>
        <w:tblW w:w="8362" w:type="dxa"/>
        <w:jc w:val="center"/>
        <w:tblLook w:val="04A0" w:firstRow="1" w:lastRow="0" w:firstColumn="1" w:lastColumn="0" w:noHBand="0" w:noVBand="1"/>
      </w:tblPr>
      <w:tblGrid>
        <w:gridCol w:w="1162"/>
        <w:gridCol w:w="810"/>
        <w:gridCol w:w="2266"/>
        <w:gridCol w:w="900"/>
        <w:gridCol w:w="2324"/>
        <w:gridCol w:w="900"/>
      </w:tblGrid>
      <w:tr w:rsidR="009C14A9" w:rsidRPr="00C27F7E" w:rsidTr="009C14A9">
        <w:trPr>
          <w:trHeight w:val="290"/>
          <w:jc w:val="center"/>
        </w:trPr>
        <w:tc>
          <w:tcPr>
            <w:tcW w:w="8362" w:type="dxa"/>
            <w:gridSpan w:val="6"/>
            <w:tcBorders>
              <w:top w:val="single" w:sz="8" w:space="0" w:color="auto"/>
              <w:left w:val="single" w:sz="6" w:space="0" w:color="auto"/>
              <w:bottom w:val="single" w:sz="8" w:space="0" w:color="auto"/>
              <w:right w:val="single" w:sz="6" w:space="0" w:color="auto"/>
            </w:tcBorders>
            <w:shd w:val="clear" w:color="auto" w:fill="auto"/>
            <w:noWrap/>
            <w:vAlign w:val="bottom"/>
          </w:tcPr>
          <w:p w:rsidR="009C14A9" w:rsidRPr="00C27F7E" w:rsidRDefault="008075D0" w:rsidP="009C14A9">
            <w:pPr>
              <w:pStyle w:val="NoSpacing"/>
              <w:rPr>
                <w:rFonts w:ascii="Times New Roman" w:hAnsi="Times New Roman" w:cs="Times New Roman"/>
                <w:color w:val="000000"/>
              </w:rPr>
            </w:pPr>
            <w:r w:rsidRPr="00C27F7E">
              <w:rPr>
                <w:rFonts w:ascii="Times New Roman" w:hAnsi="Times New Roman" w:cs="Times New Roman"/>
                <w:b/>
              </w:rPr>
              <w:t>Table VI</w:t>
            </w:r>
            <w:r w:rsidR="009C14A9" w:rsidRPr="00C27F7E">
              <w:rPr>
                <w:rFonts w:ascii="Times New Roman" w:hAnsi="Times New Roman" w:cs="Times New Roman"/>
              </w:rPr>
              <w:t xml:space="preserve">   Proportional Odds Ratio of Univariate Model and Multivariate Model</w:t>
            </w:r>
          </w:p>
        </w:tc>
      </w:tr>
      <w:tr w:rsidR="009C14A9" w:rsidRPr="009C14A9" w:rsidTr="009C14A9">
        <w:trPr>
          <w:trHeight w:val="290"/>
          <w:jc w:val="center"/>
        </w:trPr>
        <w:tc>
          <w:tcPr>
            <w:tcW w:w="1162" w:type="dxa"/>
            <w:tcBorders>
              <w:top w:val="single" w:sz="8" w:space="0" w:color="auto"/>
              <w:left w:val="single" w:sz="6" w:space="0" w:color="auto"/>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810" w:type="dxa"/>
            <w:tcBorders>
              <w:top w:val="single" w:sz="8" w:space="0" w:color="auto"/>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2266" w:type="dxa"/>
            <w:tcBorders>
              <w:top w:val="single" w:sz="8" w:space="0" w:color="auto"/>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Univariate Proportional Odds Ratio (95% CI)</w:t>
            </w:r>
          </w:p>
        </w:tc>
        <w:tc>
          <w:tcPr>
            <w:tcW w:w="900" w:type="dxa"/>
            <w:tcBorders>
              <w:top w:val="single" w:sz="8" w:space="0" w:color="auto"/>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P-value</w:t>
            </w:r>
          </w:p>
        </w:tc>
        <w:tc>
          <w:tcPr>
            <w:tcW w:w="2324" w:type="dxa"/>
            <w:tcBorders>
              <w:top w:val="single" w:sz="8" w:space="0" w:color="auto"/>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Multivariate Proportional Odds Ratio (95% CI)</w:t>
            </w:r>
          </w:p>
        </w:tc>
        <w:tc>
          <w:tcPr>
            <w:tcW w:w="900" w:type="dxa"/>
            <w:tcBorders>
              <w:top w:val="single" w:sz="8" w:space="0" w:color="auto"/>
              <w:left w:val="nil"/>
              <w:bottom w:val="single" w:sz="8" w:space="0" w:color="auto"/>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P-value</w:t>
            </w:r>
          </w:p>
        </w:tc>
      </w:tr>
      <w:tr w:rsidR="009C14A9" w:rsidRPr="009C14A9" w:rsidTr="009C14A9">
        <w:trPr>
          <w:trHeight w:val="290"/>
          <w:jc w:val="center"/>
        </w:trPr>
        <w:tc>
          <w:tcPr>
            <w:tcW w:w="1972" w:type="dxa"/>
            <w:gridSpan w:val="2"/>
            <w:tcBorders>
              <w:top w:val="single" w:sz="8" w:space="0" w:color="auto"/>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b/>
                <w:color w:val="000000"/>
                <w:sz w:val="20"/>
                <w:szCs w:val="20"/>
              </w:rPr>
            </w:pPr>
            <w:r w:rsidRPr="009C14A9">
              <w:rPr>
                <w:rFonts w:ascii="Times New Roman" w:hAnsi="Times New Roman" w:cs="Times New Roman"/>
                <w:b/>
                <w:color w:val="000000"/>
                <w:sz w:val="20"/>
                <w:szCs w:val="20"/>
              </w:rPr>
              <w:t>Treatment</w:t>
            </w:r>
          </w:p>
        </w:tc>
        <w:tc>
          <w:tcPr>
            <w:tcW w:w="2266" w:type="dxa"/>
            <w:tcBorders>
              <w:top w:val="single" w:sz="8" w:space="0" w:color="auto"/>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p>
        </w:tc>
        <w:tc>
          <w:tcPr>
            <w:tcW w:w="900" w:type="dxa"/>
            <w:tcBorders>
              <w:top w:val="single" w:sz="8" w:space="0" w:color="auto"/>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2324" w:type="dxa"/>
            <w:tcBorders>
              <w:top w:val="single" w:sz="8" w:space="0" w:color="auto"/>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900" w:type="dxa"/>
            <w:tcBorders>
              <w:top w:val="single" w:sz="8" w:space="0" w:color="auto"/>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A</w:t>
            </w:r>
          </w:p>
        </w:tc>
        <w:tc>
          <w:tcPr>
            <w:tcW w:w="2266"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1.554 (1.026, 2.355)</w:t>
            </w:r>
          </w:p>
        </w:tc>
        <w:tc>
          <w:tcPr>
            <w:tcW w:w="90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0.0376</w:t>
            </w:r>
          </w:p>
        </w:tc>
        <w:tc>
          <w:tcPr>
            <w:tcW w:w="2324" w:type="dxa"/>
            <w:tcBorders>
              <w:top w:val="nil"/>
              <w:left w:val="nil"/>
              <w:bottom w:val="nil"/>
              <w:right w:val="nil"/>
            </w:tcBorders>
            <w:shd w:val="clear" w:color="auto" w:fill="auto"/>
            <w:noWrap/>
            <w:vAlign w:val="bottom"/>
            <w:hideMark/>
          </w:tcPr>
          <w:p w:rsidR="009C14A9" w:rsidRPr="009C14A9" w:rsidRDefault="00D32482" w:rsidP="009C14A9">
            <w:pPr>
              <w:pStyle w:val="NoSpacing"/>
              <w:rPr>
                <w:rFonts w:ascii="Times New Roman" w:hAnsi="Times New Roman" w:cs="Times New Roman"/>
                <w:color w:val="000000"/>
                <w:sz w:val="20"/>
                <w:szCs w:val="20"/>
              </w:rPr>
            </w:pPr>
            <w:r w:rsidRPr="00D32482">
              <w:rPr>
                <w:rFonts w:ascii="Times New Roman" w:hAnsi="Times New Roman" w:cs="Times New Roman"/>
                <w:color w:val="000000"/>
                <w:sz w:val="20"/>
                <w:szCs w:val="20"/>
              </w:rPr>
              <w:t>1.584</w:t>
            </w:r>
            <w:r w:rsidR="009C14A9" w:rsidRPr="009C14A9">
              <w:rPr>
                <w:rFonts w:ascii="Times New Roman" w:hAnsi="Times New Roman" w:cs="Times New Roman"/>
                <w:color w:val="000000"/>
                <w:sz w:val="20"/>
                <w:szCs w:val="20"/>
              </w:rPr>
              <w:t xml:space="preserve"> (</w:t>
            </w:r>
            <w:r w:rsidRPr="00D32482">
              <w:rPr>
                <w:rFonts w:ascii="Times New Roman" w:hAnsi="Times New Roman" w:cs="Times New Roman"/>
                <w:color w:val="000000"/>
                <w:sz w:val="20"/>
                <w:szCs w:val="20"/>
              </w:rPr>
              <w:t>1.033</w:t>
            </w:r>
            <w:r w:rsidR="009C14A9" w:rsidRPr="009C14A9">
              <w:rPr>
                <w:rFonts w:ascii="Times New Roman" w:hAnsi="Times New Roman" w:cs="Times New Roman"/>
                <w:color w:val="000000"/>
                <w:sz w:val="20"/>
                <w:szCs w:val="20"/>
              </w:rPr>
              <w:t xml:space="preserve">, </w:t>
            </w:r>
            <w:r w:rsidRPr="00D32482">
              <w:rPr>
                <w:rFonts w:ascii="Times New Roman" w:hAnsi="Times New Roman" w:cs="Times New Roman"/>
                <w:color w:val="000000"/>
                <w:sz w:val="20"/>
                <w:szCs w:val="20"/>
              </w:rPr>
              <w:t>2.428</w:t>
            </w:r>
            <w:r w:rsidR="009C14A9" w:rsidRPr="009C14A9">
              <w:rPr>
                <w:rFonts w:ascii="Times New Roman" w:hAnsi="Times New Roman" w:cs="Times New Roman"/>
                <w:color w:val="000000"/>
                <w:sz w:val="20"/>
                <w:szCs w:val="20"/>
              </w:rPr>
              <w:t>)</w:t>
            </w:r>
          </w:p>
        </w:tc>
        <w:tc>
          <w:tcPr>
            <w:tcW w:w="900" w:type="dxa"/>
            <w:tcBorders>
              <w:top w:val="nil"/>
              <w:left w:val="nil"/>
              <w:bottom w:val="nil"/>
              <w:right w:val="single" w:sz="6" w:space="0" w:color="auto"/>
            </w:tcBorders>
            <w:shd w:val="clear" w:color="auto" w:fill="auto"/>
            <w:noWrap/>
            <w:vAlign w:val="bottom"/>
            <w:hideMark/>
          </w:tcPr>
          <w:p w:rsidR="009C14A9" w:rsidRPr="009C14A9" w:rsidRDefault="00D32482" w:rsidP="009C14A9">
            <w:pPr>
              <w:pStyle w:val="NoSpacing"/>
              <w:rPr>
                <w:rFonts w:ascii="Times New Roman" w:hAnsi="Times New Roman" w:cs="Times New Roman"/>
                <w:color w:val="000000"/>
                <w:sz w:val="20"/>
                <w:szCs w:val="20"/>
              </w:rPr>
            </w:pPr>
            <w:r w:rsidRPr="00D32482">
              <w:rPr>
                <w:rFonts w:ascii="Times New Roman" w:hAnsi="Times New Roman" w:cs="Times New Roman"/>
                <w:color w:val="000000"/>
                <w:sz w:val="20"/>
                <w:szCs w:val="20"/>
              </w:rPr>
              <w:t>0.0351</w:t>
            </w: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p>
        </w:tc>
        <w:tc>
          <w:tcPr>
            <w:tcW w:w="81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B</w:t>
            </w:r>
          </w:p>
        </w:tc>
        <w:tc>
          <w:tcPr>
            <w:tcW w:w="2266"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reference</w:t>
            </w:r>
          </w:p>
        </w:tc>
        <w:tc>
          <w:tcPr>
            <w:tcW w:w="90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p>
        </w:tc>
        <w:tc>
          <w:tcPr>
            <w:tcW w:w="2324"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reference</w:t>
            </w:r>
          </w:p>
        </w:tc>
        <w:tc>
          <w:tcPr>
            <w:tcW w:w="900" w:type="dxa"/>
            <w:tcBorders>
              <w:top w:val="nil"/>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b/>
                <w:color w:val="000000"/>
                <w:sz w:val="20"/>
                <w:szCs w:val="20"/>
              </w:rPr>
            </w:pPr>
            <w:r w:rsidRPr="009C14A9">
              <w:rPr>
                <w:rFonts w:ascii="Times New Roman" w:hAnsi="Times New Roman" w:cs="Times New Roman"/>
                <w:b/>
                <w:color w:val="000000"/>
                <w:sz w:val="20"/>
                <w:szCs w:val="20"/>
              </w:rPr>
              <w:t>Status</w:t>
            </w:r>
          </w:p>
        </w:tc>
        <w:tc>
          <w:tcPr>
            <w:tcW w:w="3076" w:type="dxa"/>
            <w:gridSpan w:val="2"/>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b/>
                <w:color w:val="000000"/>
                <w:sz w:val="20"/>
                <w:szCs w:val="20"/>
              </w:rPr>
            </w:pPr>
            <w:r w:rsidRPr="009C14A9">
              <w:rPr>
                <w:rFonts w:ascii="Times New Roman" w:hAnsi="Times New Roman" w:cs="Times New Roman"/>
                <w:b/>
                <w:color w:val="000000"/>
                <w:sz w:val="20"/>
                <w:szCs w:val="20"/>
              </w:rPr>
              <w:t>Treatment</w:t>
            </w:r>
          </w:p>
        </w:tc>
        <w:tc>
          <w:tcPr>
            <w:tcW w:w="90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p>
        </w:tc>
        <w:tc>
          <w:tcPr>
            <w:tcW w:w="2324"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c>
          <w:tcPr>
            <w:tcW w:w="900" w:type="dxa"/>
            <w:tcBorders>
              <w:top w:val="nil"/>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sz w:val="20"/>
                <w:szCs w:val="20"/>
              </w:rPr>
            </w:pP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mild</w:t>
            </w:r>
          </w:p>
        </w:tc>
        <w:tc>
          <w:tcPr>
            <w:tcW w:w="81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 xml:space="preserve">A </w:t>
            </w:r>
            <w:proofErr w:type="spellStart"/>
            <w:r w:rsidRPr="009C14A9">
              <w:rPr>
                <w:rFonts w:ascii="Times New Roman" w:hAnsi="Times New Roman" w:cs="Times New Roman"/>
                <w:color w:val="000000"/>
                <w:sz w:val="20"/>
                <w:szCs w:val="20"/>
              </w:rPr>
              <w:t>vs.B</w:t>
            </w:r>
            <w:proofErr w:type="spellEnd"/>
          </w:p>
        </w:tc>
        <w:tc>
          <w:tcPr>
            <w:tcW w:w="2266"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2.334(1.167, 4.668)</w:t>
            </w:r>
          </w:p>
        </w:tc>
        <w:tc>
          <w:tcPr>
            <w:tcW w:w="90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0.1244</w:t>
            </w:r>
          </w:p>
        </w:tc>
        <w:tc>
          <w:tcPr>
            <w:tcW w:w="2324"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2.536(1.242, 5.177)</w:t>
            </w:r>
          </w:p>
        </w:tc>
        <w:tc>
          <w:tcPr>
            <w:tcW w:w="900" w:type="dxa"/>
            <w:tcBorders>
              <w:top w:val="nil"/>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0.0759</w:t>
            </w: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moderate</w:t>
            </w:r>
          </w:p>
        </w:tc>
        <w:tc>
          <w:tcPr>
            <w:tcW w:w="81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 xml:space="preserve">A </w:t>
            </w:r>
            <w:proofErr w:type="spellStart"/>
            <w:r w:rsidRPr="009C14A9">
              <w:rPr>
                <w:rFonts w:ascii="Times New Roman" w:hAnsi="Times New Roman" w:cs="Times New Roman"/>
                <w:color w:val="000000"/>
                <w:sz w:val="20"/>
                <w:szCs w:val="20"/>
              </w:rPr>
              <w:t>vs.B</w:t>
            </w:r>
            <w:proofErr w:type="spellEnd"/>
          </w:p>
        </w:tc>
        <w:tc>
          <w:tcPr>
            <w:tcW w:w="3166" w:type="dxa"/>
            <w:gridSpan w:val="2"/>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0.932(0.489, 1.776)</w:t>
            </w:r>
          </w:p>
        </w:tc>
        <w:tc>
          <w:tcPr>
            <w:tcW w:w="3224" w:type="dxa"/>
            <w:gridSpan w:val="2"/>
            <w:tcBorders>
              <w:top w:val="nil"/>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0.883(0.452, 1.727)</w:t>
            </w:r>
          </w:p>
        </w:tc>
      </w:tr>
      <w:tr w:rsidR="009C14A9" w:rsidRPr="009C14A9" w:rsidTr="009C14A9">
        <w:trPr>
          <w:trHeight w:val="290"/>
          <w:jc w:val="center"/>
        </w:trPr>
        <w:tc>
          <w:tcPr>
            <w:tcW w:w="1162" w:type="dxa"/>
            <w:tcBorders>
              <w:top w:val="nil"/>
              <w:left w:val="single" w:sz="6" w:space="0" w:color="auto"/>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severe</w:t>
            </w:r>
          </w:p>
        </w:tc>
        <w:tc>
          <w:tcPr>
            <w:tcW w:w="810" w:type="dxa"/>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 xml:space="preserve">A </w:t>
            </w:r>
            <w:proofErr w:type="spellStart"/>
            <w:r w:rsidRPr="009C14A9">
              <w:rPr>
                <w:rFonts w:ascii="Times New Roman" w:hAnsi="Times New Roman" w:cs="Times New Roman"/>
                <w:color w:val="000000"/>
                <w:sz w:val="20"/>
                <w:szCs w:val="20"/>
              </w:rPr>
              <w:t>vs.B</w:t>
            </w:r>
            <w:proofErr w:type="spellEnd"/>
          </w:p>
        </w:tc>
        <w:tc>
          <w:tcPr>
            <w:tcW w:w="3166" w:type="dxa"/>
            <w:gridSpan w:val="2"/>
            <w:tcBorders>
              <w:top w:val="nil"/>
              <w:left w:val="nil"/>
              <w:bottom w:val="nil"/>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6.63(0.916, 48.006)</w:t>
            </w:r>
          </w:p>
        </w:tc>
        <w:tc>
          <w:tcPr>
            <w:tcW w:w="3224" w:type="dxa"/>
            <w:gridSpan w:val="2"/>
            <w:tcBorders>
              <w:top w:val="nil"/>
              <w:left w:val="nil"/>
              <w:bottom w:val="nil"/>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7.804(1.002, 60.774)</w:t>
            </w:r>
          </w:p>
        </w:tc>
      </w:tr>
      <w:tr w:rsidR="009C14A9" w:rsidRPr="009C14A9" w:rsidTr="005336D9">
        <w:trPr>
          <w:trHeight w:val="290"/>
          <w:jc w:val="center"/>
        </w:trPr>
        <w:tc>
          <w:tcPr>
            <w:tcW w:w="1162" w:type="dxa"/>
            <w:tcBorders>
              <w:top w:val="nil"/>
              <w:left w:val="single" w:sz="6" w:space="0" w:color="auto"/>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very severe</w:t>
            </w:r>
          </w:p>
        </w:tc>
        <w:tc>
          <w:tcPr>
            <w:tcW w:w="810" w:type="dxa"/>
            <w:tcBorders>
              <w:top w:val="nil"/>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 xml:space="preserve">A </w:t>
            </w:r>
            <w:proofErr w:type="spellStart"/>
            <w:r w:rsidRPr="009C14A9">
              <w:rPr>
                <w:rFonts w:ascii="Times New Roman" w:hAnsi="Times New Roman" w:cs="Times New Roman"/>
                <w:color w:val="000000"/>
                <w:sz w:val="20"/>
                <w:szCs w:val="20"/>
              </w:rPr>
              <w:t>vs.B</w:t>
            </w:r>
            <w:proofErr w:type="spellEnd"/>
          </w:p>
        </w:tc>
        <w:tc>
          <w:tcPr>
            <w:tcW w:w="3166" w:type="dxa"/>
            <w:gridSpan w:val="2"/>
            <w:tcBorders>
              <w:top w:val="nil"/>
              <w:left w:val="nil"/>
              <w:bottom w:val="single" w:sz="8" w:space="0" w:color="auto"/>
              <w:right w:val="nil"/>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1.503(0.566, 3.99)</w:t>
            </w:r>
          </w:p>
        </w:tc>
        <w:tc>
          <w:tcPr>
            <w:tcW w:w="3224" w:type="dxa"/>
            <w:gridSpan w:val="2"/>
            <w:tcBorders>
              <w:top w:val="nil"/>
              <w:left w:val="nil"/>
              <w:bottom w:val="single" w:sz="8" w:space="0" w:color="auto"/>
              <w:right w:val="single" w:sz="6" w:space="0" w:color="auto"/>
            </w:tcBorders>
            <w:shd w:val="clear" w:color="auto" w:fill="auto"/>
            <w:noWrap/>
            <w:vAlign w:val="bottom"/>
            <w:hideMark/>
          </w:tcPr>
          <w:p w:rsidR="009C14A9" w:rsidRPr="009C14A9" w:rsidRDefault="009C14A9" w:rsidP="009C14A9">
            <w:pPr>
              <w:pStyle w:val="NoSpacing"/>
              <w:rPr>
                <w:rFonts w:ascii="Times New Roman" w:hAnsi="Times New Roman" w:cs="Times New Roman"/>
                <w:color w:val="000000"/>
                <w:sz w:val="20"/>
                <w:szCs w:val="20"/>
              </w:rPr>
            </w:pPr>
            <w:r w:rsidRPr="009C14A9">
              <w:rPr>
                <w:rFonts w:ascii="Times New Roman" w:hAnsi="Times New Roman" w:cs="Times New Roman"/>
                <w:color w:val="000000"/>
                <w:sz w:val="20"/>
                <w:szCs w:val="20"/>
              </w:rPr>
              <w:t>1.387(0.512, 3.755)</w:t>
            </w:r>
          </w:p>
        </w:tc>
      </w:tr>
      <w:tr w:rsidR="005336D9" w:rsidRPr="009C14A9" w:rsidTr="00C23B13">
        <w:trPr>
          <w:trHeight w:val="290"/>
          <w:jc w:val="center"/>
        </w:trPr>
        <w:tc>
          <w:tcPr>
            <w:tcW w:w="8362" w:type="dxa"/>
            <w:gridSpan w:val="6"/>
            <w:tcBorders>
              <w:top w:val="single" w:sz="8" w:space="0" w:color="auto"/>
              <w:left w:val="single" w:sz="6" w:space="0" w:color="auto"/>
              <w:bottom w:val="single" w:sz="8" w:space="0" w:color="auto"/>
              <w:right w:val="single" w:sz="6" w:space="0" w:color="auto"/>
            </w:tcBorders>
            <w:shd w:val="clear" w:color="auto" w:fill="auto"/>
            <w:noWrap/>
            <w:vAlign w:val="bottom"/>
          </w:tcPr>
          <w:p w:rsidR="005336D9" w:rsidRDefault="008075D0" w:rsidP="009C14A9">
            <w:pPr>
              <w:pStyle w:val="NoSpacing"/>
              <w:rPr>
                <w:rFonts w:ascii="Times New Roman" w:hAnsi="Times New Roman" w:cs="Times New Roman"/>
                <w:color w:val="000000"/>
                <w:sz w:val="20"/>
                <w:szCs w:val="20"/>
              </w:rPr>
            </w:pPr>
            <w:r>
              <w:rPr>
                <w:rFonts w:ascii="Times New Roman" w:hAnsi="Times New Roman" w:cs="Times New Roman"/>
                <w:color w:val="000000"/>
                <w:sz w:val="20"/>
                <w:szCs w:val="20"/>
              </w:rPr>
              <w:t>α significant level is 0.05</w:t>
            </w:r>
          </w:p>
          <w:p w:rsidR="00AD6202" w:rsidRDefault="00AD6202" w:rsidP="00AD6202">
            <w:pPr>
              <w:pStyle w:val="NoSpacing"/>
              <w:rPr>
                <w:rFonts w:ascii="Times New Roman" w:hAnsi="Times New Roman" w:cs="Times New Roman"/>
                <w:color w:val="000000"/>
                <w:sz w:val="20"/>
                <w:szCs w:val="20"/>
              </w:rPr>
            </w:pPr>
            <w:r>
              <w:rPr>
                <w:rFonts w:ascii="Times New Roman" w:hAnsi="Times New Roman" w:cs="Times New Roman"/>
                <w:color w:val="000000"/>
                <w:sz w:val="20"/>
                <w:szCs w:val="20"/>
              </w:rPr>
              <w:t>Goodness of Fit Test Deviance p-value for Multivariate Model is 0.9998</w:t>
            </w:r>
          </w:p>
          <w:p w:rsidR="00AD6202" w:rsidRPr="009C14A9" w:rsidRDefault="00AD6202" w:rsidP="00AD6202">
            <w:pPr>
              <w:pStyle w:val="NoSpacing"/>
              <w:rPr>
                <w:rFonts w:ascii="Times New Roman" w:hAnsi="Times New Roman" w:cs="Times New Roman"/>
                <w:color w:val="000000"/>
                <w:sz w:val="20"/>
                <w:szCs w:val="20"/>
              </w:rPr>
            </w:pPr>
            <w:r>
              <w:rPr>
                <w:rFonts w:ascii="Times New Roman" w:hAnsi="Times New Roman" w:cs="Times New Roman"/>
                <w:color w:val="000000"/>
                <w:sz w:val="20"/>
                <w:szCs w:val="20"/>
              </w:rPr>
              <w:t>Goodness of Fit Test Pearson p-value for Multivariate Model is 0.3709</w:t>
            </w:r>
          </w:p>
        </w:tc>
      </w:tr>
    </w:tbl>
    <w:p w:rsidR="009C14A9" w:rsidRDefault="009C14A9" w:rsidP="00FA0C9E">
      <w:pPr>
        <w:rPr>
          <w:rFonts w:ascii="Times New Roman" w:hAnsi="Times New Roman" w:cs="Times New Roman"/>
        </w:rPr>
      </w:pP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t>Discussion</w:t>
      </w:r>
    </w:p>
    <w:p w:rsidR="006D2EE9" w:rsidRDefault="008E63F1" w:rsidP="006D2EE9">
      <w:pPr>
        <w:spacing w:line="300" w:lineRule="auto"/>
        <w:rPr>
          <w:rFonts w:ascii="Times New Roman" w:hAnsi="Times New Roman" w:cs="Times New Roman"/>
        </w:rPr>
      </w:pPr>
      <w:r>
        <w:rPr>
          <w:rFonts w:ascii="Times New Roman" w:hAnsi="Times New Roman" w:cs="Times New Roman"/>
        </w:rPr>
        <w:t xml:space="preserve">Because of the high morbidity of coronary artery disease with its complications, it is important to determine the efficacy of these two surgical treatment A and B, which is beneficial for patients with coronary artery disease to receive healthy life. While patients’ initial disease status may influence the efficacy of the treatments, it is also necessary to determine the </w:t>
      </w:r>
      <w:r w:rsidR="00FA3CF2">
        <w:rPr>
          <w:rFonts w:ascii="Times New Roman" w:hAnsi="Times New Roman" w:cs="Times New Roman"/>
        </w:rPr>
        <w:t>relationship between the treatments and length of hospital stay based on different initial disease status.</w:t>
      </w:r>
    </w:p>
    <w:p w:rsidR="00FA3CF2" w:rsidRDefault="00FA3CF2" w:rsidP="006D2EE9">
      <w:pPr>
        <w:spacing w:line="300" w:lineRule="auto"/>
        <w:rPr>
          <w:rFonts w:ascii="Times New Roman" w:hAnsi="Times New Roman" w:cs="Times New Roman"/>
        </w:rPr>
      </w:pPr>
      <w:r>
        <w:rPr>
          <w:rFonts w:ascii="Times New Roman" w:hAnsi="Times New Roman" w:cs="Times New Roman"/>
        </w:rPr>
        <w:lastRenderedPageBreak/>
        <w:t xml:space="preserve">The baseline characteristics </w:t>
      </w:r>
      <w:r w:rsidR="00B54BF6">
        <w:rPr>
          <w:rFonts w:ascii="Times New Roman" w:hAnsi="Times New Roman" w:cs="Times New Roman"/>
        </w:rPr>
        <w:t xml:space="preserve">by treatments </w:t>
      </w:r>
      <w:r w:rsidR="007766D1">
        <w:rPr>
          <w:rFonts w:ascii="Times New Roman" w:hAnsi="Times New Roman" w:cs="Times New Roman"/>
        </w:rPr>
        <w:t>describes the similarity of patients’ features between two treatment groups. Patients’ age, history of diabetes, gender and so on are almost the same in treatment A and treatment B, which would incre</w:t>
      </w:r>
      <w:r w:rsidR="00B54BF6">
        <w:rPr>
          <w:rFonts w:ascii="Times New Roman" w:hAnsi="Times New Roman" w:cs="Times New Roman"/>
        </w:rPr>
        <w:t>ase the reliability when testing the difference of the two treatments.</w:t>
      </w:r>
    </w:p>
    <w:p w:rsidR="00B54BF6" w:rsidRDefault="00B54BF6" w:rsidP="006D2EE9">
      <w:pPr>
        <w:spacing w:line="300" w:lineRule="auto"/>
        <w:rPr>
          <w:rFonts w:ascii="Times New Roman" w:hAnsi="Times New Roman" w:cs="Times New Roman"/>
        </w:rPr>
      </w:pPr>
      <w:r>
        <w:rPr>
          <w:rFonts w:ascii="Times New Roman" w:hAnsi="Times New Roman" w:cs="Times New Roman"/>
        </w:rPr>
        <w:t xml:space="preserve">The factors, such as treatment, initial disease status and baseline demographic characteristics, by the length of hospital stay indicates the relationship between factors and efficacy of treatments, which is measured as the hospital stay. There are many more similarities than difference, only age and history of hypertension show significant differences among hospital stay levels. Older patients are more likely to have symptoms that require longer hospitalization stay. Patients with hypertension are more likely to be in hospital longer over 5-year follow-up period than patients without hypertension. </w:t>
      </w:r>
      <w:r w:rsidR="00E73812">
        <w:rPr>
          <w:rFonts w:ascii="Times New Roman" w:hAnsi="Times New Roman" w:cs="Times New Roman"/>
        </w:rPr>
        <w:t>However, the treatment is not significantly associated with the length of hospital days, which indicates that the efficacy of treatment A and B can be seen as the same by two-way contingency table.</w:t>
      </w:r>
    </w:p>
    <w:p w:rsidR="00B54BF6" w:rsidRDefault="008E7F65" w:rsidP="006D2EE9">
      <w:pPr>
        <w:spacing w:line="300" w:lineRule="auto"/>
        <w:rPr>
          <w:rFonts w:ascii="Times New Roman" w:hAnsi="Times New Roman" w:cs="Times New Roman"/>
        </w:rPr>
      </w:pPr>
      <w:r>
        <w:rPr>
          <w:rFonts w:ascii="Times New Roman" w:hAnsi="Times New Roman" w:cs="Times New Roman"/>
        </w:rPr>
        <w:t xml:space="preserve">In the generalized logistic model to determine the relationship between treatments and hospital stay, no significant difference between treatments is detected, but it is helpful to check the relative probability of various hospital stay levels between treatment A and B, where treatment B may be more efficient with the smaller relative probability of patients having more than 1 week but within 1 month stay corresponding to patients having no hospital stay. </w:t>
      </w:r>
    </w:p>
    <w:p w:rsidR="00BC7AD2" w:rsidRDefault="008E7F65" w:rsidP="006D2EE9">
      <w:pPr>
        <w:spacing w:line="300" w:lineRule="auto"/>
        <w:rPr>
          <w:rFonts w:ascii="Times New Roman" w:hAnsi="Times New Roman" w:cs="Times New Roman"/>
        </w:rPr>
      </w:pPr>
      <w:r>
        <w:rPr>
          <w:rFonts w:ascii="Times New Roman" w:hAnsi="Times New Roman" w:cs="Times New Roman"/>
        </w:rPr>
        <w:t>By further considering the length of hospital stay</w:t>
      </w:r>
      <w:r w:rsidR="00BC7AD2">
        <w:rPr>
          <w:rFonts w:ascii="Times New Roman" w:hAnsi="Times New Roman" w:cs="Times New Roman"/>
        </w:rPr>
        <w:t xml:space="preserve"> as </w:t>
      </w:r>
      <w:r w:rsidR="00D11117">
        <w:rPr>
          <w:rFonts w:ascii="Times New Roman" w:hAnsi="Times New Roman" w:cs="Times New Roman"/>
        </w:rPr>
        <w:t>ordinal</w:t>
      </w:r>
      <w:r w:rsidR="00BC7AD2">
        <w:rPr>
          <w:rFonts w:ascii="Times New Roman" w:hAnsi="Times New Roman" w:cs="Times New Roman"/>
        </w:rPr>
        <w:t xml:space="preserve"> variable</w:t>
      </w:r>
      <w:r>
        <w:rPr>
          <w:rFonts w:ascii="Times New Roman" w:hAnsi="Times New Roman" w:cs="Times New Roman"/>
        </w:rPr>
        <w:t xml:space="preserve">, </w:t>
      </w:r>
      <w:r w:rsidR="00AF72DA">
        <w:rPr>
          <w:rFonts w:ascii="Times New Roman" w:hAnsi="Times New Roman" w:cs="Times New Roman"/>
        </w:rPr>
        <w:t xml:space="preserve">it is natural to fit the cumulative logistic model. </w:t>
      </w:r>
      <w:r w:rsidR="00BC7AD2">
        <w:rPr>
          <w:rFonts w:ascii="Times New Roman" w:hAnsi="Times New Roman" w:cs="Times New Roman"/>
        </w:rPr>
        <w:t>The constant relative probability describes the efficacy of two treatments in different hospital stay separations can be seen the same, while the relative probability of hospital stay based on treatment A is 1.554 times larger than in treatment B. In other words, patients who receive treatment B have larger chances to be healthier, without severe symptoms.</w:t>
      </w:r>
    </w:p>
    <w:p w:rsidR="00C85E0A" w:rsidRDefault="00C630AB" w:rsidP="006D2EE9">
      <w:pPr>
        <w:spacing w:line="300" w:lineRule="auto"/>
        <w:rPr>
          <w:rFonts w:ascii="Times New Roman" w:hAnsi="Times New Roman" w:cs="Times New Roman"/>
        </w:rPr>
      </w:pPr>
      <w:r>
        <w:rPr>
          <w:rFonts w:ascii="Times New Roman" w:hAnsi="Times New Roman" w:cs="Times New Roman"/>
        </w:rPr>
        <w:t>In order to further analyze the efficacy of treatments, initial disease stat</w:t>
      </w:r>
      <w:r w:rsidR="00C96424">
        <w:rPr>
          <w:rFonts w:ascii="Times New Roman" w:hAnsi="Times New Roman" w:cs="Times New Roman"/>
        </w:rPr>
        <w:t xml:space="preserve">us is considered as a stratum to determine whether the differences of hospital stay between two treatments are the same across patients with different initial disease status. Although the test shows the conditional relationships of treatment and hospital stay based on disease status are the same, the efficacy of two treatments is different in patients with mild disease status. </w:t>
      </w:r>
    </w:p>
    <w:p w:rsidR="00C96424" w:rsidRDefault="00D56734" w:rsidP="006D2EE9">
      <w:pPr>
        <w:spacing w:line="300" w:lineRule="auto"/>
        <w:rPr>
          <w:rFonts w:ascii="Times New Roman" w:hAnsi="Times New Roman" w:cs="Times New Roman"/>
        </w:rPr>
      </w:pPr>
      <w:r>
        <w:rPr>
          <w:rFonts w:ascii="Times New Roman" w:hAnsi="Times New Roman" w:cs="Times New Roman"/>
        </w:rPr>
        <w:t xml:space="preserve">Improving the analysis with adjusting for the demographic characteristics and adding the interaction term of treatments and status, by using cumulative logistic model, </w:t>
      </w:r>
      <w:r w:rsidR="0050077E">
        <w:rPr>
          <w:rFonts w:ascii="Times New Roman" w:hAnsi="Times New Roman" w:cs="Times New Roman"/>
        </w:rPr>
        <w:t>the overall relationship between treatments and hospital stay does not depend on initial disease status. However, the relative probabilities of hospital stay based on treatments in different status describe that the difference of efficacy in treatment A and B is the largest in patients with severe disease status, while the difference of efficacy in treatment A and B is the second largest in patients with mild disease status. And the hospital stay between two treatments is the same in patients with moderate disease status or very severe disease status.</w:t>
      </w:r>
    </w:p>
    <w:p w:rsidR="0050077E" w:rsidRPr="005F4FB0" w:rsidRDefault="00453843" w:rsidP="006D2EE9">
      <w:pPr>
        <w:spacing w:line="300" w:lineRule="auto"/>
        <w:rPr>
          <w:rFonts w:ascii="Times New Roman" w:hAnsi="Times New Roman" w:cs="Times New Roman"/>
        </w:rPr>
      </w:pPr>
      <w:bookmarkStart w:id="3" w:name="OLE_LINK3"/>
      <w:r>
        <w:rPr>
          <w:rFonts w:ascii="Times New Roman" w:hAnsi="Times New Roman" w:cs="Times New Roman"/>
        </w:rPr>
        <w:t>In conclusion, treatment B may be a better therapy than treatment A, especially in pat</w:t>
      </w:r>
      <w:bookmarkStart w:id="4" w:name="_GoBack"/>
      <w:bookmarkEnd w:id="4"/>
      <w:r>
        <w:rPr>
          <w:rFonts w:ascii="Times New Roman" w:hAnsi="Times New Roman" w:cs="Times New Roman"/>
        </w:rPr>
        <w:t xml:space="preserve">ients with mild initial disease status or severe disease status. </w:t>
      </w:r>
      <w:bookmarkEnd w:id="3"/>
      <w:r>
        <w:rPr>
          <w:rFonts w:ascii="Times New Roman" w:hAnsi="Times New Roman" w:cs="Times New Roman"/>
        </w:rPr>
        <w:t xml:space="preserve">But in this study, the number of patients with severe initial disease status is small, which </w:t>
      </w:r>
      <w:r w:rsidR="009A58B6">
        <w:rPr>
          <w:rFonts w:ascii="Times New Roman" w:hAnsi="Times New Roman" w:cs="Times New Roman"/>
        </w:rPr>
        <w:t>may decrease the reliability of tests’ results based on the subset of patients with severe disease status.</w:t>
      </w: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lastRenderedPageBreak/>
        <w:t>References</w:t>
      </w:r>
    </w:p>
    <w:p w:rsidR="005F4FB0" w:rsidRPr="005F4FB0" w:rsidRDefault="005F4FB0" w:rsidP="005F4FB0">
      <w:pPr>
        <w:spacing w:line="300" w:lineRule="auto"/>
        <w:rPr>
          <w:rFonts w:ascii="Times New Roman" w:hAnsi="Times New Roman" w:cs="Times New Roman"/>
        </w:rPr>
      </w:pPr>
      <w:r>
        <w:rPr>
          <w:rFonts w:ascii="Times New Roman" w:hAnsi="Times New Roman" w:cs="Times New Roman"/>
        </w:rPr>
        <w:t xml:space="preserve">1. </w:t>
      </w:r>
      <w:r w:rsidR="008E7F65">
        <w:rPr>
          <w:rFonts w:ascii="Times New Roman" w:hAnsi="Times New Roman" w:cs="Times New Roman"/>
        </w:rPr>
        <w:t xml:space="preserve">Lynda A. Szczech, Huiman X. </w:t>
      </w:r>
      <w:proofErr w:type="spellStart"/>
      <w:r w:rsidR="008E7F65">
        <w:rPr>
          <w:rFonts w:ascii="Times New Roman" w:hAnsi="Times New Roman" w:cs="Times New Roman"/>
        </w:rPr>
        <w:t>Ba</w:t>
      </w:r>
      <w:r w:rsidRPr="005F4FB0">
        <w:rPr>
          <w:rFonts w:ascii="Times New Roman" w:hAnsi="Times New Roman" w:cs="Times New Roman"/>
        </w:rPr>
        <w:t>nhart</w:t>
      </w:r>
      <w:proofErr w:type="spellEnd"/>
      <w:r w:rsidRPr="005F4FB0">
        <w:rPr>
          <w:rFonts w:ascii="Times New Roman" w:hAnsi="Times New Roman" w:cs="Times New Roman"/>
        </w:rPr>
        <w:t xml:space="preserve">, Shelly Sapp, G. Michael </w:t>
      </w:r>
      <w:proofErr w:type="spellStart"/>
      <w:r w:rsidRPr="005F4FB0">
        <w:rPr>
          <w:rFonts w:ascii="Times New Roman" w:hAnsi="Times New Roman" w:cs="Times New Roman"/>
        </w:rPr>
        <w:t>Felker</w:t>
      </w:r>
      <w:proofErr w:type="spellEnd"/>
      <w:r w:rsidRPr="005F4FB0">
        <w:rPr>
          <w:rFonts w:ascii="Times New Roman" w:hAnsi="Times New Roman" w:cs="Times New Roman"/>
        </w:rPr>
        <w:t xml:space="preserve">, Adrian Hernandez, </w:t>
      </w:r>
      <w:proofErr w:type="spellStart"/>
      <w:r w:rsidRPr="005F4FB0">
        <w:rPr>
          <w:rFonts w:ascii="Times New Roman" w:hAnsi="Times New Roman" w:cs="Times New Roman"/>
        </w:rPr>
        <w:t>Donal</w:t>
      </w:r>
      <w:proofErr w:type="spellEnd"/>
      <w:r w:rsidRPr="005F4FB0">
        <w:rPr>
          <w:rFonts w:ascii="Times New Roman" w:hAnsi="Times New Roman" w:cs="Times New Roman"/>
        </w:rPr>
        <w:t xml:space="preserve"> </w:t>
      </w:r>
      <w:proofErr w:type="spellStart"/>
      <w:r w:rsidRPr="005F4FB0">
        <w:rPr>
          <w:rFonts w:ascii="Times New Roman" w:hAnsi="Times New Roman" w:cs="Times New Roman"/>
        </w:rPr>
        <w:t>Reddan</w:t>
      </w:r>
      <w:proofErr w:type="spellEnd"/>
      <w:r w:rsidRPr="005F4FB0">
        <w:rPr>
          <w:rFonts w:ascii="Times New Roman" w:hAnsi="Times New Roman" w:cs="Times New Roman"/>
        </w:rPr>
        <w:t xml:space="preserve">, Robert M. </w:t>
      </w:r>
      <w:proofErr w:type="spellStart"/>
      <w:r w:rsidRPr="005F4FB0">
        <w:rPr>
          <w:rFonts w:ascii="Times New Roman" w:hAnsi="Times New Roman" w:cs="Times New Roman"/>
        </w:rPr>
        <w:t>Califf</w:t>
      </w:r>
      <w:proofErr w:type="spellEnd"/>
      <w:r w:rsidRPr="005F4FB0">
        <w:rPr>
          <w:rFonts w:ascii="Times New Roman" w:hAnsi="Times New Roman" w:cs="Times New Roman"/>
        </w:rPr>
        <w:t xml:space="preserve">, </w:t>
      </w:r>
      <w:proofErr w:type="spellStart"/>
      <w:r w:rsidRPr="005F4FB0">
        <w:rPr>
          <w:rFonts w:ascii="Times New Roman" w:hAnsi="Times New Roman" w:cs="Times New Roman"/>
        </w:rPr>
        <w:t>Jula</w:t>
      </w:r>
      <w:proofErr w:type="spellEnd"/>
      <w:r w:rsidRPr="005F4FB0">
        <w:rPr>
          <w:rFonts w:ascii="Times New Roman" w:hAnsi="Times New Roman" w:cs="Times New Roman"/>
        </w:rPr>
        <w:t xml:space="preserve"> K. </w:t>
      </w:r>
      <w:proofErr w:type="spellStart"/>
      <w:r w:rsidRPr="005F4FB0">
        <w:rPr>
          <w:rFonts w:ascii="Times New Roman" w:hAnsi="Times New Roman" w:cs="Times New Roman"/>
        </w:rPr>
        <w:t>Inrig</w:t>
      </w:r>
      <w:proofErr w:type="spellEnd"/>
      <w:r w:rsidRPr="005F4FB0">
        <w:rPr>
          <w:rFonts w:ascii="Times New Roman" w:hAnsi="Times New Roman" w:cs="Times New Roman"/>
        </w:rPr>
        <w:t xml:space="preserve">, </w:t>
      </w:r>
      <w:proofErr w:type="spellStart"/>
      <w:r w:rsidRPr="005F4FB0">
        <w:rPr>
          <w:rFonts w:ascii="Times New Roman" w:hAnsi="Times New Roman" w:cs="Times New Roman"/>
        </w:rPr>
        <w:t>Uptal</w:t>
      </w:r>
      <w:proofErr w:type="spellEnd"/>
      <w:r w:rsidRPr="005F4FB0">
        <w:rPr>
          <w:rFonts w:ascii="Times New Roman" w:hAnsi="Times New Roman" w:cs="Times New Roman"/>
        </w:rPr>
        <w:t xml:space="preserve"> D. Patel and Ajay K. Singh. A secondary analysis of the CHOIR trial shows that comorbid conditions differentially affect outcomes during anemia treatment. Kidney International (2010) 77: 239–246.</w:t>
      </w:r>
    </w:p>
    <w:p w:rsidR="006D2EE9" w:rsidRPr="005F4FB0" w:rsidRDefault="005F4FB0" w:rsidP="005F4FB0">
      <w:pPr>
        <w:spacing w:line="300" w:lineRule="auto"/>
        <w:rPr>
          <w:rFonts w:ascii="Times New Roman" w:hAnsi="Times New Roman" w:cs="Times New Roman"/>
        </w:rPr>
      </w:pPr>
      <w:r>
        <w:rPr>
          <w:rFonts w:ascii="Times New Roman" w:hAnsi="Times New Roman" w:cs="Times New Roman"/>
        </w:rPr>
        <w:t xml:space="preserve">2. </w:t>
      </w:r>
      <w:r w:rsidRPr="005F4FB0">
        <w:rPr>
          <w:rFonts w:ascii="Times New Roman" w:hAnsi="Times New Roman" w:cs="Times New Roman"/>
        </w:rPr>
        <w:t xml:space="preserve">Spencer </w:t>
      </w:r>
      <w:proofErr w:type="spellStart"/>
      <w:proofErr w:type="gramStart"/>
      <w:r w:rsidRPr="005F4FB0">
        <w:rPr>
          <w:rFonts w:ascii="Times New Roman" w:hAnsi="Times New Roman" w:cs="Times New Roman"/>
        </w:rPr>
        <w:t>B.King</w:t>
      </w:r>
      <w:proofErr w:type="spellEnd"/>
      <w:proofErr w:type="gramEnd"/>
      <w:r w:rsidRPr="005F4FB0">
        <w:rPr>
          <w:rFonts w:ascii="Times New Roman" w:hAnsi="Times New Roman" w:cs="Times New Roman"/>
        </w:rPr>
        <w:t xml:space="preserve"> III, </w:t>
      </w:r>
      <w:proofErr w:type="spellStart"/>
      <w:r w:rsidRPr="005F4FB0">
        <w:rPr>
          <w:rFonts w:ascii="Times New Roman" w:hAnsi="Times New Roman" w:cs="Times New Roman"/>
        </w:rPr>
        <w:t>Huiman</w:t>
      </w:r>
      <w:proofErr w:type="spellEnd"/>
      <w:r w:rsidRPr="005F4FB0">
        <w:rPr>
          <w:rFonts w:ascii="Times New Roman" w:hAnsi="Times New Roman" w:cs="Times New Roman"/>
        </w:rPr>
        <w:t xml:space="preserve"> X. Barnhart, Andrzej S. </w:t>
      </w:r>
      <w:proofErr w:type="spellStart"/>
      <w:r w:rsidRPr="005F4FB0">
        <w:rPr>
          <w:rFonts w:ascii="Times New Roman" w:hAnsi="Times New Roman" w:cs="Times New Roman"/>
        </w:rPr>
        <w:t>Kosinski</w:t>
      </w:r>
      <w:proofErr w:type="spellEnd"/>
      <w:r w:rsidRPr="005F4FB0">
        <w:rPr>
          <w:rFonts w:ascii="Times New Roman" w:hAnsi="Times New Roman" w:cs="Times New Roman"/>
        </w:rPr>
        <w:t xml:space="preserve">, William S. Weintraub, Nicholas J. </w:t>
      </w:r>
      <w:proofErr w:type="spellStart"/>
      <w:r w:rsidRPr="005F4FB0">
        <w:rPr>
          <w:rFonts w:ascii="Times New Roman" w:hAnsi="Times New Roman" w:cs="Times New Roman"/>
        </w:rPr>
        <w:t>Lembo</w:t>
      </w:r>
      <w:proofErr w:type="spellEnd"/>
      <w:r w:rsidRPr="005F4FB0">
        <w:rPr>
          <w:rFonts w:ascii="Times New Roman" w:hAnsi="Times New Roman" w:cs="Times New Roman"/>
        </w:rPr>
        <w:t xml:space="preserve">, Jackie Y. Petersen, John S. Douglas Jr., </w:t>
      </w:r>
      <w:proofErr w:type="spellStart"/>
      <w:r w:rsidRPr="005F4FB0">
        <w:rPr>
          <w:rFonts w:ascii="Times New Roman" w:hAnsi="Times New Roman" w:cs="Times New Roman"/>
        </w:rPr>
        <w:t>Elllis</w:t>
      </w:r>
      <w:proofErr w:type="spellEnd"/>
      <w:r w:rsidRPr="005F4FB0">
        <w:rPr>
          <w:rFonts w:ascii="Times New Roman" w:hAnsi="Times New Roman" w:cs="Times New Roman"/>
        </w:rPr>
        <w:t xml:space="preserve"> L. Jones, Joseph M. Craver, Robert A. Guyton, Douglas C. Morris, Henry A. </w:t>
      </w:r>
      <w:proofErr w:type="spellStart"/>
      <w:r w:rsidRPr="005F4FB0">
        <w:rPr>
          <w:rFonts w:ascii="Times New Roman" w:hAnsi="Times New Roman" w:cs="Times New Roman"/>
        </w:rPr>
        <w:t>Liberman</w:t>
      </w:r>
      <w:proofErr w:type="spellEnd"/>
      <w:r w:rsidRPr="005F4FB0">
        <w:rPr>
          <w:rFonts w:ascii="Times New Roman" w:hAnsi="Times New Roman" w:cs="Times New Roman"/>
        </w:rPr>
        <w:t xml:space="preserve"> and the EAST Investigators. Angioplasty or Surgery for </w:t>
      </w:r>
      <w:proofErr w:type="spellStart"/>
      <w:r w:rsidRPr="005F4FB0">
        <w:rPr>
          <w:rFonts w:ascii="Times New Roman" w:hAnsi="Times New Roman" w:cs="Times New Roman"/>
        </w:rPr>
        <w:t>Multivessel</w:t>
      </w:r>
      <w:proofErr w:type="spellEnd"/>
      <w:r w:rsidRPr="005F4FB0">
        <w:rPr>
          <w:rFonts w:ascii="Times New Roman" w:hAnsi="Times New Roman" w:cs="Times New Roman"/>
        </w:rPr>
        <w:t xml:space="preserve"> Coronary Artery Disease: Comparison of Eligible Registry and Randomized Patients in the EAST Trial and Influence of Treatment Selection on Outcomes. Am J </w:t>
      </w:r>
      <w:proofErr w:type="spellStart"/>
      <w:r w:rsidRPr="005F4FB0">
        <w:rPr>
          <w:rFonts w:ascii="Times New Roman" w:hAnsi="Times New Roman" w:cs="Times New Roman"/>
        </w:rPr>
        <w:t>Cardiol</w:t>
      </w:r>
      <w:proofErr w:type="spellEnd"/>
      <w:r w:rsidRPr="005F4FB0">
        <w:rPr>
          <w:rFonts w:ascii="Times New Roman" w:hAnsi="Times New Roman" w:cs="Times New Roman"/>
        </w:rPr>
        <w:t xml:space="preserve"> 1997; 79: 1453-1459.</w:t>
      </w:r>
    </w:p>
    <w:p w:rsidR="006D2EE9" w:rsidRPr="00304372" w:rsidRDefault="006D2EE9" w:rsidP="006D2EE9">
      <w:pPr>
        <w:pStyle w:val="Heading2"/>
        <w:spacing w:line="300" w:lineRule="auto"/>
        <w:rPr>
          <w:rFonts w:ascii="Times New Roman" w:hAnsi="Times New Roman" w:cs="Times New Roman"/>
          <w:b/>
          <w:color w:val="000000" w:themeColor="text1"/>
        </w:rPr>
      </w:pPr>
      <w:r w:rsidRPr="00304372">
        <w:rPr>
          <w:rFonts w:ascii="Times New Roman" w:hAnsi="Times New Roman" w:cs="Times New Roman"/>
          <w:b/>
          <w:color w:val="000000" w:themeColor="text1"/>
        </w:rPr>
        <w:t>Appendices</w:t>
      </w:r>
    </w:p>
    <w:p w:rsidR="00304372" w:rsidRPr="002345FF" w:rsidRDefault="002345FF" w:rsidP="00304372">
      <w:pPr>
        <w:rPr>
          <w:rFonts w:ascii="Times New Roman" w:hAnsi="Times New Roman" w:cs="Times New Roman"/>
        </w:rPr>
      </w:pPr>
      <w:r>
        <w:rPr>
          <w:rFonts w:ascii="Times New Roman" w:hAnsi="Times New Roman" w:cs="Times New Roman"/>
        </w:rPr>
        <w:t xml:space="preserve">1. </w:t>
      </w:r>
      <w:r w:rsidRPr="002345FF">
        <w:rPr>
          <w:rFonts w:ascii="Times New Roman" w:hAnsi="Times New Roman" w:cs="Times New Roman"/>
        </w:rPr>
        <w:t>Cochran-Mantel-</w:t>
      </w:r>
      <w:proofErr w:type="spellStart"/>
      <w:r w:rsidRPr="002345FF">
        <w:rPr>
          <w:rFonts w:ascii="Times New Roman" w:hAnsi="Times New Roman" w:cs="Times New Roman"/>
        </w:rPr>
        <w:t>Haenszel</w:t>
      </w:r>
      <w:proofErr w:type="spellEnd"/>
      <w:r w:rsidRPr="002345FF">
        <w:rPr>
          <w:rFonts w:ascii="Times New Roman" w:hAnsi="Times New Roman" w:cs="Times New Roman"/>
        </w:rPr>
        <w:t> Statistics</w:t>
      </w:r>
      <w:r>
        <w:rPr>
          <w:rFonts w:ascii="Times New Roman" w:hAnsi="Times New Roman" w:cs="Times New Roman"/>
        </w:rPr>
        <w:t xml:space="preserve"> to test the relationship between treatments and the length of hospital stay.</w:t>
      </w:r>
    </w:p>
    <w:tbl>
      <w:tblPr>
        <w:tblStyle w:val="TableGrid"/>
        <w:tblW w:w="0" w:type="auto"/>
        <w:jc w:val="center"/>
        <w:tblLook w:val="04A0" w:firstRow="1" w:lastRow="0" w:firstColumn="1" w:lastColumn="0" w:noHBand="0" w:noVBand="1"/>
        <w:tblDescription w:val="Procedure Freq: Cochran-Mantel-Haenszel Statistics"/>
      </w:tblPr>
      <w:tblGrid>
        <w:gridCol w:w="866"/>
        <w:gridCol w:w="2231"/>
        <w:gridCol w:w="474"/>
        <w:gridCol w:w="769"/>
        <w:gridCol w:w="769"/>
      </w:tblGrid>
      <w:tr w:rsidR="002345FF" w:rsidRPr="002345FF" w:rsidTr="002345FF">
        <w:trPr>
          <w:jc w:val="center"/>
        </w:trPr>
        <w:tc>
          <w:tcPr>
            <w:tcW w:w="0" w:type="auto"/>
            <w:gridSpan w:val="5"/>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Cochran-Mantel-</w:t>
            </w:r>
            <w:proofErr w:type="spellStart"/>
            <w:r w:rsidRPr="002345FF">
              <w:rPr>
                <w:rFonts w:ascii="Times New Roman" w:hAnsi="Times New Roman" w:cs="Times New Roman"/>
                <w:sz w:val="20"/>
                <w:szCs w:val="20"/>
              </w:rPr>
              <w:t>Haenszel</w:t>
            </w:r>
            <w:proofErr w:type="spellEnd"/>
            <w:r w:rsidRPr="002345FF">
              <w:rPr>
                <w:rFonts w:ascii="Times New Roman" w:hAnsi="Times New Roman" w:cs="Times New Roman"/>
                <w:sz w:val="20"/>
                <w:szCs w:val="20"/>
              </w:rPr>
              <w:t> Statistics (Based on Table Scores)</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Statistic</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Alternative Hypothesis</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DF</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Value</w:t>
            </w:r>
          </w:p>
        </w:tc>
        <w:tc>
          <w:tcPr>
            <w:tcW w:w="0" w:type="auto"/>
            <w:hideMark/>
          </w:tcPr>
          <w:p w:rsidR="002345FF" w:rsidRPr="002345FF" w:rsidRDefault="002345FF" w:rsidP="002345FF">
            <w:pPr>
              <w:pStyle w:val="NoSpacing"/>
              <w:rPr>
                <w:rFonts w:ascii="Times New Roman" w:hAnsi="Times New Roman" w:cs="Times New Roman"/>
                <w:sz w:val="20"/>
                <w:szCs w:val="20"/>
              </w:rPr>
            </w:pPr>
            <w:proofErr w:type="spellStart"/>
            <w:r w:rsidRPr="002345FF">
              <w:rPr>
                <w:rFonts w:ascii="Times New Roman" w:hAnsi="Times New Roman" w:cs="Times New Roman"/>
                <w:sz w:val="20"/>
                <w:szCs w:val="20"/>
              </w:rPr>
              <w:t>Prob</w:t>
            </w:r>
            <w:proofErr w:type="spellEnd"/>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1</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Nonzero Correlation</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1</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0.8027</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0.3703</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Row Mean Scores Differ</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1</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0.8027</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0.3703</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3</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General Association</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3</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7.0615</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0.0700</w:t>
            </w:r>
          </w:p>
        </w:tc>
      </w:tr>
    </w:tbl>
    <w:p w:rsidR="002345FF" w:rsidRDefault="002345FF" w:rsidP="00304372">
      <w:pPr>
        <w:rPr>
          <w:rFonts w:ascii="Times New Roman" w:hAnsi="Times New Roman" w:cs="Times New Roman"/>
        </w:rPr>
      </w:pPr>
    </w:p>
    <w:p w:rsidR="002345FF" w:rsidRDefault="002345FF" w:rsidP="00304372">
      <w:pPr>
        <w:rPr>
          <w:rFonts w:ascii="Times New Roman" w:hAnsi="Times New Roman" w:cs="Times New Roman"/>
        </w:rPr>
      </w:pPr>
      <w:r>
        <w:rPr>
          <w:rFonts w:ascii="Times New Roman" w:hAnsi="Times New Roman" w:cs="Times New Roman"/>
        </w:rPr>
        <w:t>2. The overall effect of treatment tested in the generalized logistic model with the length of hospital stay and treatments.</w:t>
      </w:r>
    </w:p>
    <w:tbl>
      <w:tblPr>
        <w:tblStyle w:val="TableGrid"/>
        <w:tblW w:w="0" w:type="auto"/>
        <w:jc w:val="center"/>
        <w:tblLook w:val="04A0" w:firstRow="1" w:lastRow="0" w:firstColumn="1" w:lastColumn="0" w:noHBand="0" w:noVBand="1"/>
        <w:tblDescription w:val="Procedure Logistic: Type 3 Tests"/>
      </w:tblPr>
      <w:tblGrid>
        <w:gridCol w:w="861"/>
        <w:gridCol w:w="472"/>
        <w:gridCol w:w="1127"/>
        <w:gridCol w:w="1107"/>
      </w:tblGrid>
      <w:tr w:rsidR="002345FF" w:rsidRPr="002345FF" w:rsidTr="002345FF">
        <w:trPr>
          <w:jc w:val="center"/>
        </w:trPr>
        <w:tc>
          <w:tcPr>
            <w:tcW w:w="0" w:type="auto"/>
            <w:gridSpan w:val="4"/>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Type 3 Analysis of Effects</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Effect</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DF</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Wald</w:t>
            </w:r>
            <w:r w:rsidRPr="002345FF">
              <w:rPr>
                <w:rFonts w:ascii="Times New Roman" w:hAnsi="Times New Roman" w:cs="Times New Roman"/>
                <w:sz w:val="20"/>
                <w:szCs w:val="20"/>
              </w:rPr>
              <w:br/>
              <w:t>Chi-Square</w:t>
            </w:r>
          </w:p>
        </w:tc>
        <w:tc>
          <w:tcPr>
            <w:tcW w:w="0" w:type="auto"/>
            <w:hideMark/>
          </w:tcPr>
          <w:p w:rsidR="002345FF" w:rsidRPr="002345FF" w:rsidRDefault="002345FF" w:rsidP="002345FF">
            <w:pPr>
              <w:pStyle w:val="NoSpacing"/>
              <w:rPr>
                <w:rFonts w:ascii="Times New Roman" w:hAnsi="Times New Roman" w:cs="Times New Roman"/>
                <w:sz w:val="20"/>
                <w:szCs w:val="20"/>
              </w:rPr>
            </w:pPr>
            <w:proofErr w:type="spellStart"/>
            <w:r w:rsidRPr="002345FF">
              <w:rPr>
                <w:rFonts w:ascii="Times New Roman" w:hAnsi="Times New Roman" w:cs="Times New Roman"/>
                <w:sz w:val="20"/>
                <w:szCs w:val="20"/>
              </w:rPr>
              <w:t>Pr</w:t>
            </w:r>
            <w:proofErr w:type="spellEnd"/>
            <w:r w:rsidRPr="002345FF">
              <w:rPr>
                <w:rFonts w:ascii="Times New Roman" w:hAnsi="Times New Roman" w:cs="Times New Roman"/>
                <w:sz w:val="20"/>
                <w:szCs w:val="20"/>
              </w:rPr>
              <w:t> &gt; </w:t>
            </w:r>
            <w:proofErr w:type="spellStart"/>
            <w:r w:rsidRPr="002345FF">
              <w:rPr>
                <w:rFonts w:ascii="Times New Roman" w:hAnsi="Times New Roman" w:cs="Times New Roman"/>
                <w:sz w:val="20"/>
                <w:szCs w:val="20"/>
              </w:rPr>
              <w:t>ChiSq</w:t>
            </w:r>
            <w:proofErr w:type="spellEnd"/>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TREAT</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3</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6.9053</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0.0750</w:t>
            </w:r>
          </w:p>
        </w:tc>
      </w:tr>
    </w:tbl>
    <w:p w:rsidR="002345FF" w:rsidRDefault="002345FF" w:rsidP="00304372">
      <w:pPr>
        <w:rPr>
          <w:rFonts w:ascii="Times New Roman" w:hAnsi="Times New Roman" w:cs="Times New Roman"/>
        </w:rPr>
      </w:pPr>
    </w:p>
    <w:p w:rsidR="00C23B13" w:rsidRDefault="00C23B13" w:rsidP="00304372">
      <w:pPr>
        <w:rPr>
          <w:rFonts w:ascii="Times New Roman" w:hAnsi="Times New Roman" w:cs="Times New Roman"/>
        </w:rPr>
      </w:pPr>
      <w:r>
        <w:rPr>
          <w:rFonts w:ascii="Times New Roman" w:hAnsi="Times New Roman" w:cs="Times New Roman"/>
        </w:rPr>
        <w:t>3. The relative probabilities of hospital stay with 95% confidence interval between different treatments in the generalized logistic model with the length of hospital stay and treatments.</w:t>
      </w:r>
    </w:p>
    <w:tbl>
      <w:tblPr>
        <w:tblStyle w:val="TableGrid"/>
        <w:tblW w:w="0" w:type="auto"/>
        <w:jc w:val="center"/>
        <w:tblLook w:val="04A0" w:firstRow="1" w:lastRow="0" w:firstColumn="1" w:lastColumn="0" w:noHBand="0" w:noVBand="1"/>
        <w:tblDescription w:val="Procedure Logistic: Odds Ratios"/>
      </w:tblPr>
      <w:tblGrid>
        <w:gridCol w:w="1466"/>
        <w:gridCol w:w="3594"/>
        <w:gridCol w:w="1389"/>
        <w:gridCol w:w="856"/>
        <w:gridCol w:w="856"/>
      </w:tblGrid>
      <w:tr w:rsidR="00C23B13" w:rsidRPr="00C23B13" w:rsidTr="00C23B13">
        <w:trPr>
          <w:jc w:val="center"/>
        </w:trPr>
        <w:tc>
          <w:tcPr>
            <w:tcW w:w="0" w:type="auto"/>
            <w:gridSpan w:val="5"/>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Odds Ratio Estimates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Effect</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DAYS</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Point Estimate</w:t>
            </w:r>
          </w:p>
        </w:tc>
        <w:tc>
          <w:tcPr>
            <w:tcW w:w="0" w:type="auto"/>
            <w:gridSpan w:val="2"/>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95% Wald</w:t>
            </w:r>
            <w:r w:rsidRPr="00C23B13">
              <w:rPr>
                <w:rFonts w:ascii="Times New Roman" w:hAnsi="Times New Roman" w:cs="Times New Roman"/>
                <w:sz w:val="20"/>
              </w:rPr>
              <w:br/>
              <w:t>Confidence Limits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more than 1 month stay</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1.981</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0.838</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4.684</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more than 1 week but within 1 month stay</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2.522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1.261</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5.044</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within 1 week stay</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1.843</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0.904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3.759</w:t>
            </w:r>
          </w:p>
        </w:tc>
      </w:tr>
    </w:tbl>
    <w:p w:rsidR="00C23B13" w:rsidRDefault="00C23B13" w:rsidP="00304372">
      <w:pPr>
        <w:rPr>
          <w:rFonts w:ascii="Times New Roman" w:hAnsi="Times New Roman" w:cs="Times New Roman"/>
        </w:rPr>
      </w:pPr>
    </w:p>
    <w:p w:rsidR="002345FF" w:rsidRDefault="00C23B13" w:rsidP="00304372">
      <w:pPr>
        <w:rPr>
          <w:rFonts w:ascii="Times New Roman" w:hAnsi="Times New Roman" w:cs="Times New Roman"/>
        </w:rPr>
      </w:pPr>
      <w:r>
        <w:rPr>
          <w:rFonts w:ascii="Times New Roman" w:hAnsi="Times New Roman" w:cs="Times New Roman"/>
        </w:rPr>
        <w:t>4</w:t>
      </w:r>
      <w:r w:rsidR="002345FF">
        <w:rPr>
          <w:rFonts w:ascii="Times New Roman" w:hAnsi="Times New Roman" w:cs="Times New Roman"/>
        </w:rPr>
        <w:t>. Score test for the proportional odds assumption in the cumulative logistic model with the length of hospital stay and treatments.</w:t>
      </w:r>
    </w:p>
    <w:tbl>
      <w:tblPr>
        <w:tblStyle w:val="TableGrid"/>
        <w:tblW w:w="0" w:type="auto"/>
        <w:jc w:val="center"/>
        <w:tblLook w:val="04A0" w:firstRow="1" w:lastRow="0" w:firstColumn="1" w:lastColumn="0" w:noHBand="0" w:noVBand="1"/>
        <w:tblDescription w:val="Procedure Logistic: Cumulative Model Test"/>
      </w:tblPr>
      <w:tblGrid>
        <w:gridCol w:w="1127"/>
        <w:gridCol w:w="472"/>
        <w:gridCol w:w="1107"/>
      </w:tblGrid>
      <w:tr w:rsidR="002345FF" w:rsidRPr="002345FF" w:rsidTr="002345FF">
        <w:trPr>
          <w:jc w:val="center"/>
        </w:trPr>
        <w:tc>
          <w:tcPr>
            <w:tcW w:w="0" w:type="auto"/>
            <w:gridSpan w:val="3"/>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Score Test for the Proportional</w:t>
            </w:r>
            <w:r w:rsidRPr="002345FF">
              <w:rPr>
                <w:rFonts w:ascii="Times New Roman" w:hAnsi="Times New Roman" w:cs="Times New Roman"/>
                <w:sz w:val="20"/>
                <w:szCs w:val="20"/>
              </w:rPr>
              <w:br/>
              <w:t>Odds Assumption</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Chi-Square</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DF</w:t>
            </w:r>
          </w:p>
        </w:tc>
        <w:tc>
          <w:tcPr>
            <w:tcW w:w="0" w:type="auto"/>
            <w:hideMark/>
          </w:tcPr>
          <w:p w:rsidR="002345FF" w:rsidRPr="002345FF" w:rsidRDefault="002345FF" w:rsidP="002345FF">
            <w:pPr>
              <w:pStyle w:val="NoSpacing"/>
              <w:rPr>
                <w:rFonts w:ascii="Times New Roman" w:hAnsi="Times New Roman" w:cs="Times New Roman"/>
                <w:sz w:val="20"/>
                <w:szCs w:val="20"/>
              </w:rPr>
            </w:pPr>
            <w:proofErr w:type="spellStart"/>
            <w:r w:rsidRPr="002345FF">
              <w:rPr>
                <w:rFonts w:ascii="Times New Roman" w:hAnsi="Times New Roman" w:cs="Times New Roman"/>
                <w:sz w:val="20"/>
                <w:szCs w:val="20"/>
              </w:rPr>
              <w:t>Pr</w:t>
            </w:r>
            <w:proofErr w:type="spellEnd"/>
            <w:r w:rsidRPr="002345FF">
              <w:rPr>
                <w:rFonts w:ascii="Times New Roman" w:hAnsi="Times New Roman" w:cs="Times New Roman"/>
                <w:sz w:val="20"/>
                <w:szCs w:val="20"/>
              </w:rPr>
              <w:t> &gt; </w:t>
            </w:r>
            <w:proofErr w:type="spellStart"/>
            <w:r w:rsidRPr="002345FF">
              <w:rPr>
                <w:rFonts w:ascii="Times New Roman" w:hAnsi="Times New Roman" w:cs="Times New Roman"/>
                <w:sz w:val="20"/>
                <w:szCs w:val="20"/>
              </w:rPr>
              <w:t>ChiSq</w:t>
            </w:r>
            <w:proofErr w:type="spellEnd"/>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2.8419</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0.2415</w:t>
            </w:r>
          </w:p>
        </w:tc>
      </w:tr>
    </w:tbl>
    <w:p w:rsidR="002345FF" w:rsidRDefault="002345FF" w:rsidP="00304372">
      <w:pPr>
        <w:rPr>
          <w:rFonts w:ascii="Times New Roman" w:hAnsi="Times New Roman" w:cs="Times New Roman"/>
        </w:rPr>
      </w:pPr>
    </w:p>
    <w:p w:rsidR="002345FF" w:rsidRDefault="00C23B13" w:rsidP="00304372">
      <w:pPr>
        <w:rPr>
          <w:rFonts w:ascii="Times New Roman" w:hAnsi="Times New Roman" w:cs="Times New Roman"/>
        </w:rPr>
      </w:pPr>
      <w:r>
        <w:rPr>
          <w:rFonts w:ascii="Times New Roman" w:hAnsi="Times New Roman" w:cs="Times New Roman"/>
        </w:rPr>
        <w:lastRenderedPageBreak/>
        <w:t>5</w:t>
      </w:r>
      <w:r w:rsidR="002345FF">
        <w:rPr>
          <w:rFonts w:ascii="Times New Roman" w:hAnsi="Times New Roman" w:cs="Times New Roman"/>
        </w:rPr>
        <w:t>. Goodness of fit test in the cumulative logistic model with the length of hospital stay and treatments.</w:t>
      </w:r>
    </w:p>
    <w:tbl>
      <w:tblPr>
        <w:tblStyle w:val="TableGrid"/>
        <w:tblW w:w="0" w:type="auto"/>
        <w:jc w:val="center"/>
        <w:tblLook w:val="04A0" w:firstRow="1" w:lastRow="0" w:firstColumn="1" w:lastColumn="0" w:noHBand="0" w:noVBand="1"/>
        <w:tblDescription w:val="Procedure Logistic: Goodness-of-Fit"/>
      </w:tblPr>
      <w:tblGrid>
        <w:gridCol w:w="972"/>
        <w:gridCol w:w="766"/>
        <w:gridCol w:w="472"/>
        <w:gridCol w:w="1005"/>
        <w:gridCol w:w="1107"/>
      </w:tblGrid>
      <w:tr w:rsidR="002345FF" w:rsidRPr="002345FF" w:rsidTr="002345FF">
        <w:trPr>
          <w:jc w:val="center"/>
        </w:trPr>
        <w:tc>
          <w:tcPr>
            <w:tcW w:w="0" w:type="auto"/>
            <w:gridSpan w:val="5"/>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Deviance and Pearson Goodness-of-Fit Statistics</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Criterion</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Value</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DF</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Value/DF</w:t>
            </w:r>
          </w:p>
        </w:tc>
        <w:tc>
          <w:tcPr>
            <w:tcW w:w="0" w:type="auto"/>
            <w:hideMark/>
          </w:tcPr>
          <w:p w:rsidR="002345FF" w:rsidRPr="002345FF" w:rsidRDefault="002345FF" w:rsidP="002345FF">
            <w:pPr>
              <w:pStyle w:val="NoSpacing"/>
              <w:rPr>
                <w:rFonts w:ascii="Times New Roman" w:hAnsi="Times New Roman" w:cs="Times New Roman"/>
                <w:sz w:val="20"/>
                <w:szCs w:val="20"/>
              </w:rPr>
            </w:pPr>
            <w:proofErr w:type="spellStart"/>
            <w:r w:rsidRPr="002345FF">
              <w:rPr>
                <w:rFonts w:ascii="Times New Roman" w:hAnsi="Times New Roman" w:cs="Times New Roman"/>
                <w:sz w:val="20"/>
                <w:szCs w:val="20"/>
              </w:rPr>
              <w:t>Pr</w:t>
            </w:r>
            <w:proofErr w:type="spellEnd"/>
            <w:r w:rsidRPr="002345FF">
              <w:rPr>
                <w:rFonts w:ascii="Times New Roman" w:hAnsi="Times New Roman" w:cs="Times New Roman"/>
                <w:sz w:val="20"/>
                <w:szCs w:val="20"/>
              </w:rPr>
              <w:t> &gt; </w:t>
            </w:r>
            <w:proofErr w:type="spellStart"/>
            <w:r w:rsidRPr="002345FF">
              <w:rPr>
                <w:rFonts w:ascii="Times New Roman" w:hAnsi="Times New Roman" w:cs="Times New Roman"/>
                <w:sz w:val="20"/>
                <w:szCs w:val="20"/>
              </w:rPr>
              <w:t>ChiSq</w:t>
            </w:r>
            <w:proofErr w:type="spellEnd"/>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Deviance</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2.8278</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1.4139</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0.2432</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Pearson</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2.8333</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2</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1.4166</w:t>
            </w:r>
          </w:p>
        </w:tc>
        <w:tc>
          <w:tcPr>
            <w:tcW w:w="0" w:type="auto"/>
            <w:hideMark/>
          </w:tcPr>
          <w:p w:rsidR="002345FF" w:rsidRPr="002345FF" w:rsidRDefault="002345FF" w:rsidP="002345FF">
            <w:pPr>
              <w:pStyle w:val="NoSpacing"/>
              <w:rPr>
                <w:rFonts w:ascii="Times New Roman" w:hAnsi="Times New Roman" w:cs="Times New Roman"/>
                <w:sz w:val="20"/>
                <w:szCs w:val="20"/>
              </w:rPr>
            </w:pPr>
            <w:r w:rsidRPr="002345FF">
              <w:rPr>
                <w:rFonts w:ascii="Times New Roman" w:hAnsi="Times New Roman" w:cs="Times New Roman"/>
                <w:sz w:val="20"/>
                <w:szCs w:val="20"/>
              </w:rPr>
              <w:t>0.2425</w:t>
            </w:r>
          </w:p>
        </w:tc>
      </w:tr>
    </w:tbl>
    <w:p w:rsidR="002345FF" w:rsidRDefault="002345FF" w:rsidP="00304372">
      <w:pPr>
        <w:rPr>
          <w:rFonts w:ascii="Times New Roman" w:hAnsi="Times New Roman" w:cs="Times New Roman"/>
        </w:rPr>
      </w:pPr>
    </w:p>
    <w:p w:rsidR="002345FF" w:rsidRDefault="00C23B13" w:rsidP="00304372">
      <w:pPr>
        <w:rPr>
          <w:rFonts w:ascii="Times New Roman" w:hAnsi="Times New Roman" w:cs="Times New Roman"/>
        </w:rPr>
      </w:pPr>
      <w:r>
        <w:rPr>
          <w:rFonts w:ascii="Times New Roman" w:hAnsi="Times New Roman" w:cs="Times New Roman"/>
        </w:rPr>
        <w:t>6</w:t>
      </w:r>
      <w:r w:rsidR="002345FF">
        <w:rPr>
          <w:rFonts w:ascii="Times New Roman" w:hAnsi="Times New Roman" w:cs="Times New Roman"/>
        </w:rPr>
        <w:t>. The overall effect of treatment tested in the cumulative logistic model with the length of hospital stay and treatments.</w:t>
      </w:r>
    </w:p>
    <w:tbl>
      <w:tblPr>
        <w:tblStyle w:val="TableGrid"/>
        <w:tblW w:w="0" w:type="auto"/>
        <w:jc w:val="center"/>
        <w:tblLook w:val="04A0" w:firstRow="1" w:lastRow="0" w:firstColumn="1" w:lastColumn="0" w:noHBand="0" w:noVBand="1"/>
        <w:tblDescription w:val="Procedure Logistic: Type 3 Tests"/>
      </w:tblPr>
      <w:tblGrid>
        <w:gridCol w:w="861"/>
        <w:gridCol w:w="472"/>
        <w:gridCol w:w="1127"/>
        <w:gridCol w:w="1107"/>
      </w:tblGrid>
      <w:tr w:rsidR="002345FF" w:rsidRPr="002345FF" w:rsidTr="002345FF">
        <w:trPr>
          <w:jc w:val="center"/>
        </w:trPr>
        <w:tc>
          <w:tcPr>
            <w:tcW w:w="0" w:type="auto"/>
            <w:gridSpan w:val="4"/>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Type 3 Analysis of Effects</w:t>
            </w:r>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Effect</w:t>
            </w:r>
          </w:p>
        </w:tc>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DF</w:t>
            </w:r>
          </w:p>
        </w:tc>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Wald</w:t>
            </w:r>
            <w:r w:rsidRPr="002345FF">
              <w:rPr>
                <w:rFonts w:ascii="Times New Roman" w:hAnsi="Times New Roman" w:cs="Times New Roman"/>
                <w:sz w:val="20"/>
              </w:rPr>
              <w:br/>
              <w:t>Chi-Square</w:t>
            </w:r>
          </w:p>
        </w:tc>
        <w:tc>
          <w:tcPr>
            <w:tcW w:w="0" w:type="auto"/>
            <w:hideMark/>
          </w:tcPr>
          <w:p w:rsidR="002345FF" w:rsidRPr="002345FF" w:rsidRDefault="002345FF" w:rsidP="002345FF">
            <w:pPr>
              <w:pStyle w:val="NoSpacing"/>
              <w:rPr>
                <w:rFonts w:ascii="Times New Roman" w:hAnsi="Times New Roman" w:cs="Times New Roman"/>
                <w:sz w:val="20"/>
              </w:rPr>
            </w:pPr>
            <w:proofErr w:type="spellStart"/>
            <w:r w:rsidRPr="002345FF">
              <w:rPr>
                <w:rFonts w:ascii="Times New Roman" w:hAnsi="Times New Roman" w:cs="Times New Roman"/>
                <w:sz w:val="20"/>
              </w:rPr>
              <w:t>Pr</w:t>
            </w:r>
            <w:proofErr w:type="spellEnd"/>
            <w:r w:rsidRPr="002345FF">
              <w:rPr>
                <w:rFonts w:ascii="Times New Roman" w:hAnsi="Times New Roman" w:cs="Times New Roman"/>
                <w:sz w:val="20"/>
              </w:rPr>
              <w:t> &gt; </w:t>
            </w:r>
            <w:proofErr w:type="spellStart"/>
            <w:r w:rsidRPr="002345FF">
              <w:rPr>
                <w:rFonts w:ascii="Times New Roman" w:hAnsi="Times New Roman" w:cs="Times New Roman"/>
                <w:sz w:val="20"/>
              </w:rPr>
              <w:t>ChiSq</w:t>
            </w:r>
            <w:proofErr w:type="spellEnd"/>
          </w:p>
        </w:tc>
      </w:tr>
      <w:tr w:rsidR="002345FF" w:rsidRPr="002345FF" w:rsidTr="002345FF">
        <w:trPr>
          <w:jc w:val="center"/>
        </w:trPr>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TREAT</w:t>
            </w:r>
          </w:p>
        </w:tc>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1</w:t>
            </w:r>
          </w:p>
        </w:tc>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4.3232</w:t>
            </w:r>
          </w:p>
        </w:tc>
        <w:tc>
          <w:tcPr>
            <w:tcW w:w="0" w:type="auto"/>
            <w:hideMark/>
          </w:tcPr>
          <w:p w:rsidR="002345FF" w:rsidRPr="002345FF" w:rsidRDefault="002345FF" w:rsidP="002345FF">
            <w:pPr>
              <w:pStyle w:val="NoSpacing"/>
              <w:rPr>
                <w:rFonts w:ascii="Times New Roman" w:hAnsi="Times New Roman" w:cs="Times New Roman"/>
                <w:sz w:val="20"/>
              </w:rPr>
            </w:pPr>
            <w:r w:rsidRPr="002345FF">
              <w:rPr>
                <w:rFonts w:ascii="Times New Roman" w:hAnsi="Times New Roman" w:cs="Times New Roman"/>
                <w:sz w:val="20"/>
              </w:rPr>
              <w:t>0.0376</w:t>
            </w:r>
          </w:p>
        </w:tc>
      </w:tr>
    </w:tbl>
    <w:p w:rsidR="002345FF" w:rsidRDefault="002345FF" w:rsidP="00304372">
      <w:pPr>
        <w:rPr>
          <w:rFonts w:ascii="Times New Roman" w:hAnsi="Times New Roman" w:cs="Times New Roman"/>
        </w:rPr>
      </w:pPr>
    </w:p>
    <w:p w:rsidR="00C23B13" w:rsidRDefault="00C23B13" w:rsidP="00304372">
      <w:pPr>
        <w:rPr>
          <w:rFonts w:ascii="Times New Roman" w:hAnsi="Times New Roman" w:cs="Times New Roman"/>
        </w:rPr>
      </w:pPr>
      <w:r>
        <w:rPr>
          <w:rFonts w:ascii="Times New Roman" w:hAnsi="Times New Roman" w:cs="Times New Roman"/>
        </w:rPr>
        <w:t>7.</w:t>
      </w:r>
      <w:r w:rsidRPr="00C23B13">
        <w:rPr>
          <w:rFonts w:ascii="Times New Roman" w:hAnsi="Times New Roman" w:cs="Times New Roman"/>
        </w:rPr>
        <w:t xml:space="preserve"> </w:t>
      </w:r>
      <w:r>
        <w:rPr>
          <w:rFonts w:ascii="Times New Roman" w:hAnsi="Times New Roman" w:cs="Times New Roman"/>
        </w:rPr>
        <w:t>The relative probabilities of hospital stay with 95% confidence interval in the cumulative logistic model with the length of hospital stay and treatments.</w:t>
      </w:r>
    </w:p>
    <w:tbl>
      <w:tblPr>
        <w:tblStyle w:val="TableGrid"/>
        <w:tblW w:w="0" w:type="auto"/>
        <w:jc w:val="center"/>
        <w:tblLook w:val="04A0" w:firstRow="1" w:lastRow="0" w:firstColumn="1" w:lastColumn="0" w:noHBand="0" w:noVBand="1"/>
        <w:tblDescription w:val="Procedure Logistic: Odds Ratios"/>
      </w:tblPr>
      <w:tblGrid>
        <w:gridCol w:w="1466"/>
        <w:gridCol w:w="1389"/>
        <w:gridCol w:w="856"/>
        <w:gridCol w:w="856"/>
      </w:tblGrid>
      <w:tr w:rsidR="00C23B13" w:rsidRPr="00C23B13" w:rsidTr="00C23B13">
        <w:trPr>
          <w:jc w:val="center"/>
        </w:trPr>
        <w:tc>
          <w:tcPr>
            <w:tcW w:w="0" w:type="auto"/>
            <w:gridSpan w:val="4"/>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Odds Ratio Estimates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Effect</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Point Estimate</w:t>
            </w:r>
          </w:p>
        </w:tc>
        <w:tc>
          <w:tcPr>
            <w:tcW w:w="0" w:type="auto"/>
            <w:gridSpan w:val="2"/>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95% Wald</w:t>
            </w:r>
            <w:r w:rsidRPr="00C23B13">
              <w:rPr>
                <w:rFonts w:ascii="Times New Roman" w:hAnsi="Times New Roman" w:cs="Times New Roman"/>
                <w:sz w:val="20"/>
              </w:rPr>
              <w:br/>
              <w:t>Confidence Limits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1.554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1.026</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2.355</w:t>
            </w:r>
          </w:p>
        </w:tc>
      </w:tr>
    </w:tbl>
    <w:p w:rsidR="00C23B13" w:rsidRDefault="00C23B13" w:rsidP="00304372">
      <w:pPr>
        <w:rPr>
          <w:rFonts w:ascii="Times New Roman" w:hAnsi="Times New Roman" w:cs="Times New Roman"/>
        </w:rPr>
      </w:pPr>
      <w:r>
        <w:rPr>
          <w:rFonts w:ascii="Times New Roman" w:hAnsi="Times New Roman" w:cs="Times New Roman"/>
        </w:rPr>
        <w:t xml:space="preserve"> </w:t>
      </w:r>
    </w:p>
    <w:p w:rsidR="00C23B13" w:rsidRDefault="00C23B13" w:rsidP="00304372">
      <w:pPr>
        <w:rPr>
          <w:rFonts w:ascii="Times New Roman" w:hAnsi="Times New Roman" w:cs="Times New Roman"/>
        </w:rPr>
      </w:pPr>
      <w:r>
        <w:rPr>
          <w:rFonts w:ascii="Times New Roman" w:hAnsi="Times New Roman" w:cs="Times New Roman"/>
        </w:rPr>
        <w:t xml:space="preserve">8. </w:t>
      </w:r>
      <w:r w:rsidRPr="002345FF">
        <w:rPr>
          <w:rFonts w:ascii="Times New Roman" w:hAnsi="Times New Roman" w:cs="Times New Roman"/>
        </w:rPr>
        <w:t>Cochran-Mantel-</w:t>
      </w:r>
      <w:proofErr w:type="spellStart"/>
      <w:r w:rsidRPr="002345FF">
        <w:rPr>
          <w:rFonts w:ascii="Times New Roman" w:hAnsi="Times New Roman" w:cs="Times New Roman"/>
        </w:rPr>
        <w:t>Haenszel</w:t>
      </w:r>
      <w:proofErr w:type="spellEnd"/>
      <w:r w:rsidRPr="002345FF">
        <w:rPr>
          <w:rFonts w:ascii="Times New Roman" w:hAnsi="Times New Roman" w:cs="Times New Roman"/>
        </w:rPr>
        <w:t> Statistics</w:t>
      </w:r>
      <w:r>
        <w:rPr>
          <w:rFonts w:ascii="Times New Roman" w:hAnsi="Times New Roman" w:cs="Times New Roman"/>
        </w:rPr>
        <w:t xml:space="preserve"> to test the relationship between treatments and the length of hospital stay with initial disease status as stratum.</w:t>
      </w:r>
    </w:p>
    <w:tbl>
      <w:tblPr>
        <w:tblStyle w:val="TableGrid"/>
        <w:tblW w:w="0" w:type="auto"/>
        <w:jc w:val="center"/>
        <w:tblLook w:val="04A0" w:firstRow="1" w:lastRow="0" w:firstColumn="1" w:lastColumn="0" w:noHBand="0" w:noVBand="1"/>
        <w:tblDescription w:val="Procedure Freq: Cochran-Mantel-Haenszel Statistics"/>
      </w:tblPr>
      <w:tblGrid>
        <w:gridCol w:w="866"/>
        <w:gridCol w:w="2231"/>
        <w:gridCol w:w="474"/>
        <w:gridCol w:w="769"/>
        <w:gridCol w:w="769"/>
      </w:tblGrid>
      <w:tr w:rsidR="00C23B13" w:rsidRPr="00C23B13" w:rsidTr="00C23B13">
        <w:trPr>
          <w:jc w:val="center"/>
        </w:trPr>
        <w:tc>
          <w:tcPr>
            <w:tcW w:w="0" w:type="auto"/>
            <w:gridSpan w:val="5"/>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Cochran-Mantel-</w:t>
            </w:r>
            <w:proofErr w:type="spellStart"/>
            <w:r w:rsidRPr="00C23B13">
              <w:rPr>
                <w:rFonts w:ascii="Times New Roman" w:hAnsi="Times New Roman" w:cs="Times New Roman"/>
                <w:sz w:val="20"/>
              </w:rPr>
              <w:t>Haenszel</w:t>
            </w:r>
            <w:proofErr w:type="spellEnd"/>
            <w:r w:rsidRPr="00C23B13">
              <w:rPr>
                <w:rFonts w:ascii="Times New Roman" w:hAnsi="Times New Roman" w:cs="Times New Roman"/>
                <w:sz w:val="20"/>
              </w:rPr>
              <w:t> Statistics (Based on Table Scores)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Statistic</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Alternative Hypothesis</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DF</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Value</w:t>
            </w:r>
          </w:p>
        </w:tc>
        <w:tc>
          <w:tcPr>
            <w:tcW w:w="0" w:type="auto"/>
            <w:hideMark/>
          </w:tcPr>
          <w:p w:rsidR="00C23B13" w:rsidRPr="00C23B13" w:rsidRDefault="00C23B13" w:rsidP="00C23B13">
            <w:pPr>
              <w:pStyle w:val="NoSpacing"/>
              <w:rPr>
                <w:rFonts w:ascii="Times New Roman" w:hAnsi="Times New Roman" w:cs="Times New Roman"/>
                <w:sz w:val="20"/>
              </w:rPr>
            </w:pPr>
            <w:proofErr w:type="spellStart"/>
            <w:r w:rsidRPr="00C23B13">
              <w:rPr>
                <w:rFonts w:ascii="Times New Roman" w:hAnsi="Times New Roman" w:cs="Times New Roman"/>
                <w:sz w:val="20"/>
              </w:rPr>
              <w:t>Prob</w:t>
            </w:r>
            <w:proofErr w:type="spellEnd"/>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Nonzero Correlation</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0.8814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0.3478</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Row Mean Scores Differ</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0.8814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0.3478</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3</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General Association</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3</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7.1446</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0.0674</w:t>
            </w:r>
          </w:p>
        </w:tc>
      </w:tr>
    </w:tbl>
    <w:p w:rsidR="00C23B13" w:rsidRDefault="00C23B13" w:rsidP="00304372">
      <w:pPr>
        <w:rPr>
          <w:rFonts w:ascii="Times New Roman" w:hAnsi="Times New Roman" w:cs="Times New Roman"/>
        </w:rPr>
      </w:pPr>
    </w:p>
    <w:p w:rsidR="00C23B13" w:rsidRDefault="00C23B13" w:rsidP="00304372">
      <w:pPr>
        <w:rPr>
          <w:rFonts w:ascii="Times New Roman" w:hAnsi="Times New Roman" w:cs="Times New Roman"/>
        </w:rPr>
      </w:pPr>
      <w:r>
        <w:rPr>
          <w:rFonts w:ascii="Times New Roman" w:hAnsi="Times New Roman" w:cs="Times New Roman"/>
        </w:rPr>
        <w:t>9. The relative probabilities of hospital stay with 95% confidence interval based on different disease status in the cumulative logistic model with the length of hospital stay and treatments, status, the interaction term of treatments and status.</w:t>
      </w:r>
    </w:p>
    <w:tbl>
      <w:tblPr>
        <w:tblStyle w:val="TableGrid"/>
        <w:tblW w:w="0" w:type="auto"/>
        <w:jc w:val="center"/>
        <w:tblLook w:val="04A0" w:firstRow="1" w:lastRow="0" w:firstColumn="1" w:lastColumn="0" w:noHBand="0" w:noVBand="1"/>
        <w:tblDescription w:val="Procedure Logistic: Odds Ratios CL=Wald"/>
      </w:tblPr>
      <w:tblGrid>
        <w:gridCol w:w="3495"/>
        <w:gridCol w:w="916"/>
        <w:gridCol w:w="989"/>
        <w:gridCol w:w="1138"/>
      </w:tblGrid>
      <w:tr w:rsidR="00C23B13" w:rsidRPr="00C23B13" w:rsidTr="00C23B13">
        <w:trPr>
          <w:jc w:val="center"/>
        </w:trPr>
        <w:tc>
          <w:tcPr>
            <w:tcW w:w="0" w:type="auto"/>
            <w:gridSpan w:val="4"/>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Odds Ratio Estimates and Wald Confidence Intervals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Odds Ratio</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Estimate</w:t>
            </w:r>
          </w:p>
        </w:tc>
        <w:tc>
          <w:tcPr>
            <w:tcW w:w="0" w:type="auto"/>
            <w:gridSpan w:val="2"/>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95% Confidence Limits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 at STATUS=mild</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2.334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1.167</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4.668</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 at STATUS=moderate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0.932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0.489</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1.776</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 at STATUS=severe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6.630</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0.916</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48.006</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TREAT A vs B at STATUS=very severe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1.503</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0.566</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3.990</w:t>
            </w:r>
          </w:p>
        </w:tc>
      </w:tr>
    </w:tbl>
    <w:p w:rsidR="00C23B13" w:rsidRDefault="00C23B13" w:rsidP="00304372">
      <w:pPr>
        <w:rPr>
          <w:rFonts w:ascii="Times New Roman" w:hAnsi="Times New Roman" w:cs="Times New Roman"/>
        </w:rPr>
      </w:pPr>
    </w:p>
    <w:p w:rsidR="00C23B13" w:rsidRDefault="00C23B13" w:rsidP="00304372">
      <w:pPr>
        <w:rPr>
          <w:rFonts w:ascii="Times New Roman" w:hAnsi="Times New Roman" w:cs="Times New Roman"/>
        </w:rPr>
      </w:pPr>
      <w:r>
        <w:rPr>
          <w:rFonts w:ascii="Times New Roman" w:hAnsi="Times New Roman" w:cs="Times New Roman"/>
        </w:rPr>
        <w:t>10. Score test for the proportional odds assumption in the cumulative logistic model with the length of hospital stay and treatments, status, the interaction term of treatments and status with all demographic characteristics as covariates (multivariate model).</w:t>
      </w:r>
    </w:p>
    <w:tbl>
      <w:tblPr>
        <w:tblStyle w:val="TableGrid"/>
        <w:tblW w:w="0" w:type="auto"/>
        <w:jc w:val="center"/>
        <w:tblLook w:val="04A0" w:firstRow="1" w:lastRow="0" w:firstColumn="1" w:lastColumn="0" w:noHBand="0" w:noVBand="1"/>
        <w:tblDescription w:val="Procedure Logistic: Cumulative Model Test"/>
      </w:tblPr>
      <w:tblGrid>
        <w:gridCol w:w="1127"/>
        <w:gridCol w:w="472"/>
        <w:gridCol w:w="1107"/>
      </w:tblGrid>
      <w:tr w:rsidR="00C23B13" w:rsidRPr="00C23B13" w:rsidTr="00C23B13">
        <w:trPr>
          <w:jc w:val="center"/>
        </w:trPr>
        <w:tc>
          <w:tcPr>
            <w:tcW w:w="0" w:type="auto"/>
            <w:gridSpan w:val="3"/>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Score Test for the Proportional</w:t>
            </w:r>
            <w:r w:rsidRPr="00C23B13">
              <w:rPr>
                <w:rFonts w:ascii="Times New Roman" w:hAnsi="Times New Roman" w:cs="Times New Roman"/>
                <w:sz w:val="20"/>
              </w:rPr>
              <w:br/>
              <w:t>Odds Assumption</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Chi-Square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DF</w:t>
            </w:r>
          </w:p>
        </w:tc>
        <w:tc>
          <w:tcPr>
            <w:tcW w:w="0" w:type="auto"/>
            <w:hideMark/>
          </w:tcPr>
          <w:p w:rsidR="00C23B13" w:rsidRPr="00C23B13" w:rsidRDefault="00C23B13" w:rsidP="00C23B13">
            <w:pPr>
              <w:pStyle w:val="NoSpacing"/>
              <w:rPr>
                <w:rFonts w:ascii="Times New Roman" w:hAnsi="Times New Roman" w:cs="Times New Roman"/>
                <w:sz w:val="20"/>
              </w:rPr>
            </w:pPr>
            <w:proofErr w:type="spellStart"/>
            <w:r w:rsidRPr="00C23B13">
              <w:rPr>
                <w:rFonts w:ascii="Times New Roman" w:hAnsi="Times New Roman" w:cs="Times New Roman"/>
                <w:sz w:val="20"/>
              </w:rPr>
              <w:t>Pr</w:t>
            </w:r>
            <w:proofErr w:type="spellEnd"/>
            <w:r w:rsidRPr="00C23B13">
              <w:rPr>
                <w:rFonts w:ascii="Times New Roman" w:hAnsi="Times New Roman" w:cs="Times New Roman"/>
                <w:sz w:val="20"/>
              </w:rPr>
              <w:t> &gt; </w:t>
            </w:r>
            <w:proofErr w:type="spellStart"/>
            <w:r w:rsidRPr="00C23B13">
              <w:rPr>
                <w:rFonts w:ascii="Times New Roman" w:hAnsi="Times New Roman" w:cs="Times New Roman"/>
                <w:sz w:val="20"/>
              </w:rPr>
              <w:t>ChiSq</w:t>
            </w:r>
            <w:proofErr w:type="spellEnd"/>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lastRenderedPageBreak/>
              <w:t>32.6158</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34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0.5354</w:t>
            </w:r>
          </w:p>
        </w:tc>
      </w:tr>
    </w:tbl>
    <w:p w:rsidR="00C23B13" w:rsidRDefault="00C23B13" w:rsidP="00304372">
      <w:pPr>
        <w:rPr>
          <w:rFonts w:ascii="Times New Roman" w:hAnsi="Times New Roman" w:cs="Times New Roman"/>
        </w:rPr>
      </w:pPr>
    </w:p>
    <w:p w:rsidR="00C23B13" w:rsidRDefault="00C23B13" w:rsidP="00C23B13">
      <w:pPr>
        <w:rPr>
          <w:rFonts w:ascii="Times New Roman" w:hAnsi="Times New Roman" w:cs="Times New Roman"/>
        </w:rPr>
      </w:pPr>
      <w:r>
        <w:rPr>
          <w:rFonts w:ascii="Times New Roman" w:hAnsi="Times New Roman" w:cs="Times New Roman"/>
        </w:rPr>
        <w:t>11. Goodness of fit test in the cumulative logistic model with the length of hospital stay and treatments, status, the interaction term of treatments and status with all demographic characteristics as covariates (multivariate model).</w:t>
      </w:r>
    </w:p>
    <w:tbl>
      <w:tblPr>
        <w:tblStyle w:val="TableGrid"/>
        <w:tblW w:w="0" w:type="auto"/>
        <w:jc w:val="center"/>
        <w:tblLook w:val="04A0" w:firstRow="1" w:lastRow="0" w:firstColumn="1" w:lastColumn="0" w:noHBand="0" w:noVBand="1"/>
        <w:tblDescription w:val="Procedure Logistic: Goodness-of-Fit"/>
      </w:tblPr>
      <w:tblGrid>
        <w:gridCol w:w="972"/>
        <w:gridCol w:w="966"/>
        <w:gridCol w:w="516"/>
        <w:gridCol w:w="1005"/>
        <w:gridCol w:w="1107"/>
      </w:tblGrid>
      <w:tr w:rsidR="00C23B13" w:rsidRPr="00C23B13" w:rsidTr="00C23B13">
        <w:trPr>
          <w:jc w:val="center"/>
        </w:trPr>
        <w:tc>
          <w:tcPr>
            <w:tcW w:w="0" w:type="auto"/>
            <w:gridSpan w:val="5"/>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Deviance and Pearson Goodness-of-Fit Statistics</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Criterion</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Value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DF</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Value/DF</w:t>
            </w:r>
          </w:p>
        </w:tc>
        <w:tc>
          <w:tcPr>
            <w:tcW w:w="0" w:type="auto"/>
            <w:hideMark/>
          </w:tcPr>
          <w:p w:rsidR="00C23B13" w:rsidRPr="00C23B13" w:rsidRDefault="00C23B13" w:rsidP="00C23B13">
            <w:pPr>
              <w:pStyle w:val="NoSpacing"/>
              <w:rPr>
                <w:rFonts w:ascii="Times New Roman" w:hAnsi="Times New Roman" w:cs="Times New Roman"/>
                <w:sz w:val="20"/>
              </w:rPr>
            </w:pPr>
            <w:proofErr w:type="spellStart"/>
            <w:r w:rsidRPr="00C23B13">
              <w:rPr>
                <w:rFonts w:ascii="Times New Roman" w:hAnsi="Times New Roman" w:cs="Times New Roman"/>
                <w:sz w:val="20"/>
              </w:rPr>
              <w:t>Pr</w:t>
            </w:r>
            <w:proofErr w:type="spellEnd"/>
            <w:r w:rsidRPr="00C23B13">
              <w:rPr>
                <w:rFonts w:ascii="Times New Roman" w:hAnsi="Times New Roman" w:cs="Times New Roman"/>
                <w:sz w:val="20"/>
              </w:rPr>
              <w:t> &gt; </w:t>
            </w:r>
            <w:proofErr w:type="spellStart"/>
            <w:r w:rsidRPr="00C23B13">
              <w:rPr>
                <w:rFonts w:ascii="Times New Roman" w:hAnsi="Times New Roman" w:cs="Times New Roman"/>
                <w:sz w:val="20"/>
              </w:rPr>
              <w:t>ChiSq</w:t>
            </w:r>
            <w:proofErr w:type="spellEnd"/>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Deviance</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723.5873</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862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0.8394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0.9998</w:t>
            </w:r>
          </w:p>
        </w:tc>
      </w:tr>
      <w:tr w:rsidR="00C23B13" w:rsidRPr="00C23B13" w:rsidTr="00C23B13">
        <w:trPr>
          <w:jc w:val="center"/>
        </w:trPr>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Pearson</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875.0754</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862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1.0152</w:t>
            </w:r>
          </w:p>
        </w:tc>
        <w:tc>
          <w:tcPr>
            <w:tcW w:w="0" w:type="auto"/>
            <w:hideMark/>
          </w:tcPr>
          <w:p w:rsidR="00C23B13" w:rsidRPr="00C23B13" w:rsidRDefault="00C23B13" w:rsidP="00C23B13">
            <w:pPr>
              <w:pStyle w:val="NoSpacing"/>
              <w:rPr>
                <w:rFonts w:ascii="Times New Roman" w:hAnsi="Times New Roman" w:cs="Times New Roman"/>
                <w:sz w:val="20"/>
              </w:rPr>
            </w:pPr>
            <w:r w:rsidRPr="00C23B13">
              <w:rPr>
                <w:rFonts w:ascii="Times New Roman" w:hAnsi="Times New Roman" w:cs="Times New Roman"/>
                <w:sz w:val="20"/>
              </w:rPr>
              <w:t>0.3709</w:t>
            </w:r>
          </w:p>
        </w:tc>
      </w:tr>
    </w:tbl>
    <w:p w:rsidR="00C23B13" w:rsidRDefault="00C23B13" w:rsidP="00304372">
      <w:pPr>
        <w:rPr>
          <w:rFonts w:ascii="Times New Roman" w:hAnsi="Times New Roman" w:cs="Times New Roman"/>
        </w:rPr>
      </w:pPr>
    </w:p>
    <w:p w:rsidR="008358F7" w:rsidRDefault="00C23B13" w:rsidP="008358F7">
      <w:pPr>
        <w:rPr>
          <w:rFonts w:ascii="Times New Roman" w:hAnsi="Times New Roman" w:cs="Times New Roman"/>
        </w:rPr>
      </w:pPr>
      <w:r>
        <w:rPr>
          <w:rFonts w:ascii="Times New Roman" w:hAnsi="Times New Roman" w:cs="Times New Roman"/>
        </w:rPr>
        <w:t xml:space="preserve">12. </w:t>
      </w:r>
      <w:r w:rsidR="008358F7">
        <w:rPr>
          <w:rFonts w:ascii="Times New Roman" w:hAnsi="Times New Roman" w:cs="Times New Roman"/>
        </w:rPr>
        <w:t>The overall effect of interaction term tested in the cumulative logistic model with the length of hospital stay and treatments, status, the interaction term of treatments and status with all demographic characteristics as covariates (multivariate model).</w:t>
      </w:r>
    </w:p>
    <w:tbl>
      <w:tblPr>
        <w:tblStyle w:val="TableGrid"/>
        <w:tblW w:w="0" w:type="auto"/>
        <w:jc w:val="center"/>
        <w:tblLook w:val="04A0" w:firstRow="1" w:lastRow="0" w:firstColumn="1" w:lastColumn="0" w:noHBand="0" w:noVBand="1"/>
        <w:tblDescription w:val="Procedure Logistic: Joint Tests"/>
      </w:tblPr>
      <w:tblGrid>
        <w:gridCol w:w="1716"/>
        <w:gridCol w:w="472"/>
        <w:gridCol w:w="1127"/>
        <w:gridCol w:w="1107"/>
      </w:tblGrid>
      <w:tr w:rsidR="008358F7" w:rsidRPr="008358F7" w:rsidTr="008358F7">
        <w:trPr>
          <w:jc w:val="center"/>
        </w:trPr>
        <w:tc>
          <w:tcPr>
            <w:tcW w:w="0" w:type="auto"/>
            <w:gridSpan w:val="4"/>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Joint Tests</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Effect</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DF</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Wald</w:t>
            </w:r>
            <w:r w:rsidRPr="008358F7">
              <w:rPr>
                <w:rFonts w:ascii="Times New Roman" w:hAnsi="Times New Roman" w:cs="Times New Roman"/>
                <w:sz w:val="20"/>
              </w:rPr>
              <w:br/>
              <w:t>Chi-Square</w:t>
            </w:r>
          </w:p>
        </w:tc>
        <w:tc>
          <w:tcPr>
            <w:tcW w:w="0" w:type="auto"/>
            <w:hideMark/>
          </w:tcPr>
          <w:p w:rsidR="008358F7" w:rsidRPr="008358F7" w:rsidRDefault="008358F7" w:rsidP="008358F7">
            <w:pPr>
              <w:pStyle w:val="NoSpacing"/>
              <w:rPr>
                <w:rFonts w:ascii="Times New Roman" w:hAnsi="Times New Roman" w:cs="Times New Roman"/>
                <w:sz w:val="20"/>
              </w:rPr>
            </w:pPr>
            <w:proofErr w:type="spellStart"/>
            <w:r w:rsidRPr="008358F7">
              <w:rPr>
                <w:rFonts w:ascii="Times New Roman" w:hAnsi="Times New Roman" w:cs="Times New Roman"/>
                <w:sz w:val="20"/>
              </w:rPr>
              <w:t>Pr</w:t>
            </w:r>
            <w:proofErr w:type="spellEnd"/>
            <w:r w:rsidRPr="008358F7">
              <w:rPr>
                <w:rFonts w:ascii="Times New Roman" w:hAnsi="Times New Roman" w:cs="Times New Roman"/>
                <w:sz w:val="20"/>
              </w:rPr>
              <w:t> &gt; </w:t>
            </w:r>
            <w:proofErr w:type="spellStart"/>
            <w:r w:rsidRPr="008358F7">
              <w:rPr>
                <w:rFonts w:ascii="Times New Roman" w:hAnsi="Times New Roman" w:cs="Times New Roman"/>
                <w:sz w:val="20"/>
              </w:rPr>
              <w:t>ChiSq</w:t>
            </w:r>
            <w:proofErr w:type="spellEnd"/>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STATUS*TREAT</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3</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6.8778</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0.0759</w:t>
            </w:r>
          </w:p>
        </w:tc>
      </w:tr>
    </w:tbl>
    <w:p w:rsidR="00C23B13" w:rsidRDefault="00C23B13" w:rsidP="00304372">
      <w:pPr>
        <w:rPr>
          <w:rFonts w:ascii="Times New Roman" w:hAnsi="Times New Roman" w:cs="Times New Roman"/>
        </w:rPr>
      </w:pPr>
    </w:p>
    <w:p w:rsidR="00FD592D" w:rsidRDefault="008358F7" w:rsidP="00FD592D">
      <w:pPr>
        <w:rPr>
          <w:rFonts w:ascii="Times New Roman" w:hAnsi="Times New Roman" w:cs="Times New Roman"/>
        </w:rPr>
      </w:pPr>
      <w:r>
        <w:rPr>
          <w:rFonts w:ascii="Times New Roman" w:hAnsi="Times New Roman" w:cs="Times New Roman"/>
        </w:rPr>
        <w:t xml:space="preserve">13. </w:t>
      </w:r>
      <w:r w:rsidR="00FD592D">
        <w:rPr>
          <w:rFonts w:ascii="Times New Roman" w:hAnsi="Times New Roman" w:cs="Times New Roman"/>
        </w:rPr>
        <w:t>The relative probabilities of hospital stay with 95% confidence interval based on different disease status in the cumulative logistic model with the length of hospital stay and treatments, status, and status with all demographic characteristics as covariates (multivariate model for treatment).</w:t>
      </w:r>
    </w:p>
    <w:tbl>
      <w:tblPr>
        <w:tblStyle w:val="TableGrid"/>
        <w:tblW w:w="0" w:type="auto"/>
        <w:jc w:val="center"/>
        <w:tblLook w:val="04A0" w:firstRow="1" w:lastRow="0" w:firstColumn="1" w:lastColumn="0" w:noHBand="0" w:noVBand="1"/>
        <w:tblDescription w:val="Procedure Logistic: Odds Ratios CL=Wald"/>
      </w:tblPr>
      <w:tblGrid>
        <w:gridCol w:w="1478"/>
        <w:gridCol w:w="923"/>
        <w:gridCol w:w="1064"/>
        <w:gridCol w:w="1064"/>
      </w:tblGrid>
      <w:tr w:rsidR="00FD592D" w:rsidRPr="00FD592D" w:rsidTr="00FD592D">
        <w:trPr>
          <w:jc w:val="center"/>
        </w:trPr>
        <w:tc>
          <w:tcPr>
            <w:tcW w:w="0" w:type="auto"/>
            <w:gridSpan w:val="4"/>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Odds Ratio Estimates and Wald Confidence</w:t>
            </w:r>
            <w:r w:rsidRPr="00FD592D">
              <w:rPr>
                <w:rFonts w:ascii="Times New Roman" w:hAnsi="Times New Roman" w:cs="Times New Roman"/>
                <w:sz w:val="20"/>
                <w:szCs w:val="20"/>
              </w:rPr>
              <w:br/>
              <w:t>Intervals</w:t>
            </w:r>
          </w:p>
        </w:tc>
      </w:tr>
      <w:tr w:rsidR="00FD592D" w:rsidRPr="00FD592D" w:rsidTr="00FD592D">
        <w:trPr>
          <w:jc w:val="center"/>
        </w:trPr>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Odds Ratio</w:t>
            </w:r>
          </w:p>
        </w:tc>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Estimate</w:t>
            </w:r>
          </w:p>
        </w:tc>
        <w:tc>
          <w:tcPr>
            <w:tcW w:w="0" w:type="auto"/>
            <w:gridSpan w:val="2"/>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95% Confidence Limits</w:t>
            </w:r>
          </w:p>
        </w:tc>
      </w:tr>
      <w:tr w:rsidR="00FD592D" w:rsidRPr="00FD592D" w:rsidTr="00FD592D">
        <w:trPr>
          <w:jc w:val="center"/>
        </w:trPr>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TREAT A vs B</w:t>
            </w:r>
          </w:p>
        </w:tc>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1.584</w:t>
            </w:r>
          </w:p>
        </w:tc>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1.033</w:t>
            </w:r>
          </w:p>
        </w:tc>
        <w:tc>
          <w:tcPr>
            <w:tcW w:w="0" w:type="auto"/>
            <w:hideMark/>
          </w:tcPr>
          <w:p w:rsidR="00FD592D" w:rsidRPr="00FD592D" w:rsidRDefault="00FD592D" w:rsidP="00FD592D">
            <w:pPr>
              <w:pStyle w:val="NoSpacing"/>
              <w:rPr>
                <w:rFonts w:ascii="Times New Roman" w:hAnsi="Times New Roman" w:cs="Times New Roman"/>
                <w:sz w:val="20"/>
                <w:szCs w:val="20"/>
              </w:rPr>
            </w:pPr>
            <w:r w:rsidRPr="00FD592D">
              <w:rPr>
                <w:rFonts w:ascii="Times New Roman" w:hAnsi="Times New Roman" w:cs="Times New Roman"/>
                <w:sz w:val="20"/>
                <w:szCs w:val="20"/>
              </w:rPr>
              <w:t>2.428</w:t>
            </w:r>
          </w:p>
        </w:tc>
      </w:tr>
    </w:tbl>
    <w:p w:rsidR="00FD592D" w:rsidRDefault="00FD592D" w:rsidP="008358F7">
      <w:pPr>
        <w:rPr>
          <w:rFonts w:ascii="Times New Roman" w:hAnsi="Times New Roman" w:cs="Times New Roman"/>
        </w:rPr>
      </w:pPr>
    </w:p>
    <w:p w:rsidR="008358F7" w:rsidRDefault="00FD592D" w:rsidP="008358F7">
      <w:pPr>
        <w:rPr>
          <w:rFonts w:ascii="Times New Roman" w:hAnsi="Times New Roman" w:cs="Times New Roman"/>
        </w:rPr>
      </w:pPr>
      <w:r>
        <w:rPr>
          <w:rFonts w:ascii="Times New Roman" w:hAnsi="Times New Roman" w:cs="Times New Roman"/>
        </w:rPr>
        <w:t xml:space="preserve">14. </w:t>
      </w:r>
      <w:r w:rsidR="008358F7">
        <w:rPr>
          <w:rFonts w:ascii="Times New Roman" w:hAnsi="Times New Roman" w:cs="Times New Roman"/>
        </w:rPr>
        <w:t>The relative probabilities of hospital stay with 95% confidence interval based on different disease status in the cumulative logistic model with the length of hospital stay and treatments, status, the interaction term of treatments and status with all demographic characteristics as covariates (multivariate model).</w:t>
      </w:r>
    </w:p>
    <w:tbl>
      <w:tblPr>
        <w:tblStyle w:val="TableGrid"/>
        <w:tblW w:w="0" w:type="auto"/>
        <w:jc w:val="center"/>
        <w:tblLook w:val="04A0" w:firstRow="1" w:lastRow="0" w:firstColumn="1" w:lastColumn="0" w:noHBand="0" w:noVBand="1"/>
        <w:tblDescription w:val="Procedure Logistic: Odds Ratios CL=Wald"/>
      </w:tblPr>
      <w:tblGrid>
        <w:gridCol w:w="3495"/>
        <w:gridCol w:w="916"/>
        <w:gridCol w:w="989"/>
        <w:gridCol w:w="1138"/>
      </w:tblGrid>
      <w:tr w:rsidR="008358F7" w:rsidRPr="008358F7" w:rsidTr="008358F7">
        <w:trPr>
          <w:jc w:val="center"/>
        </w:trPr>
        <w:tc>
          <w:tcPr>
            <w:tcW w:w="0" w:type="auto"/>
            <w:gridSpan w:val="4"/>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Odds Ratio Estimates and Wald Confidence Intervals</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Odds Ratio</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Estimate</w:t>
            </w:r>
          </w:p>
        </w:tc>
        <w:tc>
          <w:tcPr>
            <w:tcW w:w="0" w:type="auto"/>
            <w:gridSpan w:val="2"/>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95% Confidence Limits</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TREAT A vs B at STATUS=mild</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2.536</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1.242</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5.177</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TREAT A vs B at STATUS=moderate</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0.883</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0.452</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1.727</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TREAT A vs B at STATUS=severe</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7.804</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1.002</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60.774</w:t>
            </w:r>
          </w:p>
        </w:tc>
      </w:tr>
      <w:tr w:rsidR="008358F7" w:rsidRPr="008358F7" w:rsidTr="008358F7">
        <w:trPr>
          <w:jc w:val="center"/>
        </w:trPr>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TREAT A vs B at STATUS=very severe</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1.387</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0.512</w:t>
            </w:r>
          </w:p>
        </w:tc>
        <w:tc>
          <w:tcPr>
            <w:tcW w:w="0" w:type="auto"/>
            <w:hideMark/>
          </w:tcPr>
          <w:p w:rsidR="008358F7" w:rsidRPr="008358F7" w:rsidRDefault="008358F7" w:rsidP="008358F7">
            <w:pPr>
              <w:pStyle w:val="NoSpacing"/>
              <w:rPr>
                <w:rFonts w:ascii="Times New Roman" w:hAnsi="Times New Roman" w:cs="Times New Roman"/>
                <w:sz w:val="20"/>
              </w:rPr>
            </w:pPr>
            <w:r w:rsidRPr="008358F7">
              <w:rPr>
                <w:rFonts w:ascii="Times New Roman" w:hAnsi="Times New Roman" w:cs="Times New Roman"/>
                <w:sz w:val="20"/>
              </w:rPr>
              <w:t>3.755</w:t>
            </w:r>
          </w:p>
        </w:tc>
      </w:tr>
    </w:tbl>
    <w:p w:rsidR="008358F7" w:rsidRPr="002345FF" w:rsidRDefault="008358F7" w:rsidP="00304372">
      <w:pPr>
        <w:rPr>
          <w:rFonts w:ascii="Times New Roman" w:hAnsi="Times New Roman" w:cs="Times New Roman"/>
        </w:rPr>
      </w:pPr>
    </w:p>
    <w:sectPr w:rsidR="008358F7" w:rsidRPr="00234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Meiryo"/>
    <w:panose1 w:val="02010600030101010101"/>
    <w:charset w:val="88"/>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8"/>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E9"/>
    <w:rsid w:val="00050100"/>
    <w:rsid w:val="000C0D55"/>
    <w:rsid w:val="000F19EF"/>
    <w:rsid w:val="00113BF9"/>
    <w:rsid w:val="00147503"/>
    <w:rsid w:val="002345FF"/>
    <w:rsid w:val="002643BC"/>
    <w:rsid w:val="002F623B"/>
    <w:rsid w:val="00304372"/>
    <w:rsid w:val="0035289A"/>
    <w:rsid w:val="00377D21"/>
    <w:rsid w:val="003B0C1A"/>
    <w:rsid w:val="003C0B74"/>
    <w:rsid w:val="003F00CB"/>
    <w:rsid w:val="00416D69"/>
    <w:rsid w:val="00453843"/>
    <w:rsid w:val="004C26C8"/>
    <w:rsid w:val="0050077E"/>
    <w:rsid w:val="005336D9"/>
    <w:rsid w:val="0053774D"/>
    <w:rsid w:val="005729EC"/>
    <w:rsid w:val="005F4FB0"/>
    <w:rsid w:val="00607B81"/>
    <w:rsid w:val="00666FD1"/>
    <w:rsid w:val="006B63AA"/>
    <w:rsid w:val="006B74FA"/>
    <w:rsid w:val="006C7A15"/>
    <w:rsid w:val="006D2EE9"/>
    <w:rsid w:val="0070345E"/>
    <w:rsid w:val="0071308C"/>
    <w:rsid w:val="00722151"/>
    <w:rsid w:val="007766D1"/>
    <w:rsid w:val="007C1345"/>
    <w:rsid w:val="008075D0"/>
    <w:rsid w:val="00823A32"/>
    <w:rsid w:val="008358F7"/>
    <w:rsid w:val="0089690E"/>
    <w:rsid w:val="008B3F9D"/>
    <w:rsid w:val="008B5DD4"/>
    <w:rsid w:val="008E63F1"/>
    <w:rsid w:val="008E7F65"/>
    <w:rsid w:val="008F568C"/>
    <w:rsid w:val="00916BE1"/>
    <w:rsid w:val="009254BF"/>
    <w:rsid w:val="0096057A"/>
    <w:rsid w:val="00965195"/>
    <w:rsid w:val="00986EE3"/>
    <w:rsid w:val="0099045E"/>
    <w:rsid w:val="009A58B6"/>
    <w:rsid w:val="009B6CC1"/>
    <w:rsid w:val="009B7503"/>
    <w:rsid w:val="009C14A9"/>
    <w:rsid w:val="009D3A51"/>
    <w:rsid w:val="009E5F95"/>
    <w:rsid w:val="00A3695A"/>
    <w:rsid w:val="00A45312"/>
    <w:rsid w:val="00A95FD9"/>
    <w:rsid w:val="00AA2D13"/>
    <w:rsid w:val="00AD6202"/>
    <w:rsid w:val="00AE2ABA"/>
    <w:rsid w:val="00AF5FEE"/>
    <w:rsid w:val="00AF61DE"/>
    <w:rsid w:val="00AF72DA"/>
    <w:rsid w:val="00B12742"/>
    <w:rsid w:val="00B54BF6"/>
    <w:rsid w:val="00B8426E"/>
    <w:rsid w:val="00BC7AD2"/>
    <w:rsid w:val="00BD2AEF"/>
    <w:rsid w:val="00C23B13"/>
    <w:rsid w:val="00C25203"/>
    <w:rsid w:val="00C27F7E"/>
    <w:rsid w:val="00C33B05"/>
    <w:rsid w:val="00C630AB"/>
    <w:rsid w:val="00C7055C"/>
    <w:rsid w:val="00C750F2"/>
    <w:rsid w:val="00C75732"/>
    <w:rsid w:val="00C85E0A"/>
    <w:rsid w:val="00C96424"/>
    <w:rsid w:val="00CA2C7B"/>
    <w:rsid w:val="00CC4882"/>
    <w:rsid w:val="00D11117"/>
    <w:rsid w:val="00D2186E"/>
    <w:rsid w:val="00D269D9"/>
    <w:rsid w:val="00D32482"/>
    <w:rsid w:val="00D32916"/>
    <w:rsid w:val="00D431C5"/>
    <w:rsid w:val="00D524BB"/>
    <w:rsid w:val="00D535C9"/>
    <w:rsid w:val="00D56734"/>
    <w:rsid w:val="00E73812"/>
    <w:rsid w:val="00F31297"/>
    <w:rsid w:val="00FA0C9E"/>
    <w:rsid w:val="00FA3CF2"/>
    <w:rsid w:val="00FD5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E22E6-B9E1-4F12-A05B-CF38CBD1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2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2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2EE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C0B74"/>
    <w:pPr>
      <w:spacing w:after="0" w:line="240" w:lineRule="auto"/>
    </w:pPr>
  </w:style>
  <w:style w:type="table" w:styleId="TableGrid">
    <w:name w:val="Table Grid"/>
    <w:basedOn w:val="TableNormal"/>
    <w:uiPriority w:val="39"/>
    <w:rsid w:val="00234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29605">
      <w:bodyDiv w:val="1"/>
      <w:marLeft w:val="120"/>
      <w:marRight w:val="120"/>
      <w:marTop w:val="0"/>
      <w:marBottom w:val="0"/>
      <w:divBdr>
        <w:top w:val="none" w:sz="0" w:space="0" w:color="auto"/>
        <w:left w:val="none" w:sz="0" w:space="0" w:color="auto"/>
        <w:bottom w:val="none" w:sz="0" w:space="0" w:color="auto"/>
        <w:right w:val="none" w:sz="0" w:space="0" w:color="auto"/>
      </w:divBdr>
      <w:divsChild>
        <w:div w:id="608197068">
          <w:marLeft w:val="0"/>
          <w:marRight w:val="0"/>
          <w:marTop w:val="0"/>
          <w:marBottom w:val="0"/>
          <w:divBdr>
            <w:top w:val="none" w:sz="0" w:space="0" w:color="auto"/>
            <w:left w:val="none" w:sz="0" w:space="0" w:color="auto"/>
            <w:bottom w:val="none" w:sz="0" w:space="0" w:color="auto"/>
            <w:right w:val="none" w:sz="0" w:space="0" w:color="auto"/>
          </w:divBdr>
          <w:divsChild>
            <w:div w:id="163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3552">
      <w:bodyDiv w:val="1"/>
      <w:marLeft w:val="0"/>
      <w:marRight w:val="0"/>
      <w:marTop w:val="0"/>
      <w:marBottom w:val="0"/>
      <w:divBdr>
        <w:top w:val="none" w:sz="0" w:space="0" w:color="auto"/>
        <w:left w:val="none" w:sz="0" w:space="0" w:color="auto"/>
        <w:bottom w:val="none" w:sz="0" w:space="0" w:color="auto"/>
        <w:right w:val="none" w:sz="0" w:space="0" w:color="auto"/>
      </w:divBdr>
    </w:div>
    <w:div w:id="373235123">
      <w:bodyDiv w:val="1"/>
      <w:marLeft w:val="120"/>
      <w:marRight w:val="120"/>
      <w:marTop w:val="0"/>
      <w:marBottom w:val="0"/>
      <w:divBdr>
        <w:top w:val="none" w:sz="0" w:space="0" w:color="auto"/>
        <w:left w:val="none" w:sz="0" w:space="0" w:color="auto"/>
        <w:bottom w:val="none" w:sz="0" w:space="0" w:color="auto"/>
        <w:right w:val="none" w:sz="0" w:space="0" w:color="auto"/>
      </w:divBdr>
      <w:divsChild>
        <w:div w:id="1171488657">
          <w:marLeft w:val="0"/>
          <w:marRight w:val="0"/>
          <w:marTop w:val="0"/>
          <w:marBottom w:val="0"/>
          <w:divBdr>
            <w:top w:val="none" w:sz="0" w:space="0" w:color="auto"/>
            <w:left w:val="none" w:sz="0" w:space="0" w:color="auto"/>
            <w:bottom w:val="none" w:sz="0" w:space="0" w:color="auto"/>
            <w:right w:val="none" w:sz="0" w:space="0" w:color="auto"/>
          </w:divBdr>
          <w:divsChild>
            <w:div w:id="1898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10">
      <w:bodyDiv w:val="1"/>
      <w:marLeft w:val="120"/>
      <w:marRight w:val="120"/>
      <w:marTop w:val="0"/>
      <w:marBottom w:val="0"/>
      <w:divBdr>
        <w:top w:val="none" w:sz="0" w:space="0" w:color="auto"/>
        <w:left w:val="none" w:sz="0" w:space="0" w:color="auto"/>
        <w:bottom w:val="none" w:sz="0" w:space="0" w:color="auto"/>
        <w:right w:val="none" w:sz="0" w:space="0" w:color="auto"/>
      </w:divBdr>
      <w:divsChild>
        <w:div w:id="1524704749">
          <w:marLeft w:val="0"/>
          <w:marRight w:val="0"/>
          <w:marTop w:val="0"/>
          <w:marBottom w:val="0"/>
          <w:divBdr>
            <w:top w:val="none" w:sz="0" w:space="0" w:color="auto"/>
            <w:left w:val="none" w:sz="0" w:space="0" w:color="auto"/>
            <w:bottom w:val="none" w:sz="0" w:space="0" w:color="auto"/>
            <w:right w:val="none" w:sz="0" w:space="0" w:color="auto"/>
          </w:divBdr>
          <w:divsChild>
            <w:div w:id="5002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1040">
      <w:bodyDiv w:val="1"/>
      <w:marLeft w:val="0"/>
      <w:marRight w:val="0"/>
      <w:marTop w:val="0"/>
      <w:marBottom w:val="0"/>
      <w:divBdr>
        <w:top w:val="none" w:sz="0" w:space="0" w:color="auto"/>
        <w:left w:val="none" w:sz="0" w:space="0" w:color="auto"/>
        <w:bottom w:val="none" w:sz="0" w:space="0" w:color="auto"/>
        <w:right w:val="none" w:sz="0" w:space="0" w:color="auto"/>
      </w:divBdr>
    </w:div>
    <w:div w:id="552888510">
      <w:bodyDiv w:val="1"/>
      <w:marLeft w:val="120"/>
      <w:marRight w:val="120"/>
      <w:marTop w:val="0"/>
      <w:marBottom w:val="0"/>
      <w:divBdr>
        <w:top w:val="none" w:sz="0" w:space="0" w:color="auto"/>
        <w:left w:val="none" w:sz="0" w:space="0" w:color="auto"/>
        <w:bottom w:val="none" w:sz="0" w:space="0" w:color="auto"/>
        <w:right w:val="none" w:sz="0" w:space="0" w:color="auto"/>
      </w:divBdr>
      <w:divsChild>
        <w:div w:id="1949040734">
          <w:marLeft w:val="0"/>
          <w:marRight w:val="0"/>
          <w:marTop w:val="0"/>
          <w:marBottom w:val="0"/>
          <w:divBdr>
            <w:top w:val="none" w:sz="0" w:space="0" w:color="auto"/>
            <w:left w:val="none" w:sz="0" w:space="0" w:color="auto"/>
            <w:bottom w:val="none" w:sz="0" w:space="0" w:color="auto"/>
            <w:right w:val="none" w:sz="0" w:space="0" w:color="auto"/>
          </w:divBdr>
          <w:divsChild>
            <w:div w:id="4037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6248">
      <w:bodyDiv w:val="1"/>
      <w:marLeft w:val="120"/>
      <w:marRight w:val="120"/>
      <w:marTop w:val="0"/>
      <w:marBottom w:val="0"/>
      <w:divBdr>
        <w:top w:val="none" w:sz="0" w:space="0" w:color="auto"/>
        <w:left w:val="none" w:sz="0" w:space="0" w:color="auto"/>
        <w:bottom w:val="none" w:sz="0" w:space="0" w:color="auto"/>
        <w:right w:val="none" w:sz="0" w:space="0" w:color="auto"/>
      </w:divBdr>
      <w:divsChild>
        <w:div w:id="1738504858">
          <w:marLeft w:val="0"/>
          <w:marRight w:val="0"/>
          <w:marTop w:val="0"/>
          <w:marBottom w:val="0"/>
          <w:divBdr>
            <w:top w:val="none" w:sz="0" w:space="0" w:color="auto"/>
            <w:left w:val="none" w:sz="0" w:space="0" w:color="auto"/>
            <w:bottom w:val="none" w:sz="0" w:space="0" w:color="auto"/>
            <w:right w:val="none" w:sz="0" w:space="0" w:color="auto"/>
          </w:divBdr>
          <w:divsChild>
            <w:div w:id="212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006">
      <w:bodyDiv w:val="1"/>
      <w:marLeft w:val="120"/>
      <w:marRight w:val="120"/>
      <w:marTop w:val="0"/>
      <w:marBottom w:val="0"/>
      <w:divBdr>
        <w:top w:val="none" w:sz="0" w:space="0" w:color="auto"/>
        <w:left w:val="none" w:sz="0" w:space="0" w:color="auto"/>
        <w:bottom w:val="none" w:sz="0" w:space="0" w:color="auto"/>
        <w:right w:val="none" w:sz="0" w:space="0" w:color="auto"/>
      </w:divBdr>
      <w:divsChild>
        <w:div w:id="733970001">
          <w:marLeft w:val="0"/>
          <w:marRight w:val="0"/>
          <w:marTop w:val="0"/>
          <w:marBottom w:val="0"/>
          <w:divBdr>
            <w:top w:val="none" w:sz="0" w:space="0" w:color="auto"/>
            <w:left w:val="none" w:sz="0" w:space="0" w:color="auto"/>
            <w:bottom w:val="none" w:sz="0" w:space="0" w:color="auto"/>
            <w:right w:val="none" w:sz="0" w:space="0" w:color="auto"/>
          </w:divBdr>
          <w:divsChild>
            <w:div w:id="1193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410">
      <w:bodyDiv w:val="1"/>
      <w:marLeft w:val="0"/>
      <w:marRight w:val="0"/>
      <w:marTop w:val="0"/>
      <w:marBottom w:val="0"/>
      <w:divBdr>
        <w:top w:val="none" w:sz="0" w:space="0" w:color="auto"/>
        <w:left w:val="none" w:sz="0" w:space="0" w:color="auto"/>
        <w:bottom w:val="none" w:sz="0" w:space="0" w:color="auto"/>
        <w:right w:val="none" w:sz="0" w:space="0" w:color="auto"/>
      </w:divBdr>
    </w:div>
    <w:div w:id="855727208">
      <w:bodyDiv w:val="1"/>
      <w:marLeft w:val="0"/>
      <w:marRight w:val="0"/>
      <w:marTop w:val="0"/>
      <w:marBottom w:val="0"/>
      <w:divBdr>
        <w:top w:val="none" w:sz="0" w:space="0" w:color="auto"/>
        <w:left w:val="none" w:sz="0" w:space="0" w:color="auto"/>
        <w:bottom w:val="none" w:sz="0" w:space="0" w:color="auto"/>
        <w:right w:val="none" w:sz="0" w:space="0" w:color="auto"/>
      </w:divBdr>
    </w:div>
    <w:div w:id="863518952">
      <w:bodyDiv w:val="1"/>
      <w:marLeft w:val="120"/>
      <w:marRight w:val="120"/>
      <w:marTop w:val="0"/>
      <w:marBottom w:val="0"/>
      <w:divBdr>
        <w:top w:val="none" w:sz="0" w:space="0" w:color="auto"/>
        <w:left w:val="none" w:sz="0" w:space="0" w:color="auto"/>
        <w:bottom w:val="none" w:sz="0" w:space="0" w:color="auto"/>
        <w:right w:val="none" w:sz="0" w:space="0" w:color="auto"/>
      </w:divBdr>
      <w:divsChild>
        <w:div w:id="1440107096">
          <w:marLeft w:val="0"/>
          <w:marRight w:val="0"/>
          <w:marTop w:val="0"/>
          <w:marBottom w:val="0"/>
          <w:divBdr>
            <w:top w:val="none" w:sz="0" w:space="0" w:color="auto"/>
            <w:left w:val="none" w:sz="0" w:space="0" w:color="auto"/>
            <w:bottom w:val="none" w:sz="0" w:space="0" w:color="auto"/>
            <w:right w:val="none" w:sz="0" w:space="0" w:color="auto"/>
          </w:divBdr>
          <w:divsChild>
            <w:div w:id="9354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551">
      <w:bodyDiv w:val="1"/>
      <w:marLeft w:val="0"/>
      <w:marRight w:val="0"/>
      <w:marTop w:val="0"/>
      <w:marBottom w:val="0"/>
      <w:divBdr>
        <w:top w:val="none" w:sz="0" w:space="0" w:color="auto"/>
        <w:left w:val="none" w:sz="0" w:space="0" w:color="auto"/>
        <w:bottom w:val="none" w:sz="0" w:space="0" w:color="auto"/>
        <w:right w:val="none" w:sz="0" w:space="0" w:color="auto"/>
      </w:divBdr>
    </w:div>
    <w:div w:id="921184402">
      <w:bodyDiv w:val="1"/>
      <w:marLeft w:val="0"/>
      <w:marRight w:val="0"/>
      <w:marTop w:val="0"/>
      <w:marBottom w:val="0"/>
      <w:divBdr>
        <w:top w:val="none" w:sz="0" w:space="0" w:color="auto"/>
        <w:left w:val="none" w:sz="0" w:space="0" w:color="auto"/>
        <w:bottom w:val="none" w:sz="0" w:space="0" w:color="auto"/>
        <w:right w:val="none" w:sz="0" w:space="0" w:color="auto"/>
      </w:divBdr>
    </w:div>
    <w:div w:id="1053625458">
      <w:bodyDiv w:val="1"/>
      <w:marLeft w:val="0"/>
      <w:marRight w:val="0"/>
      <w:marTop w:val="0"/>
      <w:marBottom w:val="0"/>
      <w:divBdr>
        <w:top w:val="none" w:sz="0" w:space="0" w:color="auto"/>
        <w:left w:val="none" w:sz="0" w:space="0" w:color="auto"/>
        <w:bottom w:val="none" w:sz="0" w:space="0" w:color="auto"/>
        <w:right w:val="none" w:sz="0" w:space="0" w:color="auto"/>
      </w:divBdr>
    </w:div>
    <w:div w:id="1077822963">
      <w:bodyDiv w:val="1"/>
      <w:marLeft w:val="120"/>
      <w:marRight w:val="120"/>
      <w:marTop w:val="0"/>
      <w:marBottom w:val="0"/>
      <w:divBdr>
        <w:top w:val="none" w:sz="0" w:space="0" w:color="auto"/>
        <w:left w:val="none" w:sz="0" w:space="0" w:color="auto"/>
        <w:bottom w:val="none" w:sz="0" w:space="0" w:color="auto"/>
        <w:right w:val="none" w:sz="0" w:space="0" w:color="auto"/>
      </w:divBdr>
      <w:divsChild>
        <w:div w:id="1605991301">
          <w:marLeft w:val="0"/>
          <w:marRight w:val="0"/>
          <w:marTop w:val="0"/>
          <w:marBottom w:val="0"/>
          <w:divBdr>
            <w:top w:val="none" w:sz="0" w:space="0" w:color="auto"/>
            <w:left w:val="none" w:sz="0" w:space="0" w:color="auto"/>
            <w:bottom w:val="none" w:sz="0" w:space="0" w:color="auto"/>
            <w:right w:val="none" w:sz="0" w:space="0" w:color="auto"/>
          </w:divBdr>
          <w:divsChild>
            <w:div w:id="17555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6910">
      <w:bodyDiv w:val="1"/>
      <w:marLeft w:val="120"/>
      <w:marRight w:val="120"/>
      <w:marTop w:val="0"/>
      <w:marBottom w:val="0"/>
      <w:divBdr>
        <w:top w:val="none" w:sz="0" w:space="0" w:color="auto"/>
        <w:left w:val="none" w:sz="0" w:space="0" w:color="auto"/>
        <w:bottom w:val="none" w:sz="0" w:space="0" w:color="auto"/>
        <w:right w:val="none" w:sz="0" w:space="0" w:color="auto"/>
      </w:divBdr>
      <w:divsChild>
        <w:div w:id="1538547583">
          <w:marLeft w:val="0"/>
          <w:marRight w:val="0"/>
          <w:marTop w:val="0"/>
          <w:marBottom w:val="0"/>
          <w:divBdr>
            <w:top w:val="none" w:sz="0" w:space="0" w:color="auto"/>
            <w:left w:val="none" w:sz="0" w:space="0" w:color="auto"/>
            <w:bottom w:val="none" w:sz="0" w:space="0" w:color="auto"/>
            <w:right w:val="none" w:sz="0" w:space="0" w:color="auto"/>
          </w:divBdr>
          <w:divsChild>
            <w:div w:id="8561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7232">
      <w:bodyDiv w:val="1"/>
      <w:marLeft w:val="0"/>
      <w:marRight w:val="0"/>
      <w:marTop w:val="0"/>
      <w:marBottom w:val="0"/>
      <w:divBdr>
        <w:top w:val="none" w:sz="0" w:space="0" w:color="auto"/>
        <w:left w:val="none" w:sz="0" w:space="0" w:color="auto"/>
        <w:bottom w:val="none" w:sz="0" w:space="0" w:color="auto"/>
        <w:right w:val="none" w:sz="0" w:space="0" w:color="auto"/>
      </w:divBdr>
    </w:div>
    <w:div w:id="1214661477">
      <w:bodyDiv w:val="1"/>
      <w:marLeft w:val="120"/>
      <w:marRight w:val="120"/>
      <w:marTop w:val="0"/>
      <w:marBottom w:val="0"/>
      <w:divBdr>
        <w:top w:val="none" w:sz="0" w:space="0" w:color="auto"/>
        <w:left w:val="none" w:sz="0" w:space="0" w:color="auto"/>
        <w:bottom w:val="none" w:sz="0" w:space="0" w:color="auto"/>
        <w:right w:val="none" w:sz="0" w:space="0" w:color="auto"/>
      </w:divBdr>
      <w:divsChild>
        <w:div w:id="671183758">
          <w:marLeft w:val="0"/>
          <w:marRight w:val="0"/>
          <w:marTop w:val="0"/>
          <w:marBottom w:val="0"/>
          <w:divBdr>
            <w:top w:val="none" w:sz="0" w:space="0" w:color="auto"/>
            <w:left w:val="none" w:sz="0" w:space="0" w:color="auto"/>
            <w:bottom w:val="none" w:sz="0" w:space="0" w:color="auto"/>
            <w:right w:val="none" w:sz="0" w:space="0" w:color="auto"/>
          </w:divBdr>
          <w:divsChild>
            <w:div w:id="201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2397">
      <w:bodyDiv w:val="1"/>
      <w:marLeft w:val="120"/>
      <w:marRight w:val="120"/>
      <w:marTop w:val="0"/>
      <w:marBottom w:val="0"/>
      <w:divBdr>
        <w:top w:val="none" w:sz="0" w:space="0" w:color="auto"/>
        <w:left w:val="none" w:sz="0" w:space="0" w:color="auto"/>
        <w:bottom w:val="none" w:sz="0" w:space="0" w:color="auto"/>
        <w:right w:val="none" w:sz="0" w:space="0" w:color="auto"/>
      </w:divBdr>
      <w:divsChild>
        <w:div w:id="1611358961">
          <w:marLeft w:val="0"/>
          <w:marRight w:val="0"/>
          <w:marTop w:val="0"/>
          <w:marBottom w:val="0"/>
          <w:divBdr>
            <w:top w:val="none" w:sz="0" w:space="0" w:color="auto"/>
            <w:left w:val="none" w:sz="0" w:space="0" w:color="auto"/>
            <w:bottom w:val="none" w:sz="0" w:space="0" w:color="auto"/>
            <w:right w:val="none" w:sz="0" w:space="0" w:color="auto"/>
          </w:divBdr>
          <w:divsChild>
            <w:div w:id="4608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0641">
      <w:bodyDiv w:val="1"/>
      <w:marLeft w:val="120"/>
      <w:marRight w:val="120"/>
      <w:marTop w:val="0"/>
      <w:marBottom w:val="0"/>
      <w:divBdr>
        <w:top w:val="none" w:sz="0" w:space="0" w:color="auto"/>
        <w:left w:val="none" w:sz="0" w:space="0" w:color="auto"/>
        <w:bottom w:val="none" w:sz="0" w:space="0" w:color="auto"/>
        <w:right w:val="none" w:sz="0" w:space="0" w:color="auto"/>
      </w:divBdr>
      <w:divsChild>
        <w:div w:id="385253304">
          <w:marLeft w:val="0"/>
          <w:marRight w:val="0"/>
          <w:marTop w:val="0"/>
          <w:marBottom w:val="0"/>
          <w:divBdr>
            <w:top w:val="none" w:sz="0" w:space="0" w:color="auto"/>
            <w:left w:val="none" w:sz="0" w:space="0" w:color="auto"/>
            <w:bottom w:val="none" w:sz="0" w:space="0" w:color="auto"/>
            <w:right w:val="none" w:sz="0" w:space="0" w:color="auto"/>
          </w:divBdr>
          <w:divsChild>
            <w:div w:id="1486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5516">
      <w:bodyDiv w:val="1"/>
      <w:marLeft w:val="0"/>
      <w:marRight w:val="0"/>
      <w:marTop w:val="0"/>
      <w:marBottom w:val="0"/>
      <w:divBdr>
        <w:top w:val="none" w:sz="0" w:space="0" w:color="auto"/>
        <w:left w:val="none" w:sz="0" w:space="0" w:color="auto"/>
        <w:bottom w:val="none" w:sz="0" w:space="0" w:color="auto"/>
        <w:right w:val="none" w:sz="0" w:space="0" w:color="auto"/>
      </w:divBdr>
    </w:div>
    <w:div w:id="1731264994">
      <w:bodyDiv w:val="1"/>
      <w:marLeft w:val="120"/>
      <w:marRight w:val="120"/>
      <w:marTop w:val="0"/>
      <w:marBottom w:val="0"/>
      <w:divBdr>
        <w:top w:val="none" w:sz="0" w:space="0" w:color="auto"/>
        <w:left w:val="none" w:sz="0" w:space="0" w:color="auto"/>
        <w:bottom w:val="none" w:sz="0" w:space="0" w:color="auto"/>
        <w:right w:val="none" w:sz="0" w:space="0" w:color="auto"/>
      </w:divBdr>
      <w:divsChild>
        <w:div w:id="1423068488">
          <w:marLeft w:val="0"/>
          <w:marRight w:val="0"/>
          <w:marTop w:val="0"/>
          <w:marBottom w:val="0"/>
          <w:divBdr>
            <w:top w:val="none" w:sz="0" w:space="0" w:color="auto"/>
            <w:left w:val="none" w:sz="0" w:space="0" w:color="auto"/>
            <w:bottom w:val="none" w:sz="0" w:space="0" w:color="auto"/>
            <w:right w:val="none" w:sz="0" w:space="0" w:color="auto"/>
          </w:divBdr>
          <w:divsChild>
            <w:div w:id="1555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946">
      <w:bodyDiv w:val="1"/>
      <w:marLeft w:val="120"/>
      <w:marRight w:val="120"/>
      <w:marTop w:val="0"/>
      <w:marBottom w:val="0"/>
      <w:divBdr>
        <w:top w:val="none" w:sz="0" w:space="0" w:color="auto"/>
        <w:left w:val="none" w:sz="0" w:space="0" w:color="auto"/>
        <w:bottom w:val="none" w:sz="0" w:space="0" w:color="auto"/>
        <w:right w:val="none" w:sz="0" w:space="0" w:color="auto"/>
      </w:divBdr>
      <w:divsChild>
        <w:div w:id="535894137">
          <w:marLeft w:val="0"/>
          <w:marRight w:val="0"/>
          <w:marTop w:val="0"/>
          <w:marBottom w:val="0"/>
          <w:divBdr>
            <w:top w:val="none" w:sz="0" w:space="0" w:color="auto"/>
            <w:left w:val="none" w:sz="0" w:space="0" w:color="auto"/>
            <w:bottom w:val="none" w:sz="0" w:space="0" w:color="auto"/>
            <w:right w:val="none" w:sz="0" w:space="0" w:color="auto"/>
          </w:divBdr>
          <w:divsChild>
            <w:div w:id="20050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688">
      <w:bodyDiv w:val="1"/>
      <w:marLeft w:val="120"/>
      <w:marRight w:val="120"/>
      <w:marTop w:val="0"/>
      <w:marBottom w:val="0"/>
      <w:divBdr>
        <w:top w:val="none" w:sz="0" w:space="0" w:color="auto"/>
        <w:left w:val="none" w:sz="0" w:space="0" w:color="auto"/>
        <w:bottom w:val="none" w:sz="0" w:space="0" w:color="auto"/>
        <w:right w:val="none" w:sz="0" w:space="0" w:color="auto"/>
      </w:divBdr>
      <w:divsChild>
        <w:div w:id="2036536377">
          <w:marLeft w:val="0"/>
          <w:marRight w:val="0"/>
          <w:marTop w:val="0"/>
          <w:marBottom w:val="0"/>
          <w:divBdr>
            <w:top w:val="none" w:sz="0" w:space="0" w:color="auto"/>
            <w:left w:val="none" w:sz="0" w:space="0" w:color="auto"/>
            <w:bottom w:val="none" w:sz="0" w:space="0" w:color="auto"/>
            <w:right w:val="none" w:sz="0" w:space="0" w:color="auto"/>
          </w:divBdr>
          <w:divsChild>
            <w:div w:id="18457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375">
      <w:bodyDiv w:val="1"/>
      <w:marLeft w:val="120"/>
      <w:marRight w:val="120"/>
      <w:marTop w:val="0"/>
      <w:marBottom w:val="0"/>
      <w:divBdr>
        <w:top w:val="none" w:sz="0" w:space="0" w:color="auto"/>
        <w:left w:val="none" w:sz="0" w:space="0" w:color="auto"/>
        <w:bottom w:val="none" w:sz="0" w:space="0" w:color="auto"/>
        <w:right w:val="none" w:sz="0" w:space="0" w:color="auto"/>
      </w:divBdr>
      <w:divsChild>
        <w:div w:id="290869016">
          <w:marLeft w:val="0"/>
          <w:marRight w:val="0"/>
          <w:marTop w:val="0"/>
          <w:marBottom w:val="0"/>
          <w:divBdr>
            <w:top w:val="none" w:sz="0" w:space="0" w:color="auto"/>
            <w:left w:val="none" w:sz="0" w:space="0" w:color="auto"/>
            <w:bottom w:val="none" w:sz="0" w:space="0" w:color="auto"/>
            <w:right w:val="none" w:sz="0" w:space="0" w:color="auto"/>
          </w:divBdr>
          <w:divsChild>
            <w:div w:id="2826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10</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Song</dc:creator>
  <cp:keywords/>
  <dc:description/>
  <cp:lastModifiedBy>Yao Song</cp:lastModifiedBy>
  <cp:revision>35</cp:revision>
  <dcterms:created xsi:type="dcterms:W3CDTF">2016-10-22T20:07:00Z</dcterms:created>
  <dcterms:modified xsi:type="dcterms:W3CDTF">2016-11-21T16:24:00Z</dcterms:modified>
</cp:coreProperties>
</file>