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仓库系统并获得成功的专业公司。三十余年来，已经在全球范围实施了一千多个大型数据仓库系统，其中数据库容量在100TB以上的就有三百余家。没有任何其它一个厂商可以提供如此众多的大型数据仓库应用的客户名单。</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04921588"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在本项目应答书中，Teradata为上海期货交易所介绍了Teradata在国内众多的金融业数据平台咨询案例，覆盖了以下各方面：</w:t>
      </w:r>
    </w:p>
    <w:p w14:paraId="7350C0D2"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国内金融机构使用Teradata构建数据平台的情况</w:t>
      </w:r>
    </w:p>
    <w:p w14:paraId="7C021DE3"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国内金融机构数据治理咨询案例</w:t>
      </w:r>
    </w:p>
    <w:p w14:paraId="2FADDA3D" w14:textId="77777777" w:rsid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rPr>
        <w:t>Teradat</w:t>
      </w:r>
      <w:r w:rsidRPr="00D8725F">
        <w:rPr>
          <w:rFonts w:ascii="SimSun" w:eastAsia="SimSun" w:hAnsi="SimSun" w:hint="eastAsia"/>
        </w:rPr>
        <w:t>a统一大数据案例</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3F04FF8B" w14:textId="77777777" w:rsidR="000729EE" w:rsidRDefault="000729EE" w:rsidP="00D8725F">
      <w:pPr>
        <w:spacing w:line="360" w:lineRule="auto"/>
        <w:ind w:firstLineChars="200" w:firstLine="480"/>
        <w:rPr>
          <w:rFonts w:ascii="SimSun" w:eastAsia="SimSun" w:hAnsi="SimSun"/>
        </w:rPr>
      </w:pPr>
    </w:p>
    <w:p w14:paraId="3DCC4400" w14:textId="77777777" w:rsidR="000729EE" w:rsidRPr="00D8725F" w:rsidRDefault="000729EE" w:rsidP="00D8725F">
      <w:pPr>
        <w:spacing w:line="360" w:lineRule="auto"/>
        <w:ind w:firstLineChars="200" w:firstLine="480"/>
        <w:rPr>
          <w:rFonts w:ascii="SimSun" w:eastAsia="SimSun" w:hAnsi="SimSun"/>
        </w:rPr>
      </w:pPr>
    </w:p>
    <w:p w14:paraId="437AFB3B" w14:textId="60377FAA" w:rsidR="00F96808"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6F57BB">
      <w:pPr>
        <w:pStyle w:val="3"/>
      </w:pPr>
      <w:r>
        <w:rPr>
          <w:rFonts w:hint="eastAsia"/>
        </w:rPr>
        <w:t>中国证券登记结算公司案例</w:t>
      </w:r>
    </w:p>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t>中国证监会批准的其他业务。</w:t>
      </w:r>
      <w:r w:rsidRPr="00350E5D">
        <w:rPr>
          <w:rFonts w:ascii="SimSun" w:eastAsia="SimSun" w:hAnsi="SimSun"/>
        </w:rPr>
        <w:t xml:space="preserve"> </w:t>
      </w:r>
    </w:p>
    <w:p w14:paraId="1BCE1707" w14:textId="1B48199D" w:rsidR="007D199B" w:rsidRPr="007D199B" w:rsidRDefault="007D199B" w:rsidP="00114172">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114172">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2800正式成为EDW生产系统。扩容后系统总体性能有很大提高：加载约2倍左右，转换任务在4-5倍”，扩容过程达到了预期的效果。</w:t>
      </w:r>
    </w:p>
    <w:p w14:paraId="14C6C1AA" w14:textId="77777777" w:rsidR="007D199B" w:rsidRPr="007D199B" w:rsidRDefault="007D199B" w:rsidP="007D199B">
      <w:pPr>
        <w:rPr>
          <w:rFonts w:ascii="SimSun" w:eastAsia="SimSun" w:hAnsi="SimSun"/>
        </w:rPr>
      </w:pPr>
    </w:p>
    <w:p w14:paraId="39E1BB40" w14:textId="77777777" w:rsidR="002E31A9" w:rsidRPr="007D199B" w:rsidRDefault="002E31A9"/>
    <w:p w14:paraId="23D948B7" w14:textId="16C76681" w:rsidR="002E31A9" w:rsidRDefault="002E31A9" w:rsidP="006F57BB">
      <w:pPr>
        <w:pStyle w:val="3"/>
      </w:pPr>
      <w:r>
        <w:rPr>
          <w:rFonts w:hint="eastAsia"/>
        </w:rPr>
        <w:t>上海证券交易所案例</w:t>
      </w:r>
    </w:p>
    <w:p w14:paraId="7AB416C9" w14:textId="77777777" w:rsidR="002E31A9" w:rsidRDefault="002E31A9"/>
    <w:p w14:paraId="23B5EE26" w14:textId="77777777" w:rsidR="006B26AF" w:rsidRDefault="006B26AF"/>
    <w:p w14:paraId="157DF38F" w14:textId="77777777" w:rsidR="006B26AF" w:rsidRDefault="006B26AF"/>
    <w:p w14:paraId="69DB1880" w14:textId="43A9FA67" w:rsidR="002E31A9" w:rsidRDefault="002E31A9" w:rsidP="006F57BB">
      <w:pPr>
        <w:pStyle w:val="3"/>
      </w:pPr>
      <w:r>
        <w:rPr>
          <w:rFonts w:hint="eastAsia"/>
        </w:rPr>
        <w:t>中国证监会案例</w:t>
      </w:r>
    </w:p>
    <w:p w14:paraId="364C7BA9" w14:textId="61E18C5B" w:rsidR="00E900C6" w:rsidRDefault="00E900C6" w:rsidP="00114172">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114172">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2448E246" w14:textId="77777777" w:rsidR="00E900C6" w:rsidRPr="006B26AF" w:rsidRDefault="00E900C6" w:rsidP="006B26AF">
      <w:pPr>
        <w:spacing w:line="360" w:lineRule="auto"/>
        <w:ind w:firstLineChars="200" w:firstLine="480"/>
        <w:rPr>
          <w:rFonts w:ascii="SimSun" w:eastAsia="SimSun" w:hAnsi="SimSun"/>
        </w:rPr>
      </w:pPr>
    </w:p>
    <w:p w14:paraId="1B1D6DC0" w14:textId="73BABA2C"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统计分析应用建设</w:t>
      </w:r>
    </w:p>
    <w:p w14:paraId="53081BD1"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统计分析业务应用建设主要包括：</w:t>
      </w:r>
    </w:p>
    <w:p w14:paraId="791FFC2F" w14:textId="62BA85B9"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建立统计分析应用门户（Portal）</w:t>
      </w:r>
    </w:p>
    <w:p w14:paraId="5B1AA06B"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建立统计分析型应用的统一门户，方便业务人员使用和访问。</w:t>
      </w:r>
    </w:p>
    <w:p w14:paraId="278900C4" w14:textId="28A8FB80"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业务统计与分析应用建设</w:t>
      </w:r>
    </w:p>
    <w:p w14:paraId="4DEF152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提供各业务指标的定义，汇总层级和展现方式。推荐具体的报表工具，实施报表平台。提供由数据仓库进行后端数据支持，前端工具展现的整体实现方式。</w:t>
      </w:r>
    </w:p>
    <w:p w14:paraId="680B4A9D"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业务统计与分析应用包括各类固定报表、灵活查询和统计分析以及专题分析等。具体包括如下内容：</w:t>
      </w:r>
    </w:p>
    <w:p w14:paraId="143A53E3" w14:textId="20B5B0F5"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满足现有的证监会日常统计工作报表应用开发；</w:t>
      </w:r>
    </w:p>
    <w:p w14:paraId="1CB0DFB1" w14:textId="326BA5B8"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灵活查询和统计分析，包括市场综合分析、投资品种分析、投资者分析等；</w:t>
      </w:r>
    </w:p>
    <w:p w14:paraId="488253EE" w14:textId="6755B224"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专题分析，如盈亏分析等。</w:t>
      </w:r>
    </w:p>
    <w:p w14:paraId="4ADAA801" w14:textId="01BE9D98"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 xml:space="preserve">管理者驾驶舱(KPI Dashboard) </w:t>
      </w:r>
    </w:p>
    <w:p w14:paraId="6AF8254C" w14:textId="77777777" w:rsidR="002E31A9" w:rsidRDefault="002E31A9"/>
    <w:p w14:paraId="5119DDB2" w14:textId="2D389680" w:rsidR="00EF0184" w:rsidRDefault="00EF0184" w:rsidP="006863A0">
      <w:pPr>
        <w:pStyle w:val="3"/>
      </w:pPr>
      <w:r>
        <w:rPr>
          <w:rFonts w:hint="eastAsia"/>
        </w:rPr>
        <w:t>郑州商品期货交易所</w:t>
      </w:r>
    </w:p>
    <w:p w14:paraId="7BF71AD4" w14:textId="30751B4F" w:rsidR="002B07B6" w:rsidRDefault="002B07B6" w:rsidP="00114172">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114172">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F84092">
      <w:pPr>
        <w:pStyle w:val="a3"/>
        <w:numPr>
          <w:ilvl w:val="0"/>
          <w:numId w:val="50"/>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2056B5BB" w:rsidR="002068A0" w:rsidRDefault="002E31A9" w:rsidP="006F57BB">
      <w:pPr>
        <w:pStyle w:val="3"/>
      </w:pPr>
      <w:r>
        <w:rPr>
          <w:rFonts w:hint="eastAsia"/>
        </w:rPr>
        <w:t>宏源证券案例</w:t>
      </w:r>
    </w:p>
    <w:p w14:paraId="43ACB701" w14:textId="69BFFD6F" w:rsidR="0077145F" w:rsidRPr="0077145F" w:rsidRDefault="0077145F" w:rsidP="00114172">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114172">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t>银行业</w:t>
      </w:r>
      <w:r w:rsidR="00DB15E8">
        <w:rPr>
          <w:rFonts w:hint="eastAsia"/>
        </w:rPr>
        <w:t>案例</w:t>
      </w:r>
    </w:p>
    <w:p w14:paraId="75B49738" w14:textId="77777777" w:rsidR="005A7DD7" w:rsidRDefault="005A7DD7" w:rsidP="005A7DD7">
      <w:pPr>
        <w:pStyle w:val="3"/>
      </w:pPr>
      <w:r>
        <w:rPr>
          <w:rFonts w:hint="eastAsia"/>
        </w:rPr>
        <w:t>工商银行案例</w:t>
      </w:r>
    </w:p>
    <w:p w14:paraId="2C1A4132" w14:textId="77777777" w:rsidR="005A7DD7" w:rsidRPr="008969C4" w:rsidRDefault="005A7DD7" w:rsidP="00114172">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2007年4月，中国工商银行数据仓库实施项目启动，到2008年1月正式上线试运行，开发测试工作历时10个月，已经顺利完成投产工作和系统上线。</w:t>
      </w:r>
    </w:p>
    <w:p w14:paraId="356D84A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截至到目前，中国工商银行数据仓库建设已经进入第三期，入仓源系统62个，源表1566张，源系统覆盖范围达到90%以上。基础数据平台模型实体2072张，支持下游17个应用，160个数据接口。</w:t>
      </w:r>
    </w:p>
    <w:p w14:paraId="4585FF30" w14:textId="77777777" w:rsidR="005A7DD7" w:rsidRPr="008969C4" w:rsidRDefault="005A7DD7" w:rsidP="005A7DD7">
      <w:pPr>
        <w:spacing w:line="360" w:lineRule="auto"/>
        <w:ind w:firstLineChars="200" w:firstLine="480"/>
        <w:rPr>
          <w:rFonts w:ascii="SimSun" w:eastAsia="SimSun" w:hAnsi="SimSun"/>
        </w:rPr>
      </w:pPr>
      <w:r w:rsidRPr="006F565D">
        <w:rPr>
          <w:rFonts w:ascii="Arial" w:hAnsi="Arial" w:cs="Arial"/>
        </w:rPr>
        <w:object w:dxaOrig="10426" w:dyaOrig="4570" w14:anchorId="489E2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191.6pt" o:ole="" o:allowoverlap="f">
            <v:imagedata r:id="rId6" o:title=""/>
          </v:shape>
          <o:OLEObject Type="Embed" ProgID="Visio.Drawing.11" ShapeID="_x0000_i1025" DrawAspect="Content" ObjectID="_1552660577" r:id="rId7"/>
        </w:object>
      </w:r>
    </w:p>
    <w:p w14:paraId="409BA117" w14:textId="77777777" w:rsidR="005A7DD7" w:rsidRPr="008969C4" w:rsidRDefault="005A7DD7" w:rsidP="00114172">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114172">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基于仓库的即席查询也在逐步推广，目前，已对总行包括管信部、信用卡部等7个业务部门开放了即席查询功能，目前正准备逐步向分行做试点推广工作。</w:t>
      </w:r>
    </w:p>
    <w:p w14:paraId="560798AA" w14:textId="5FE00E6B" w:rsidR="00DB15E8" w:rsidRDefault="00A969C3" w:rsidP="006F57BB">
      <w:pPr>
        <w:pStyle w:val="3"/>
      </w:pPr>
      <w:r>
        <w:rPr>
          <w:rFonts w:hint="eastAsia"/>
        </w:rPr>
        <w:t>招商银行案例</w:t>
      </w:r>
    </w:p>
    <w:p w14:paraId="47DBB517" w14:textId="1DDA603C" w:rsidR="00922D38" w:rsidRPr="00922D38" w:rsidRDefault="00922D38" w:rsidP="00114172">
      <w:pPr>
        <w:pStyle w:val="4"/>
      </w:pPr>
      <w:r>
        <w:rPr>
          <w:rFonts w:hint="eastAsia"/>
        </w:rPr>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114172">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完成招商银行数据仓库新平台实施总体规划，包括基于Teradata平台的技术、信息、运维等架构规划，制定了包含项目实施（含应用迁移）策略、线路、方法、总体计划等内容的整体实施方案；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7F08FB34"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39E77DBB" w14:textId="42CA41EB" w:rsidR="00321C36" w:rsidRDefault="00BD431B" w:rsidP="006F57BB">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p w14:paraId="5649D274" w14:textId="6FE3BEFF" w:rsidR="006B161A" w:rsidRPr="006B161A" w:rsidRDefault="006B161A" w:rsidP="00114172">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 xml:space="preserve">根据2007年核心资本排名，公司2008年7月获评英国《银行家》杂志全球1000强银行排名第176位，比前年提前了15位排名；2008年6月公司被英国《金融时报》评为全球市值500强企业第422位。公司还被国际评级研究机构 </w:t>
      </w:r>
      <w:proofErr w:type="spellStart"/>
      <w:r w:rsidRPr="006B161A">
        <w:rPr>
          <w:rFonts w:ascii="SimSun" w:eastAsia="SimSun" w:hAnsi="SimSun"/>
        </w:rPr>
        <w:t>RepuTex</w:t>
      </w:r>
      <w:proofErr w:type="spellEnd"/>
      <w:r w:rsidRPr="006B161A">
        <w:rPr>
          <w:rFonts w:ascii="SimSun" w:eastAsia="SimSun" w:hAnsi="SimSun"/>
        </w:rPr>
        <w:t xml:space="preserve">（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114172">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114172">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w:t>
      </w:r>
      <w:proofErr w:type="spellStart"/>
      <w:r w:rsidRPr="00D27E92">
        <w:rPr>
          <w:rFonts w:ascii="SimSun" w:eastAsia="SimSun" w:hAnsi="SimSun"/>
        </w:rPr>
        <w:t>DataStage</w:t>
      </w:r>
      <w:proofErr w:type="spellEnd"/>
      <w:r w:rsidRPr="00D27E92">
        <w:rPr>
          <w:rFonts w:ascii="SimSun" w:eastAsia="SimSun" w:hAnsi="SimSun"/>
        </w:rPr>
        <w:t>）的统一任务调度与监控管理；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 xml:space="preserve">完成系统监控到HP </w:t>
      </w:r>
      <w:proofErr w:type="spellStart"/>
      <w:r w:rsidRPr="00D27E92">
        <w:rPr>
          <w:rFonts w:ascii="SimSun" w:eastAsia="SimSun" w:hAnsi="SimSun"/>
        </w:rPr>
        <w:t>OpenView</w:t>
      </w:r>
      <w:proofErr w:type="spellEnd"/>
      <w:r w:rsidRPr="00D27E92">
        <w:rPr>
          <w:rFonts w:ascii="SimSun" w:eastAsia="SimSun" w:hAnsi="SimSun"/>
        </w:rPr>
        <w:t>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w:t>
      </w:r>
      <w:proofErr w:type="spellStart"/>
      <w:r w:rsidRPr="00A63E53">
        <w:rPr>
          <w:rFonts w:ascii="SimSun" w:eastAsia="SimSun" w:hAnsi="SimSun"/>
        </w:rPr>
        <w:t>InfoUser</w:t>
      </w:r>
      <w:proofErr w:type="spellEnd"/>
      <w:r w:rsidRPr="00A63E53">
        <w:rPr>
          <w:rFonts w:ascii="SimSun" w:eastAsia="SimSun" w:hAnsi="SimSun"/>
        </w:rPr>
        <w:t>、</w:t>
      </w:r>
      <w:proofErr w:type="spellStart"/>
      <w:r w:rsidRPr="00A63E53">
        <w:rPr>
          <w:rFonts w:ascii="SimSun" w:eastAsia="SimSun" w:hAnsi="SimSun"/>
        </w:rPr>
        <w:t>PowerUser</w:t>
      </w:r>
      <w:proofErr w:type="spellEnd"/>
      <w:r w:rsidRPr="00A63E53">
        <w:rPr>
          <w:rFonts w:ascii="SimSun" w:eastAsia="SimSun" w:hAnsi="SimSun"/>
        </w:rPr>
        <w:t>、</w:t>
      </w:r>
      <w:proofErr w:type="spellStart"/>
      <w:r w:rsidRPr="00A63E53">
        <w:rPr>
          <w:rFonts w:ascii="SimSun" w:eastAsia="SimSun" w:hAnsi="SimSun"/>
        </w:rPr>
        <w:t>AppUser</w:t>
      </w:r>
      <w:proofErr w:type="spellEnd"/>
      <w:r w:rsidRPr="00A63E53">
        <w:rPr>
          <w:rFonts w:ascii="SimSun" w:eastAsia="SimSun" w:hAnsi="SimSun"/>
        </w:rPr>
        <w:t>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114172">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9494C">
      <w:pPr>
        <w:pStyle w:val="3"/>
        <w:rPr>
          <w:rFonts w:hint="eastAsia"/>
        </w:rPr>
      </w:pPr>
      <w:r>
        <w:rPr>
          <w:rFonts w:hint="eastAsia"/>
        </w:rPr>
        <w:t>交通银行案例</w:t>
      </w:r>
    </w:p>
    <w:p w14:paraId="17C95B06" w14:textId="55B61654" w:rsidR="00156469" w:rsidRDefault="00156469" w:rsidP="00156469">
      <w:pPr>
        <w:pStyle w:val="4"/>
        <w:ind w:leftChars="100" w:left="807"/>
        <w:rPr>
          <w:rFonts w:hint="eastAsia"/>
        </w:rPr>
      </w:pPr>
      <w:r>
        <w:rPr>
          <w:rFonts w:hint="eastAsia"/>
        </w:rPr>
        <w:t>客户简介</w:t>
      </w:r>
    </w:p>
    <w:p w14:paraId="45837433" w14:textId="77777777" w:rsidR="00156469" w:rsidRDefault="00156469" w:rsidP="00156469">
      <w:pPr>
        <w:rPr>
          <w:rFonts w:hint="eastAsia"/>
        </w:rPr>
      </w:pPr>
    </w:p>
    <w:p w14:paraId="5F0DA0A4" w14:textId="77777777" w:rsidR="00156469" w:rsidRDefault="00156469" w:rsidP="00156469">
      <w:pPr>
        <w:rPr>
          <w:rFonts w:hint="eastAsia"/>
        </w:rPr>
      </w:pPr>
    </w:p>
    <w:p w14:paraId="28D8A4CC" w14:textId="77777777" w:rsidR="00156469" w:rsidRPr="00156469" w:rsidRDefault="00156469" w:rsidP="00156469">
      <w:pPr>
        <w:rPr>
          <w:rFonts w:hint="eastAsia"/>
        </w:rPr>
      </w:pPr>
      <w:bookmarkStart w:id="0" w:name="_GoBack"/>
      <w:bookmarkEnd w:id="0"/>
    </w:p>
    <w:p w14:paraId="27BB06BC" w14:textId="77777777" w:rsidR="00D9494C" w:rsidRDefault="00D9494C" w:rsidP="00D9494C">
      <w:pPr>
        <w:pStyle w:val="3"/>
      </w:pPr>
      <w:r>
        <w:rPr>
          <w:rFonts w:hint="eastAsia"/>
        </w:rPr>
        <w:t>兴业银行案例</w:t>
      </w:r>
    </w:p>
    <w:p w14:paraId="0635FC66" w14:textId="02B4E868" w:rsidR="00DC6735" w:rsidRPr="00F7783D" w:rsidRDefault="00DC6735" w:rsidP="00114172">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114172">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2015年</w:t>
      </w:r>
    </w:p>
    <w:p w14:paraId="23FF330C" w14:textId="15094A14" w:rsidR="00DC6735" w:rsidRPr="00F7783D" w:rsidRDefault="00DC6735" w:rsidP="00114172">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6F57BB">
      <w:pPr>
        <w:pStyle w:val="3"/>
      </w:pPr>
      <w:r>
        <w:rPr>
          <w:rFonts w:hint="eastAsia"/>
        </w:rPr>
        <w:t>光大银行案例</w:t>
      </w:r>
    </w:p>
    <w:p w14:paraId="09187253" w14:textId="6710A7C6" w:rsidR="003B43F3" w:rsidRPr="003B43F3" w:rsidRDefault="003B43F3" w:rsidP="00114172">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114172">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EDW项目的本质在于数据管理与数据应用的有效整合。为了在高速增长期内实现高利润率和最大化股东价值，光大银行从2006年起加快了信息智能化建设的步伐，构建全行统一的基础数据平台，即企业级的数据仓库系统，作为全行信息化建设的基础。企业级数据仓库系统的建设是一个持续不断的过程。在项目一、二期，重点建设光大银行企业级逻辑数据模型，并在此基础上整合光大银行核心业务系统和十多个外围交易处理系统的数据，建成全行的基础数据平台，为光大银行的决策支持和管理信息系统以及监管报表系统提供数据支持。在本期中不断地扩充数据源并扩展逻辑数据模型，增强和完善基础数据平台的数据支持能力。</w:t>
      </w:r>
    </w:p>
    <w:p w14:paraId="157B982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从宏观上避免了数据的冗余存放、重复抽取和处理，无论在系统运行效率还是总体投资方面都可以为光大银行带来巨大的经济效益。</w:t>
      </w:r>
    </w:p>
    <w:p w14:paraId="4188896D"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来看，基础数据平台在前期支持了众多分析应用与管理应用的基础上，本期将继续为资产负债管理与市场风险管理以及新会计准则系统等重大里程碑式全行级应用系统提供持续的数据支持。另外作为统一的全行级别数据提供平台，屏蔽源业务系统的重大升级改造，将分析性应用系统受到的影响减至最少。同时，本期基础数据平台项目将继续支持各个业务部门提出的随机业务查询， 为各项业务的持续发展提供信息支持。</w:t>
      </w:r>
    </w:p>
    <w:p w14:paraId="2E0CE71A" w14:textId="530DEE31" w:rsidR="003B43F3" w:rsidRPr="003B43F3" w:rsidRDefault="003B43F3" w:rsidP="00114172">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2379D19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 xml:space="preserve">理财产品销售                   </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7835508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6F57BB">
      <w:pPr>
        <w:pStyle w:val="3"/>
      </w:pPr>
      <w:r>
        <w:rPr>
          <w:rFonts w:hint="eastAsia"/>
        </w:rPr>
        <w:t>民生银行案例</w:t>
      </w:r>
    </w:p>
    <w:p w14:paraId="6E3D0A23" w14:textId="0311F3C2" w:rsidR="00BD7830" w:rsidRPr="00E9706F" w:rsidRDefault="00BD7830" w:rsidP="00114172">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已在华北地区包括总行及北京、太原、石家庄和天津分行；华东地区包括上海、杭州、宁波、南京、济南、苏州、青岛、温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114172">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114172">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114172">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77777777" w:rsidR="00BD7830" w:rsidRPr="00E9706F" w:rsidRDefault="00BD7830" w:rsidP="00BD7830">
      <w:pPr>
        <w:spacing w:line="360" w:lineRule="auto"/>
        <w:ind w:firstLineChars="200" w:firstLine="480"/>
        <w:rPr>
          <w:rFonts w:ascii="SimSun" w:eastAsia="SimSun" w:hAnsi="SimSun"/>
        </w:rPr>
      </w:pPr>
    </w:p>
    <w:p w14:paraId="69F675AB" w14:textId="77777777" w:rsidR="00BD7830" w:rsidRPr="00E9706F" w:rsidRDefault="00BD7830" w:rsidP="00BD7830">
      <w:pPr>
        <w:spacing w:line="360" w:lineRule="auto"/>
        <w:ind w:firstLineChars="200" w:firstLine="480"/>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77777777" w:rsidR="00D0511E" w:rsidRPr="00E9706F" w:rsidRDefault="00D0511E" w:rsidP="00BD7830">
      <w:pPr>
        <w:spacing w:line="360" w:lineRule="auto"/>
        <w:ind w:firstLineChars="200" w:firstLine="480"/>
        <w:rPr>
          <w:rFonts w:ascii="SimSun" w:eastAsia="SimSun" w:hAnsi="SimSun"/>
        </w:rPr>
      </w:pPr>
    </w:p>
    <w:sectPr w:rsidR="00D0511E" w:rsidRPr="00E9706F" w:rsidSect="00A64B0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4D"/>
    <w:family w:val="modern"/>
    <w:notTrueType/>
    <w:pitch w:val="fixed"/>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BA31789"/>
    <w:multiLevelType w:val="hybridMultilevel"/>
    <w:tmpl w:val="140EA014"/>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4">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0">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3">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44C759B0"/>
    <w:multiLevelType w:val="multilevel"/>
    <w:tmpl w:val="054C7290"/>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6">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8">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9">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2">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3">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5">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8">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5">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7C715E31"/>
    <w:multiLevelType w:val="hybridMultilevel"/>
    <w:tmpl w:val="7CD220C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4"/>
  </w:num>
  <w:num w:numId="2">
    <w:abstractNumId w:val="14"/>
  </w:num>
  <w:num w:numId="3">
    <w:abstractNumId w:val="21"/>
  </w:num>
  <w:num w:numId="4">
    <w:abstractNumId w:val="43"/>
  </w:num>
  <w:num w:numId="5">
    <w:abstractNumId w:val="47"/>
  </w:num>
  <w:num w:numId="6">
    <w:abstractNumId w:val="31"/>
  </w:num>
  <w:num w:numId="7">
    <w:abstractNumId w:val="44"/>
  </w:num>
  <w:num w:numId="8">
    <w:abstractNumId w:val="5"/>
  </w:num>
  <w:num w:numId="9">
    <w:abstractNumId w:val="35"/>
  </w:num>
  <w:num w:numId="10">
    <w:abstractNumId w:val="22"/>
  </w:num>
  <w:num w:numId="11">
    <w:abstractNumId w:val="45"/>
  </w:num>
  <w:num w:numId="12">
    <w:abstractNumId w:val="13"/>
  </w:num>
  <w:num w:numId="13">
    <w:abstractNumId w:val="15"/>
  </w:num>
  <w:num w:numId="14">
    <w:abstractNumId w:val="18"/>
  </w:num>
  <w:num w:numId="15">
    <w:abstractNumId w:val="42"/>
  </w:num>
  <w:num w:numId="16">
    <w:abstractNumId w:val="2"/>
  </w:num>
  <w:num w:numId="17">
    <w:abstractNumId w:val="17"/>
  </w:num>
  <w:num w:numId="18">
    <w:abstractNumId w:val="1"/>
  </w:num>
  <w:num w:numId="19">
    <w:abstractNumId w:val="32"/>
  </w:num>
  <w:num w:numId="20">
    <w:abstractNumId w:val="25"/>
  </w:num>
  <w:num w:numId="21">
    <w:abstractNumId w:val="11"/>
  </w:num>
  <w:num w:numId="22">
    <w:abstractNumId w:val="36"/>
  </w:num>
  <w:num w:numId="23">
    <w:abstractNumId w:val="23"/>
  </w:num>
  <w:num w:numId="24">
    <w:abstractNumId w:val="39"/>
  </w:num>
  <w:num w:numId="25">
    <w:abstractNumId w:val="19"/>
  </w:num>
  <w:num w:numId="26">
    <w:abstractNumId w:val="28"/>
  </w:num>
  <w:num w:numId="27">
    <w:abstractNumId w:val="7"/>
  </w:num>
  <w:num w:numId="28">
    <w:abstractNumId w:val="41"/>
  </w:num>
  <w:num w:numId="29">
    <w:abstractNumId w:val="38"/>
  </w:num>
  <w:num w:numId="30">
    <w:abstractNumId w:val="10"/>
  </w:num>
  <w:num w:numId="31">
    <w:abstractNumId w:val="30"/>
  </w:num>
  <w:num w:numId="32">
    <w:abstractNumId w:val="27"/>
  </w:num>
  <w:num w:numId="33">
    <w:abstractNumId w:val="4"/>
  </w:num>
  <w:num w:numId="34">
    <w:abstractNumId w:val="37"/>
  </w:num>
  <w:num w:numId="35">
    <w:abstractNumId w:val="20"/>
  </w:num>
  <w:num w:numId="36">
    <w:abstractNumId w:val="40"/>
  </w:num>
  <w:num w:numId="37">
    <w:abstractNumId w:val="33"/>
  </w:num>
  <w:num w:numId="38">
    <w:abstractNumId w:val="3"/>
  </w:num>
  <w:num w:numId="39">
    <w:abstractNumId w:val="16"/>
  </w:num>
  <w:num w:numId="40">
    <w:abstractNumId w:val="8"/>
  </w:num>
  <w:num w:numId="41">
    <w:abstractNumId w:val="12"/>
  </w:num>
  <w:num w:numId="42">
    <w:abstractNumId w:val="0"/>
  </w:num>
  <w:num w:numId="43">
    <w:abstractNumId w:val="29"/>
  </w:num>
  <w:num w:numId="44">
    <w:abstractNumId w:val="34"/>
  </w:num>
  <w:num w:numId="45">
    <w:abstractNumId w:val="26"/>
  </w:num>
  <w:num w:numId="46">
    <w:abstractNumId w:val="46"/>
  </w:num>
  <w:num w:numId="47">
    <w:abstractNumId w:val="48"/>
  </w:num>
  <w:num w:numId="48">
    <w:abstractNumId w:val="6"/>
  </w:num>
  <w:num w:numId="49">
    <w:abstractNumId w:val="24"/>
  </w:num>
  <w:num w:numId="50">
    <w:abstractNumId w:val="9"/>
  </w:num>
  <w:num w:numId="51">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229D3"/>
    <w:rsid w:val="00041DF8"/>
    <w:rsid w:val="00057EE0"/>
    <w:rsid w:val="000729EE"/>
    <w:rsid w:val="000805BE"/>
    <w:rsid w:val="000953C3"/>
    <w:rsid w:val="000C1FB2"/>
    <w:rsid w:val="000D7146"/>
    <w:rsid w:val="000E748F"/>
    <w:rsid w:val="000F7023"/>
    <w:rsid w:val="001130CF"/>
    <w:rsid w:val="00114172"/>
    <w:rsid w:val="0013127E"/>
    <w:rsid w:val="00156469"/>
    <w:rsid w:val="00156D8C"/>
    <w:rsid w:val="001B6F26"/>
    <w:rsid w:val="001C31C1"/>
    <w:rsid w:val="001F31E9"/>
    <w:rsid w:val="002068A0"/>
    <w:rsid w:val="002238E9"/>
    <w:rsid w:val="0022555C"/>
    <w:rsid w:val="002311ED"/>
    <w:rsid w:val="0025103A"/>
    <w:rsid w:val="002B07B6"/>
    <w:rsid w:val="002C742F"/>
    <w:rsid w:val="002E1D08"/>
    <w:rsid w:val="002E31A9"/>
    <w:rsid w:val="002F6FF5"/>
    <w:rsid w:val="00302F2B"/>
    <w:rsid w:val="00310A58"/>
    <w:rsid w:val="00321C36"/>
    <w:rsid w:val="003447CD"/>
    <w:rsid w:val="00350E5D"/>
    <w:rsid w:val="003640D4"/>
    <w:rsid w:val="003A3BBC"/>
    <w:rsid w:val="003A48FD"/>
    <w:rsid w:val="003B43F3"/>
    <w:rsid w:val="003F3DFA"/>
    <w:rsid w:val="00451808"/>
    <w:rsid w:val="004519F2"/>
    <w:rsid w:val="00460FF3"/>
    <w:rsid w:val="00462E99"/>
    <w:rsid w:val="004A6BB5"/>
    <w:rsid w:val="00517471"/>
    <w:rsid w:val="0052021D"/>
    <w:rsid w:val="00523096"/>
    <w:rsid w:val="00561A4C"/>
    <w:rsid w:val="00570A94"/>
    <w:rsid w:val="0058118E"/>
    <w:rsid w:val="0059267B"/>
    <w:rsid w:val="005A1AEF"/>
    <w:rsid w:val="005A7DD7"/>
    <w:rsid w:val="005B69B1"/>
    <w:rsid w:val="005C0E33"/>
    <w:rsid w:val="00617224"/>
    <w:rsid w:val="006205AA"/>
    <w:rsid w:val="0062134E"/>
    <w:rsid w:val="0064329D"/>
    <w:rsid w:val="006453D9"/>
    <w:rsid w:val="006863A0"/>
    <w:rsid w:val="006A34B5"/>
    <w:rsid w:val="006B161A"/>
    <w:rsid w:val="006B26AF"/>
    <w:rsid w:val="006C1AEB"/>
    <w:rsid w:val="006E1DBC"/>
    <w:rsid w:val="006F57BB"/>
    <w:rsid w:val="0070148D"/>
    <w:rsid w:val="0071700B"/>
    <w:rsid w:val="0075018D"/>
    <w:rsid w:val="0077145F"/>
    <w:rsid w:val="00781C0B"/>
    <w:rsid w:val="007B67D2"/>
    <w:rsid w:val="007B6BA5"/>
    <w:rsid w:val="007C1D12"/>
    <w:rsid w:val="007D199B"/>
    <w:rsid w:val="00823983"/>
    <w:rsid w:val="00852C43"/>
    <w:rsid w:val="008969C4"/>
    <w:rsid w:val="008B32E6"/>
    <w:rsid w:val="008E1AF6"/>
    <w:rsid w:val="008F4076"/>
    <w:rsid w:val="00922D38"/>
    <w:rsid w:val="00962C06"/>
    <w:rsid w:val="0096726B"/>
    <w:rsid w:val="00976C1F"/>
    <w:rsid w:val="009B3BE5"/>
    <w:rsid w:val="009E3197"/>
    <w:rsid w:val="00A003B6"/>
    <w:rsid w:val="00A63E53"/>
    <w:rsid w:val="00A64B0F"/>
    <w:rsid w:val="00A969C3"/>
    <w:rsid w:val="00AC403D"/>
    <w:rsid w:val="00B43087"/>
    <w:rsid w:val="00B94AA6"/>
    <w:rsid w:val="00BB78A8"/>
    <w:rsid w:val="00BD431B"/>
    <w:rsid w:val="00BD7830"/>
    <w:rsid w:val="00C00168"/>
    <w:rsid w:val="00C06E71"/>
    <w:rsid w:val="00C415D0"/>
    <w:rsid w:val="00C456CA"/>
    <w:rsid w:val="00C46079"/>
    <w:rsid w:val="00C56C56"/>
    <w:rsid w:val="00CB1FAF"/>
    <w:rsid w:val="00CC4AFF"/>
    <w:rsid w:val="00D0511E"/>
    <w:rsid w:val="00D05470"/>
    <w:rsid w:val="00D27E92"/>
    <w:rsid w:val="00D42EB3"/>
    <w:rsid w:val="00D8725F"/>
    <w:rsid w:val="00D9067F"/>
    <w:rsid w:val="00D9494C"/>
    <w:rsid w:val="00DB15E8"/>
    <w:rsid w:val="00DC502A"/>
    <w:rsid w:val="00DC6735"/>
    <w:rsid w:val="00DF7D23"/>
    <w:rsid w:val="00E729F5"/>
    <w:rsid w:val="00E900C6"/>
    <w:rsid w:val="00E9706F"/>
    <w:rsid w:val="00EA009D"/>
    <w:rsid w:val="00ED2D62"/>
    <w:rsid w:val="00EE1146"/>
    <w:rsid w:val="00EF0184"/>
    <w:rsid w:val="00EF2034"/>
    <w:rsid w:val="00F7783D"/>
    <w:rsid w:val="00F8178D"/>
    <w:rsid w:val="00F84092"/>
    <w:rsid w:val="00F971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6F57BB"/>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114172"/>
    <w:pPr>
      <w:keepNext/>
      <w:keepLines/>
      <w:numPr>
        <w:ilvl w:val="3"/>
        <w:numId w:val="1"/>
      </w:numPr>
      <w:spacing w:before="156" w:after="156" w:line="360" w:lineRule="auto"/>
      <w:ind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6F57BB"/>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114172"/>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E2976E-4299-1441-9CE4-BDF138F3C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46</Pages>
  <Words>3377</Words>
  <Characters>19251</Characters>
  <Application>Microsoft Macintosh Word</Application>
  <DocSecurity>0</DocSecurity>
  <Lines>160</Lines>
  <Paragraphs>45</Paragraphs>
  <ScaleCrop>false</ScaleCrop>
  <HeadingPairs>
    <vt:vector size="4" baseType="variant">
      <vt:variant>
        <vt:lpstr>标题</vt:lpstr>
      </vt:variant>
      <vt:variant>
        <vt:i4>1</vt:i4>
      </vt:variant>
      <vt:variant>
        <vt:lpstr>Headings</vt:lpstr>
      </vt:variant>
      <vt:variant>
        <vt:i4>14</vt:i4>
      </vt:variant>
    </vt:vector>
  </HeadingPairs>
  <TitlesOfParts>
    <vt:vector size="15" baseType="lpstr">
      <vt:lpstr/>
      <vt:lpstr>行业案例</vt:lpstr>
      <vt:lpstr>    证券业案例</vt:lpstr>
      <vt:lpstr>        中国证券登记结算公司案例</vt:lpstr>
      <vt:lpstr>        上海证券交易所案例</vt:lpstr>
      <vt:lpstr>        中国证监会案例</vt:lpstr>
      <vt:lpstr>        郑州商品期货交易所</vt:lpstr>
      <vt:lpstr>        宏源证券案例</vt:lpstr>
      <vt:lpstr>    银行业案例</vt:lpstr>
      <vt:lpstr>        工商银行案例</vt:lpstr>
      <vt:lpstr>        招商银行案例</vt:lpstr>
      <vt:lpstr>        上海浦东发展银行案例</vt:lpstr>
      <vt:lpstr>        兴业银行案例</vt:lpstr>
      <vt:lpstr>        光大银行案例</vt:lpstr>
      <vt:lpstr>        民生银行案例</vt:lpstr>
    </vt:vector>
  </TitlesOfParts>
  <LinksUpToDate>false</LinksUpToDate>
  <CharactersWithSpaces>22583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108</cp:revision>
  <dcterms:created xsi:type="dcterms:W3CDTF">2017-04-01T03:40:00Z</dcterms:created>
  <dcterms:modified xsi:type="dcterms:W3CDTF">2017-04-02T09:50:00Z</dcterms:modified>
</cp:coreProperties>
</file>