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68F3" w14:textId="40A53B7C" w:rsidR="002068A0" w:rsidRDefault="002068A0" w:rsidP="002068A0">
      <w:pPr>
        <w:pStyle w:val="1"/>
      </w:pPr>
      <w:r>
        <w:rPr>
          <w:rFonts w:hint="eastAsia"/>
        </w:rPr>
        <w:t>行业案例</w:t>
      </w:r>
    </w:p>
    <w:p w14:paraId="3092DEF4" w14:textId="1D473FD0"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Teradata是全球最早开始实施数据</w:t>
      </w:r>
      <w:r w:rsidR="00516F01">
        <w:rPr>
          <w:rFonts w:ascii="SimSun" w:eastAsia="SimSun" w:hAnsi="SimSun" w:hint="eastAsia"/>
        </w:rPr>
        <w:t>平台</w:t>
      </w:r>
      <w:r w:rsidR="0058652B">
        <w:rPr>
          <w:rFonts w:ascii="SimSun" w:eastAsia="SimSun" w:hAnsi="SimSun" w:hint="eastAsia"/>
        </w:rPr>
        <w:t>咨询与实施</w:t>
      </w:r>
      <w:r w:rsidRPr="00D8725F">
        <w:rPr>
          <w:rFonts w:ascii="SimSun" w:eastAsia="SimSun" w:hAnsi="SimSun" w:hint="eastAsia"/>
        </w:rPr>
        <w:t>并获得成功</w:t>
      </w:r>
      <w:r w:rsidR="00516F01">
        <w:rPr>
          <w:rFonts w:ascii="SimSun" w:eastAsia="SimSun" w:hAnsi="SimSun" w:hint="eastAsia"/>
        </w:rPr>
        <w:t>的专业公司。三十余年来，已经在全球范围</w:t>
      </w:r>
      <w:r w:rsidR="00D47375">
        <w:rPr>
          <w:rFonts w:ascii="SimSun" w:eastAsia="SimSun" w:hAnsi="SimSun" w:hint="eastAsia"/>
        </w:rPr>
        <w:t>咨询和</w:t>
      </w:r>
      <w:r w:rsidR="00516F01">
        <w:rPr>
          <w:rFonts w:ascii="SimSun" w:eastAsia="SimSun" w:hAnsi="SimSun" w:hint="eastAsia"/>
        </w:rPr>
        <w:t>实施了一千多个大型数据平台</w:t>
      </w:r>
      <w:r w:rsidR="003B5F55">
        <w:rPr>
          <w:rFonts w:ascii="SimSun" w:eastAsia="SimSun" w:hAnsi="SimSun" w:hint="eastAsia"/>
        </w:rPr>
        <w:t>系统，其中数据</w:t>
      </w:r>
      <w:r w:rsidRPr="00D8725F">
        <w:rPr>
          <w:rFonts w:ascii="SimSun" w:eastAsia="SimSun" w:hAnsi="SimSun" w:hint="eastAsia"/>
        </w:rPr>
        <w:t>容量在</w:t>
      </w:r>
      <w:r w:rsidR="003B5F55">
        <w:rPr>
          <w:rFonts w:ascii="SimSun" w:eastAsia="SimSun" w:hAnsi="SimSun" w:hint="eastAsia"/>
        </w:rPr>
        <w:t>P</w:t>
      </w:r>
      <w:r w:rsidRPr="00D8725F">
        <w:rPr>
          <w:rFonts w:ascii="SimSun" w:eastAsia="SimSun" w:hAnsi="SimSun" w:hint="eastAsia"/>
        </w:rPr>
        <w:t>B</w:t>
      </w:r>
      <w:r w:rsidR="00B56991">
        <w:rPr>
          <w:rFonts w:ascii="SimSun" w:eastAsia="SimSun" w:hAnsi="SimSun" w:hint="eastAsia"/>
        </w:rPr>
        <w:t>级</w:t>
      </w:r>
      <w:r w:rsidRPr="00D8725F">
        <w:rPr>
          <w:rFonts w:ascii="SimSun" w:eastAsia="SimSun" w:hAnsi="SimSun" w:hint="eastAsia"/>
        </w:rPr>
        <w:t>以上的</w:t>
      </w:r>
      <w:r w:rsidR="003B5F55">
        <w:rPr>
          <w:rFonts w:ascii="SimSun" w:eastAsia="SimSun" w:hAnsi="SimSun" w:hint="eastAsia"/>
        </w:rPr>
        <w:t>就有数百</w:t>
      </w:r>
      <w:r w:rsidR="00516F01">
        <w:rPr>
          <w:rFonts w:ascii="SimSun" w:eastAsia="SimSun" w:hAnsi="SimSun" w:hint="eastAsia"/>
        </w:rPr>
        <w:t>家。</w:t>
      </w:r>
    </w:p>
    <w:p w14:paraId="0D800D7C"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众多的咨询与实施成功案例，是确保项目顺利实施的基本条件。正因为这样，我们深信可以为上海期货交易所提供业界领先富有前瞻性的和切实落地可行的数据平台咨询方案。</w:t>
      </w:r>
    </w:p>
    <w:p w14:paraId="2FADDA3D" w14:textId="4C85CF34" w:rsidR="00D8725F" w:rsidRPr="00E23873" w:rsidRDefault="00D8725F" w:rsidP="00E23873">
      <w:pPr>
        <w:spacing w:line="360" w:lineRule="auto"/>
        <w:ind w:firstLineChars="200" w:firstLine="480"/>
        <w:rPr>
          <w:rFonts w:ascii="SimSun" w:eastAsia="SimSun" w:hAnsi="SimSun"/>
        </w:rPr>
      </w:pPr>
      <w:r w:rsidRPr="00D8725F">
        <w:rPr>
          <w:rFonts w:ascii="SimSun" w:eastAsia="SimSun" w:hAnsi="SimSun" w:hint="eastAsia"/>
        </w:rPr>
        <w:t>在本项目应答书中，Teradata为上海期货交易所介绍了Teradata在国内众多的金融业数据平台咨询</w:t>
      </w:r>
      <w:r w:rsidR="00516F01">
        <w:rPr>
          <w:rFonts w:ascii="SimSun" w:eastAsia="SimSun" w:hAnsi="SimSun" w:hint="eastAsia"/>
        </w:rPr>
        <w:t>与实施</w:t>
      </w:r>
      <w:r w:rsidRPr="00D8725F">
        <w:rPr>
          <w:rFonts w:ascii="SimSun" w:eastAsia="SimSun" w:hAnsi="SimSun" w:hint="eastAsia"/>
        </w:rPr>
        <w:t>案例，覆盖了以下各方面：</w:t>
      </w:r>
      <w:r w:rsidRPr="00E23873">
        <w:rPr>
          <w:rFonts w:ascii="SimSun" w:eastAsia="SimSun" w:hAnsi="SimSun" w:hint="eastAsia"/>
        </w:rPr>
        <w:t>国内金融机构使用Teradata构建数据平台的情况</w:t>
      </w:r>
      <w:r w:rsidR="00E23873">
        <w:rPr>
          <w:rFonts w:ascii="SimSun" w:eastAsia="SimSun" w:hAnsi="SimSun" w:hint="eastAsia"/>
        </w:rPr>
        <w:t>、</w:t>
      </w:r>
      <w:r w:rsidRPr="00E23873">
        <w:rPr>
          <w:rFonts w:ascii="SimSun" w:eastAsia="SimSun" w:hAnsi="SimSun" w:hint="eastAsia"/>
        </w:rPr>
        <w:t>国内金融机构数据治理咨询案例</w:t>
      </w:r>
      <w:r w:rsidR="00E23873">
        <w:rPr>
          <w:rFonts w:ascii="SimSun" w:eastAsia="SimSun" w:hAnsi="SimSun" w:hint="eastAsia"/>
        </w:rPr>
        <w:t>和</w:t>
      </w:r>
      <w:r w:rsidRPr="00E23873">
        <w:rPr>
          <w:rFonts w:ascii="SimSun" w:eastAsia="SimSun" w:hAnsi="SimSun"/>
        </w:rPr>
        <w:t>Teradat</w:t>
      </w:r>
      <w:r w:rsidRPr="00E23873">
        <w:rPr>
          <w:rFonts w:ascii="SimSun" w:eastAsia="SimSun" w:hAnsi="SimSun" w:hint="eastAsia"/>
        </w:rPr>
        <w:t>a统一大数据案例</w:t>
      </w:r>
      <w:r w:rsidR="00E23873">
        <w:rPr>
          <w:rFonts w:ascii="SimSun" w:eastAsia="SimSun" w:hAnsi="SimSun" w:hint="eastAsia"/>
        </w:rPr>
        <w:t>。</w:t>
      </w:r>
    </w:p>
    <w:p w14:paraId="7F5382F1" w14:textId="4819AEFE" w:rsid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Teradata将为上海期货交易所在未来的发展道路上提供更多的数据平台规划和实施的经验，成为上海期货交易所与国内国际同业先进经验交流的桥梁和纽带。</w:t>
      </w:r>
    </w:p>
    <w:p w14:paraId="39171F86" w14:textId="77777777" w:rsidR="00F746FE" w:rsidRDefault="00F746FE" w:rsidP="00D8725F">
      <w:pPr>
        <w:spacing w:line="360" w:lineRule="auto"/>
        <w:ind w:firstLineChars="200" w:firstLine="480"/>
        <w:rPr>
          <w:rFonts w:ascii="SimSun" w:eastAsia="SimSun" w:hAnsi="SimSun"/>
        </w:rPr>
      </w:pPr>
    </w:p>
    <w:p w14:paraId="47211B44" w14:textId="77777777" w:rsidR="00F746FE" w:rsidRDefault="00F746FE" w:rsidP="00D8725F">
      <w:pPr>
        <w:spacing w:line="360" w:lineRule="auto"/>
        <w:ind w:firstLineChars="200" w:firstLine="480"/>
        <w:rPr>
          <w:rFonts w:ascii="SimSun" w:eastAsia="SimSun" w:hAnsi="SimSun"/>
        </w:rPr>
      </w:pPr>
    </w:p>
    <w:p w14:paraId="5C1FD366" w14:textId="77777777" w:rsidR="00F746FE" w:rsidRDefault="00F746FE" w:rsidP="00D8725F">
      <w:pPr>
        <w:spacing w:line="360" w:lineRule="auto"/>
        <w:ind w:firstLineChars="200" w:firstLine="480"/>
        <w:rPr>
          <w:rFonts w:ascii="SimSun" w:eastAsia="SimSun" w:hAnsi="SimSun"/>
        </w:rPr>
      </w:pPr>
    </w:p>
    <w:p w14:paraId="4BFDC5C6" w14:textId="77777777" w:rsidR="00F746FE" w:rsidRDefault="00F746FE" w:rsidP="00D8725F">
      <w:pPr>
        <w:spacing w:line="360" w:lineRule="auto"/>
        <w:ind w:firstLineChars="200" w:firstLine="480"/>
        <w:rPr>
          <w:rFonts w:ascii="SimSun" w:eastAsia="SimSun" w:hAnsi="SimSun"/>
        </w:rPr>
      </w:pPr>
    </w:p>
    <w:p w14:paraId="437AFB3B" w14:textId="60377FAA" w:rsidR="004A56EB" w:rsidRDefault="00462E99" w:rsidP="006F57BB">
      <w:pPr>
        <w:pStyle w:val="2"/>
      </w:pPr>
      <w:r>
        <w:rPr>
          <w:rFonts w:hint="eastAsia"/>
        </w:rPr>
        <w:lastRenderedPageBreak/>
        <w:t>证券</w:t>
      </w:r>
      <w:r w:rsidR="00DB15E8">
        <w:rPr>
          <w:rFonts w:hint="eastAsia"/>
        </w:rPr>
        <w:t>业案例</w:t>
      </w:r>
    </w:p>
    <w:p w14:paraId="4CB0E0A9" w14:textId="0E5A50FD" w:rsidR="00DB15E8" w:rsidRDefault="002E31A9" w:rsidP="00D27B81">
      <w:pPr>
        <w:pStyle w:val="3"/>
      </w:pPr>
      <w:r>
        <w:rPr>
          <w:rFonts w:hint="eastAsia"/>
        </w:rPr>
        <w:t>中国证券登记结算公司案例</w:t>
      </w:r>
    </w:p>
    <w:tbl>
      <w:tblPr>
        <w:tblStyle w:val="a5"/>
        <w:tblW w:w="8214" w:type="dxa"/>
        <w:tblLook w:val="04A0" w:firstRow="1" w:lastRow="0" w:firstColumn="1" w:lastColumn="0" w:noHBand="0" w:noVBand="1"/>
      </w:tblPr>
      <w:tblGrid>
        <w:gridCol w:w="3020"/>
        <w:gridCol w:w="5194"/>
      </w:tblGrid>
      <w:tr w:rsidR="00390851" w:rsidRPr="00390851" w14:paraId="03C37410" w14:textId="77777777" w:rsidTr="006C617F">
        <w:trPr>
          <w:trHeight w:val="320"/>
        </w:trPr>
        <w:tc>
          <w:tcPr>
            <w:tcW w:w="3020" w:type="dxa"/>
            <w:hideMark/>
          </w:tcPr>
          <w:p w14:paraId="176C3E75"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客户案例名称</w:t>
            </w:r>
          </w:p>
        </w:tc>
        <w:tc>
          <w:tcPr>
            <w:tcW w:w="5194" w:type="dxa"/>
            <w:hideMark/>
          </w:tcPr>
          <w:p w14:paraId="2EA4CFC5"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中国证券登记结算公司</w:t>
            </w:r>
          </w:p>
        </w:tc>
      </w:tr>
      <w:tr w:rsidR="00390851" w:rsidRPr="00390851" w14:paraId="075D7584" w14:textId="77777777" w:rsidTr="006C617F">
        <w:trPr>
          <w:trHeight w:val="1280"/>
        </w:trPr>
        <w:tc>
          <w:tcPr>
            <w:tcW w:w="3020" w:type="dxa"/>
            <w:hideMark/>
          </w:tcPr>
          <w:p w14:paraId="7C4845D4"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案例规模</w:t>
            </w:r>
          </w:p>
        </w:tc>
        <w:tc>
          <w:tcPr>
            <w:tcW w:w="5194" w:type="dxa"/>
            <w:hideMark/>
          </w:tcPr>
          <w:p w14:paraId="1FF01DD5" w14:textId="6612D84A" w:rsidR="00390851" w:rsidRDefault="00A64AAE" w:rsidP="00390851">
            <w:pPr>
              <w:widowControl/>
              <w:jc w:val="left"/>
              <w:rPr>
                <w:rFonts w:ascii="SimSun" w:eastAsia="SimSun" w:hAnsi="SimSun" w:cs="Times New Roman"/>
                <w:color w:val="000000" w:themeColor="text1"/>
                <w:kern w:val="0"/>
              </w:rPr>
            </w:pPr>
            <w:r>
              <w:rPr>
                <w:rFonts w:ascii="SimSun" w:eastAsia="SimSun" w:hAnsi="SimSun" w:cs="Times New Roman" w:hint="eastAsia"/>
                <w:color w:val="000000" w:themeColor="text1"/>
                <w:kern w:val="0"/>
              </w:rPr>
              <w:t>116</w:t>
            </w:r>
            <w:r w:rsidR="00462C5B" w:rsidRPr="00377E2F">
              <w:rPr>
                <w:rFonts w:ascii="SimSun" w:eastAsia="SimSun" w:hAnsi="SimSun" w:cs="Times New Roman" w:hint="eastAsia"/>
                <w:color w:val="000000" w:themeColor="text1"/>
                <w:kern w:val="0"/>
              </w:rPr>
              <w:t>T</w:t>
            </w:r>
            <w:r>
              <w:rPr>
                <w:rFonts w:ascii="SimSun" w:eastAsia="SimSun" w:hAnsi="SimSun" w:cs="Times New Roman" w:hint="eastAsia"/>
                <w:color w:val="000000" w:themeColor="text1"/>
                <w:kern w:val="0"/>
              </w:rPr>
              <w:t>（用户已使用）</w:t>
            </w:r>
            <w:r w:rsidR="008A765C">
              <w:rPr>
                <w:rFonts w:ascii="SimSun" w:eastAsia="SimSun" w:hAnsi="SimSun" w:cs="Times New Roman" w:hint="eastAsia"/>
                <w:color w:val="000000" w:themeColor="text1"/>
                <w:kern w:val="0"/>
              </w:rPr>
              <w:t>／</w:t>
            </w:r>
            <w:r w:rsidR="00E4704C">
              <w:rPr>
                <w:rFonts w:ascii="SimSun" w:eastAsia="SimSun" w:hAnsi="SimSun" w:cs="Times New Roman" w:hint="eastAsia"/>
                <w:color w:val="000000" w:themeColor="text1"/>
                <w:kern w:val="0"/>
              </w:rPr>
              <w:t>260</w:t>
            </w:r>
            <w:r w:rsidR="00794BC4">
              <w:rPr>
                <w:rFonts w:ascii="SimSun" w:eastAsia="SimSun" w:hAnsi="SimSun" w:cs="Times New Roman" w:hint="eastAsia"/>
                <w:color w:val="000000" w:themeColor="text1"/>
                <w:kern w:val="0"/>
              </w:rPr>
              <w:t>T</w:t>
            </w:r>
            <w:r>
              <w:rPr>
                <w:rFonts w:ascii="SimSun" w:eastAsia="SimSun" w:hAnsi="SimSun" w:cs="Times New Roman" w:hint="eastAsia"/>
                <w:color w:val="000000" w:themeColor="text1"/>
                <w:kern w:val="0"/>
              </w:rPr>
              <w:t>（最大空间）</w:t>
            </w:r>
          </w:p>
          <w:p w14:paraId="7BABC2CF" w14:textId="3ACE75A8" w:rsidR="00B660F3" w:rsidRPr="00B660F3" w:rsidRDefault="00B660F3" w:rsidP="00390851">
            <w:pPr>
              <w:widowControl/>
              <w:jc w:val="left"/>
              <w:rPr>
                <w:rFonts w:ascii="SimSun" w:eastAsia="SimSun" w:hAnsi="SimSun" w:cs="Times New Roman"/>
                <w:color w:val="FF0000"/>
                <w:kern w:val="0"/>
              </w:rPr>
            </w:pPr>
            <w:r>
              <w:rPr>
                <w:rFonts w:ascii="SimSun" w:eastAsia="SimSun" w:hAnsi="SimSun" w:cs="Times New Roman" w:hint="eastAsia"/>
                <w:color w:val="000000" w:themeColor="text1"/>
                <w:kern w:val="0"/>
              </w:rPr>
              <w:t>数百个分析应用</w:t>
            </w:r>
          </w:p>
        </w:tc>
      </w:tr>
      <w:tr w:rsidR="00390851" w:rsidRPr="00390851" w14:paraId="175B3FBD" w14:textId="77777777" w:rsidTr="006C617F">
        <w:trPr>
          <w:trHeight w:val="320"/>
        </w:trPr>
        <w:tc>
          <w:tcPr>
            <w:tcW w:w="3020" w:type="dxa"/>
            <w:hideMark/>
          </w:tcPr>
          <w:p w14:paraId="2771F53D"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实施范围</w:t>
            </w:r>
          </w:p>
        </w:tc>
        <w:tc>
          <w:tcPr>
            <w:tcW w:w="5194" w:type="dxa"/>
            <w:hideMark/>
          </w:tcPr>
          <w:p w14:paraId="59D9E60C"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详见案例说明部份</w:t>
            </w:r>
          </w:p>
        </w:tc>
      </w:tr>
      <w:tr w:rsidR="00390851" w:rsidRPr="00390851" w14:paraId="71AE57D2" w14:textId="77777777" w:rsidTr="006C617F">
        <w:trPr>
          <w:trHeight w:val="320"/>
        </w:trPr>
        <w:tc>
          <w:tcPr>
            <w:tcW w:w="3020" w:type="dxa"/>
            <w:hideMark/>
          </w:tcPr>
          <w:p w14:paraId="22A90649"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实施时间</w:t>
            </w:r>
          </w:p>
        </w:tc>
        <w:tc>
          <w:tcPr>
            <w:tcW w:w="5194" w:type="dxa"/>
            <w:hideMark/>
          </w:tcPr>
          <w:p w14:paraId="4962E314"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2000年至今</w:t>
            </w:r>
          </w:p>
        </w:tc>
      </w:tr>
      <w:tr w:rsidR="00390851" w:rsidRPr="00390851" w14:paraId="5B2208E2" w14:textId="77777777" w:rsidTr="006C617F">
        <w:trPr>
          <w:trHeight w:val="320"/>
        </w:trPr>
        <w:tc>
          <w:tcPr>
            <w:tcW w:w="3020" w:type="dxa"/>
            <w:hideMark/>
          </w:tcPr>
          <w:p w14:paraId="486C0029"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数据仓库+大数据技术</w:t>
            </w:r>
          </w:p>
        </w:tc>
        <w:tc>
          <w:tcPr>
            <w:tcW w:w="5194" w:type="dxa"/>
            <w:hideMark/>
          </w:tcPr>
          <w:p w14:paraId="724EFBE2"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数据仓库MPP</w:t>
            </w:r>
          </w:p>
        </w:tc>
      </w:tr>
      <w:tr w:rsidR="00390851" w:rsidRPr="00390851" w14:paraId="14EFF22A" w14:textId="77777777" w:rsidTr="006C617F">
        <w:trPr>
          <w:trHeight w:val="320"/>
        </w:trPr>
        <w:tc>
          <w:tcPr>
            <w:tcW w:w="3020" w:type="dxa"/>
            <w:hideMark/>
          </w:tcPr>
          <w:p w14:paraId="43BBA2A3"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数据治理咨询</w:t>
            </w:r>
          </w:p>
        </w:tc>
        <w:tc>
          <w:tcPr>
            <w:tcW w:w="5194" w:type="dxa"/>
            <w:hideMark/>
          </w:tcPr>
          <w:p w14:paraId="105B2D92" w14:textId="0EE3C1AE" w:rsidR="00390851" w:rsidRPr="00390851" w:rsidRDefault="00E2756E" w:rsidP="00D44955">
            <w:pPr>
              <w:widowControl/>
              <w:rPr>
                <w:rFonts w:ascii="SimSun" w:eastAsia="SimSun" w:hAnsi="SimSun" w:cs="Times New Roman"/>
                <w:b/>
                <w:bCs/>
                <w:color w:val="000000"/>
                <w:kern w:val="0"/>
              </w:rPr>
            </w:pPr>
            <w:r>
              <w:rPr>
                <w:rFonts w:ascii="SimSun" w:eastAsia="SimSun" w:hAnsi="SimSun" w:cs="Times New Roman" w:hint="eastAsia"/>
                <w:b/>
                <w:bCs/>
                <w:color w:val="000000"/>
                <w:kern w:val="0"/>
              </w:rPr>
              <w:t>无</w:t>
            </w:r>
          </w:p>
        </w:tc>
      </w:tr>
      <w:tr w:rsidR="00390851" w:rsidRPr="00390851" w14:paraId="70B36BBF" w14:textId="77777777" w:rsidTr="006C617F">
        <w:trPr>
          <w:trHeight w:val="320"/>
        </w:trPr>
        <w:tc>
          <w:tcPr>
            <w:tcW w:w="3020" w:type="dxa"/>
            <w:hideMark/>
          </w:tcPr>
          <w:p w14:paraId="5429EA9B"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系统架构</w:t>
            </w:r>
          </w:p>
        </w:tc>
        <w:tc>
          <w:tcPr>
            <w:tcW w:w="5194" w:type="dxa"/>
            <w:hideMark/>
          </w:tcPr>
          <w:p w14:paraId="671A22BC"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EDW数据架构</w:t>
            </w:r>
          </w:p>
        </w:tc>
      </w:tr>
      <w:tr w:rsidR="00390851" w:rsidRPr="00390851" w14:paraId="0CD9E396" w14:textId="77777777" w:rsidTr="006C617F">
        <w:trPr>
          <w:trHeight w:val="320"/>
        </w:trPr>
        <w:tc>
          <w:tcPr>
            <w:tcW w:w="3020" w:type="dxa"/>
            <w:hideMark/>
          </w:tcPr>
          <w:p w14:paraId="2E397C58"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主要技术特点</w:t>
            </w:r>
          </w:p>
        </w:tc>
        <w:tc>
          <w:tcPr>
            <w:tcW w:w="5194" w:type="dxa"/>
            <w:hideMark/>
          </w:tcPr>
          <w:p w14:paraId="414307D9" w14:textId="507D6F30" w:rsidR="00390851"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双系统互为灾备</w:t>
            </w:r>
          </w:p>
          <w:p w14:paraId="771BAD57" w14:textId="77777777" w:rsidR="00E2756E"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MPP高性能并行处理</w:t>
            </w:r>
          </w:p>
          <w:p w14:paraId="0B9D4962" w14:textId="77777777" w:rsidR="00E2756E"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证券行业数据模型落地实施</w:t>
            </w:r>
          </w:p>
          <w:p w14:paraId="6E63FC7B" w14:textId="12C8E1AE" w:rsidR="00E2756E" w:rsidRPr="00E2756E" w:rsidRDefault="00E2756E" w:rsidP="00D44955">
            <w:pPr>
              <w:widowControl/>
              <w:rPr>
                <w:rFonts w:ascii="SimSun" w:eastAsia="SimSun" w:hAnsi="SimSun" w:cs="Times New Roman"/>
                <w:b/>
                <w:bCs/>
                <w:color w:val="000000"/>
                <w:kern w:val="0"/>
              </w:rPr>
            </w:pPr>
            <w:r w:rsidRPr="000E696D">
              <w:rPr>
                <w:rFonts w:ascii="SimSun" w:eastAsia="SimSun" w:hAnsi="SimSun" w:cs="Times New Roman" w:hint="eastAsia"/>
                <w:bCs/>
                <w:color w:val="000000"/>
                <w:kern w:val="0"/>
              </w:rPr>
              <w:t>Tera</w:t>
            </w:r>
            <w:r w:rsidRPr="000E696D">
              <w:rPr>
                <w:rFonts w:ascii="SimSun" w:eastAsia="SimSun" w:hAnsi="SimSun" w:cs="Times New Roman"/>
                <w:bCs/>
                <w:color w:val="000000"/>
                <w:kern w:val="0"/>
              </w:rPr>
              <w:t>data</w:t>
            </w:r>
            <w:r w:rsidRPr="000E696D">
              <w:rPr>
                <w:rFonts w:ascii="SimSun" w:eastAsia="SimSun" w:hAnsi="SimSun" w:cs="Times New Roman" w:hint="eastAsia"/>
                <w:bCs/>
                <w:color w:val="000000"/>
                <w:kern w:val="0"/>
              </w:rPr>
              <w:t>数据平台咨询与实施方法论指导</w:t>
            </w:r>
          </w:p>
        </w:tc>
      </w:tr>
      <w:tr w:rsidR="00390851" w:rsidRPr="00390851" w14:paraId="4DD40AF9" w14:textId="77777777" w:rsidTr="006C617F">
        <w:trPr>
          <w:trHeight w:val="320"/>
        </w:trPr>
        <w:tc>
          <w:tcPr>
            <w:tcW w:w="3020" w:type="dxa"/>
            <w:hideMark/>
          </w:tcPr>
          <w:p w14:paraId="1DFCB05C"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现状</w:t>
            </w:r>
          </w:p>
        </w:tc>
        <w:tc>
          <w:tcPr>
            <w:tcW w:w="5194" w:type="dxa"/>
            <w:hideMark/>
          </w:tcPr>
          <w:p w14:paraId="02067C1D" w14:textId="01CF14E2" w:rsidR="00390851" w:rsidRPr="00D44955" w:rsidRDefault="00D44955" w:rsidP="00D44955">
            <w:pPr>
              <w:widowControl/>
              <w:rPr>
                <w:rFonts w:ascii="SimSun" w:eastAsia="SimSun" w:hAnsi="SimSun" w:cs="Times New Roman"/>
                <w:bCs/>
                <w:color w:val="000000"/>
                <w:kern w:val="0"/>
              </w:rPr>
            </w:pPr>
            <w:r w:rsidRPr="00D44955">
              <w:rPr>
                <w:rFonts w:ascii="SimSun" w:eastAsia="SimSun" w:hAnsi="SimSun" w:cs="Times New Roman" w:hint="eastAsia"/>
                <w:bCs/>
                <w:color w:val="000000"/>
                <w:kern w:val="0"/>
              </w:rPr>
              <w:t>持续运行中</w:t>
            </w:r>
          </w:p>
        </w:tc>
      </w:tr>
      <w:tr w:rsidR="00390851" w:rsidRPr="00390851" w14:paraId="422100AD" w14:textId="77777777" w:rsidTr="006C617F">
        <w:trPr>
          <w:trHeight w:val="320"/>
        </w:trPr>
        <w:tc>
          <w:tcPr>
            <w:tcW w:w="3020" w:type="dxa"/>
            <w:hideMark/>
          </w:tcPr>
          <w:p w14:paraId="5AB5D344"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主要参与人员</w:t>
            </w:r>
          </w:p>
        </w:tc>
        <w:tc>
          <w:tcPr>
            <w:tcW w:w="5194" w:type="dxa"/>
            <w:hideMark/>
          </w:tcPr>
          <w:p w14:paraId="0C76BC43" w14:textId="39582917" w:rsidR="00390851" w:rsidRPr="00426FA2" w:rsidRDefault="00A9183F" w:rsidP="00A9183F">
            <w:pPr>
              <w:widowControl/>
              <w:rPr>
                <w:rFonts w:ascii="SimSun" w:eastAsia="SimSun" w:hAnsi="SimSun" w:cs="Times New Roman"/>
                <w:bCs/>
                <w:color w:val="000000"/>
                <w:kern w:val="0"/>
              </w:rPr>
            </w:pPr>
            <w:r w:rsidRPr="00426FA2">
              <w:rPr>
                <w:rFonts w:ascii="SimSun" w:eastAsia="SimSun" w:hAnsi="SimSun" w:cs="Times New Roman" w:hint="eastAsia"/>
                <w:bCs/>
                <w:color w:val="000000"/>
                <w:kern w:val="0"/>
              </w:rPr>
              <w:t>钱某强、朱某翔、戴某华等</w:t>
            </w:r>
          </w:p>
        </w:tc>
      </w:tr>
      <w:tr w:rsidR="00390851" w:rsidRPr="00390851" w14:paraId="41627BF2" w14:textId="77777777" w:rsidTr="006C617F">
        <w:trPr>
          <w:trHeight w:val="320"/>
        </w:trPr>
        <w:tc>
          <w:tcPr>
            <w:tcW w:w="3020" w:type="dxa"/>
            <w:hideMark/>
          </w:tcPr>
          <w:p w14:paraId="0723B861"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经验</w:t>
            </w:r>
          </w:p>
        </w:tc>
        <w:tc>
          <w:tcPr>
            <w:tcW w:w="5194" w:type="dxa"/>
            <w:hideMark/>
          </w:tcPr>
          <w:p w14:paraId="00651851" w14:textId="298DB5E3" w:rsidR="00390851" w:rsidRPr="000E696D" w:rsidRDefault="000E696D" w:rsidP="000E696D">
            <w:pPr>
              <w:widowControl/>
              <w:rPr>
                <w:rFonts w:ascii="SimSun" w:eastAsia="SimSun" w:hAnsi="SimSun" w:cs="Times New Roman"/>
                <w:bCs/>
                <w:color w:val="000000"/>
                <w:kern w:val="0"/>
              </w:rPr>
            </w:pPr>
            <w:r w:rsidRPr="000E696D">
              <w:rPr>
                <w:rFonts w:ascii="SimSun" w:eastAsia="SimSun" w:hAnsi="SimSun" w:cs="Times New Roman" w:hint="eastAsia"/>
                <w:color w:val="000000"/>
                <w:kern w:val="0"/>
              </w:rPr>
              <w:t>证券行业咨询规划与实施经验，对数据源的理解、模型建设以及行业应用的快速构建</w:t>
            </w:r>
          </w:p>
        </w:tc>
      </w:tr>
    </w:tbl>
    <w:p w14:paraId="3EDED63B" w14:textId="77777777" w:rsidR="00390851" w:rsidRPr="00390851" w:rsidRDefault="00390851" w:rsidP="00390851"/>
    <w:p w14:paraId="6E149CA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中国证券登记结算有限公司依据《中华人民共和国证券法》和《中华人民共和国公司法》组建。公司总资本为人民币12亿元，上海、深圳证券交易所是公司的两个股东，各持50％的股份。公司总部设在北京，下设上海、深圳两个分公司。中国证监会是公司的主管部门。 </w:t>
      </w:r>
    </w:p>
    <w:p w14:paraId="27CB2A15"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2001年3月30日，按照《证券法》关于证券登记结算集中统一运营的要求，经国务院同意，中国证监会批准，中国结算组建成立。同年9月，中国结算上海、深圳分公司正式成立。从2001年10月1日起，中国结算承接了原来隶属于上海</w:t>
      </w:r>
      <w:r w:rsidRPr="007D199B">
        <w:rPr>
          <w:rFonts w:ascii="SimSun" w:eastAsia="SimSun" w:hAnsi="SimSun"/>
        </w:rPr>
        <w:lastRenderedPageBreak/>
        <w:t xml:space="preserve">和深圳证券交易所的全部登记结算业务，标志着全国集中统一的证券登记结算体制的组织架构已经基本形成。 </w:t>
      </w:r>
    </w:p>
    <w:p w14:paraId="381A391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公司的宗旨是，建立一个符合规范化、市场化和国际化要求，具有开放性、拓展性特点，有效防范市场风险和提高市场效率，能够更好地为中国证券市场未来发展服务的集中统一的证券登记结算体系。 </w:t>
      </w:r>
    </w:p>
    <w:p w14:paraId="610C78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按照《证券法》和《证券登记结算管理办法》的相关规定，中国结算履行下列职能： </w:t>
      </w:r>
    </w:p>
    <w:p w14:paraId="36813857" w14:textId="2B7B708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证券账户、结算账户的设立和管理； </w:t>
      </w:r>
    </w:p>
    <w:p w14:paraId="165B2C3D" w14:textId="3998A45D"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证券的存管和过户； </w:t>
      </w:r>
    </w:p>
    <w:p w14:paraId="42BCD057" w14:textId="2FE65BE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证券持有人名册登记及权益登记； </w:t>
      </w:r>
    </w:p>
    <w:p w14:paraId="60916B93" w14:textId="336077C6"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证券和资金的清算交收及相关管理； </w:t>
      </w:r>
    </w:p>
    <w:p w14:paraId="45D8DBAA" w14:textId="16DFAC04"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受发行人的委托派发证券权益； </w:t>
      </w:r>
    </w:p>
    <w:p w14:paraId="2B6FECDD" w14:textId="1DD6DB10"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依法提供与证券登记结算业务有关的查询、信息、咨询和培训服务； </w:t>
      </w:r>
    </w:p>
    <w:p w14:paraId="7FDEA788" w14:textId="1AA6E952" w:rsidR="007D199B" w:rsidRPr="00350E5D" w:rsidRDefault="007D199B" w:rsidP="002F6FF5">
      <w:pPr>
        <w:pStyle w:val="a3"/>
        <w:numPr>
          <w:ilvl w:val="0"/>
          <w:numId w:val="21"/>
        </w:numPr>
        <w:spacing w:line="360" w:lineRule="auto"/>
        <w:ind w:firstLineChars="0"/>
        <w:rPr>
          <w:rFonts w:ascii="SimSun" w:eastAsia="SimSun" w:hAnsi="SimSun"/>
        </w:rPr>
      </w:pPr>
      <w:r w:rsidRPr="00350E5D">
        <w:rPr>
          <w:rFonts w:ascii="SimSun" w:eastAsia="SimSun" w:hAnsi="SimSun"/>
          <w:u w:val="single"/>
        </w:rPr>
        <w:t>中国证监会批准的其他业务。</w:t>
      </w:r>
      <w:r w:rsidRPr="00350E5D">
        <w:rPr>
          <w:rFonts w:ascii="SimSun" w:eastAsia="SimSun" w:hAnsi="SimSun"/>
        </w:rPr>
        <w:t xml:space="preserve"> </w:t>
      </w:r>
    </w:p>
    <w:p w14:paraId="1BCE1707" w14:textId="1B48199D" w:rsidR="007D199B" w:rsidRPr="007D199B" w:rsidRDefault="007D199B" w:rsidP="00A726CF">
      <w:pPr>
        <w:pStyle w:val="4"/>
      </w:pPr>
      <w:r w:rsidRPr="007D199B">
        <w:t>项目背景</w:t>
      </w:r>
    </w:p>
    <w:p w14:paraId="4C561C84" w14:textId="3546E95A"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项目背景</w:t>
      </w:r>
    </w:p>
    <w:p w14:paraId="1E90DDE7" w14:textId="01EBC2CA" w:rsidR="007D199B" w:rsidRPr="007D199B" w:rsidRDefault="006205AA" w:rsidP="006205AA">
      <w:pPr>
        <w:spacing w:line="360" w:lineRule="auto"/>
        <w:rPr>
          <w:rFonts w:ascii="SimSun" w:eastAsia="SimSun" w:hAnsi="SimSun"/>
        </w:rPr>
      </w:pPr>
      <w:r>
        <w:rPr>
          <w:rFonts w:ascii="SimSun" w:eastAsia="SimSun" w:hAnsi="SimSun" w:hint="eastAsia"/>
        </w:rPr>
        <w:t xml:space="preserve">    </w:t>
      </w:r>
      <w:r w:rsidR="007D199B" w:rsidRPr="007D199B">
        <w:rPr>
          <w:rFonts w:ascii="SimSun" w:eastAsia="SimSun" w:hAnsi="SimSun"/>
        </w:rPr>
        <w:t>中国证券登记结算有限责任公司是我国证券交易市场唯一的证券登记结算机构，公司宗旨是建立一个符合规范化、市场化和国际化要求，具有开放性、拓展性特点，有效防范市场风险和提高市场效率，能够更好地为我国证券市场未来发展服务的集中统一的证券登记结算体系。围绕上述公司宗旨，公司把建设一个先进的、统一的数据处理中心和信息应用服务体系作为IT建设的重要任务。</w:t>
      </w:r>
    </w:p>
    <w:p w14:paraId="369DBA9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lastRenderedPageBreak/>
        <w:t>随着证券市场的发展，证券监管机构、公司业务部门、证券市场对决策支持、风险防范和市场服务的需求越来越迫切，通常，这些服务需求都需要基于比较长期的历史数据，并且对数据的全面性和完整性的要求也很高，需要对沪、深两个证券市场的数据进行深入比较和分析。这些都需要建立一个跨沪、深两个证券市场的、全行业统一的、完整的、权威的、高效实用的数据仓库系统。</w:t>
      </w:r>
    </w:p>
    <w:p w14:paraId="5C0CEE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将采集整理来自上海、深圳证券市场的登记结算业务基础数据，以及来自证券公司的客户保证金明细数据，并在其上开发综合应用，以满足监管机构、公司各业务部门及市场参与主体的各类数据需求。通过预定义报表、关键指标监控、即席查询和专题分析等多种形式，面向监管机构和公司管理部门，实现决策支持、风险防范等目标；有效利用数据资源，实现数据信息共享，通过网上自助服务和数据服务平台为证券公司、上市公司、投资人等提供信息服务。</w:t>
      </w:r>
    </w:p>
    <w:p w14:paraId="77303428" w14:textId="77777777" w:rsidR="007D199B" w:rsidRPr="007D199B" w:rsidRDefault="007D199B" w:rsidP="007D199B">
      <w:pPr>
        <w:spacing w:line="360" w:lineRule="auto"/>
        <w:ind w:firstLineChars="200" w:firstLine="480"/>
        <w:rPr>
          <w:rFonts w:ascii="SimSun" w:eastAsia="SimSun" w:hAnsi="SimSun"/>
        </w:rPr>
      </w:pPr>
    </w:p>
    <w:p w14:paraId="0F4DDEC4" w14:textId="7580A190"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发展历程</w:t>
      </w:r>
    </w:p>
    <w:p w14:paraId="3967BEF9"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中国结算数据仓库系统采用分步实施的手段进行建设，各个阶段具体实施的内容如下：</w:t>
      </w:r>
    </w:p>
    <w:p w14:paraId="5C163205" w14:textId="1F6DD629"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一期实施重点是搭建集中的、一致的、可扩展的数据仓库平台；建立以参与人为中心、基于详细数据、符合第三范式（3NF）、反映中国证券登记结算整体市场业务规则的逻辑数据模型；实现中国结算数据的集中存储；完成对业务术语及其定义的统一化、清算路径的统一化、市场参与主体编码的统一化和业务统计口径的统一化；实现基础信息查询和日常固定报表应用，向公司总部领导与各职能部门提供日常业务查询统</w:t>
      </w:r>
      <w:r w:rsidRPr="00D05470">
        <w:rPr>
          <w:rFonts w:ascii="SimSun" w:eastAsia="SimSun" w:hAnsi="SimSun"/>
        </w:rPr>
        <w:lastRenderedPageBreak/>
        <w:t>计和监管报表下载。</w:t>
      </w:r>
    </w:p>
    <w:p w14:paraId="5A89C24E" w14:textId="53BDA13C"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二期实施重点从基础设施建设转移到应用建设上。在应用建设方面，在一期基础信息查询和日常固定报表应用的基础上，加强了信息查询功能，包括向中国证监会中央数据分析系统按照日、周、月、季、半年、年不同时点自动报送数据；向公司总部提供关键指标监控；为公司各职能部门提供即席查询和专题分析；完善面向上市公司的股东名册服务；建立面向结算参与人的登记结算信息查询服务；通过中国结算网站向投资人提供证券持有查询服务；实现对股东大会网上投票服务。在数据建设方面，将中国结算开放式基金TA系统的相关数据集成到数据仓库系统中。</w:t>
      </w:r>
    </w:p>
    <w:p w14:paraId="71F01807" w14:textId="2CDF596F"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三期实施重点主要是应用增强和市场服务，包括证券公司客户保证金数据报送系统建设；结算参与人风险分析系统建设；结算参与人数据服务系统建设；证监会机构监管综合信息系统配合建设；开放式基金系统管理人服务系统的建设；两市互查服务等。在数据建设方面，将证券公司客户保证金数据和上海历史数据集成到数据仓库系统中。</w:t>
      </w:r>
    </w:p>
    <w:p w14:paraId="23D3AA4F" w14:textId="706A0FD6"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经过三期项目的持续发展，数据品种不断增加，应用功能逐渐丰富，系统价值持续提升。</w:t>
      </w:r>
    </w:p>
    <w:p w14:paraId="44EF7462" w14:textId="77777777" w:rsidR="000F7023" w:rsidRDefault="000F7023" w:rsidP="007D199B">
      <w:pPr>
        <w:spacing w:line="360" w:lineRule="auto"/>
        <w:ind w:firstLineChars="200" w:firstLine="480"/>
        <w:rPr>
          <w:rFonts w:ascii="SimSun" w:eastAsia="SimSun" w:hAnsi="SimSun"/>
        </w:rPr>
      </w:pPr>
    </w:p>
    <w:p w14:paraId="0A395E1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到了2012年，中国证券登记结算有限责任公司数据仓库系统已初步成为一个数据全面、功能丰富、性能卓越的综合信息服务平台。数据仓库系统已发展到企业级数据仓库系统建设阶段，伴随着入仓数据以及应用的快速扩张，数据仓库系统的数据量以及用户访问量也飞速发展。EDW原有的空间性能、稳定性已经很</w:t>
      </w:r>
      <w:r w:rsidRPr="007D199B">
        <w:rPr>
          <w:rFonts w:ascii="SimSun" w:eastAsia="SimSun" w:hAnsi="SimSun"/>
        </w:rPr>
        <w:lastRenderedPageBreak/>
        <w:t>难适应后续的发展，为保障EDW的稳定运行，高效地支撑应用系统的建设，并考虑到对原有应用系统建设的投资保护而实现新老系统之间应用的无缝移植，同时增强信息系统的抗风险能力，</w:t>
      </w:r>
    </w:p>
    <w:p w14:paraId="55DB2D1C"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2012年中期，中国证券登记结算有限责任公司决定对EDW生产系统进行升级改造，继续采用Teradata平台和“双系统架构”设计来建设同城备份系统。2013年，中国结算数据仓库系统实现了双系统架构，这是继“上海证券交易所”、“交通银行”、“北京地铁”之后，Teradata在国内的第四例数据仓库双系统成功案例。</w:t>
      </w:r>
    </w:p>
    <w:p w14:paraId="545E7113" w14:textId="3A882799" w:rsidR="007D199B" w:rsidRPr="003447CD" w:rsidRDefault="007D199B" w:rsidP="00A726CF">
      <w:pPr>
        <w:pStyle w:val="4"/>
      </w:pPr>
      <w:r w:rsidRPr="003447CD">
        <w:t>项目成果</w:t>
      </w:r>
    </w:p>
    <w:p w14:paraId="4624C0F1" w14:textId="491B1D7B"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数据仓库系统的项目成果</w:t>
      </w:r>
    </w:p>
    <w:p w14:paraId="0B0AABA1" w14:textId="06F4CBB6"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ETL服务平台</w:t>
      </w:r>
    </w:p>
    <w:p w14:paraId="3366FD4E"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ETL服务平台包括：ETL源数据获取及处理、ETL知识库、ETL Automation 、ETL错误处理服务、ETL监控等。</w:t>
      </w:r>
    </w:p>
    <w:p w14:paraId="11106D8F" w14:textId="038AB1BA"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数据归并和整理服务</w:t>
      </w:r>
    </w:p>
    <w:p w14:paraId="3E47C0B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由于上海、深圳市场登记结算系统是彼此独立的，数据间没有关联关系。当需要统计投资人在整体市场上的信息时，需要从两个系统分别获取数据，再进行整合，无法直接获取。为了建立整个中国证券市场的单一视图，中国结算数据仓库系统进行了数据归并和整理，服务内容主要包括：统一沪深结算参与人编码，建立统一的结算参与人编码和沪深结算参与人编码之间的关系；整理上市公司、沪深证券信息，建立上市公司和沪深证券之间的关系；整理投资人统一编码及相关数据的对应关系等。</w:t>
      </w:r>
    </w:p>
    <w:p w14:paraId="61B92E68" w14:textId="0D115200"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lastRenderedPageBreak/>
        <w:t>应用服务平台和信息服务平台</w:t>
      </w:r>
    </w:p>
    <w:p w14:paraId="1836244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应用服务平台集成了企业应用资源，包括前端界面的整合和使用权限的整合；提供了统一的服务入口、个性化的页面展现，使用户对系统中集成的业务功能操作更方便、快捷。</w:t>
      </w:r>
    </w:p>
    <w:p w14:paraId="701A58C2"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信息服务平台是信息使用者和信息提供者的桥梁。用户可以通过信息服务平台访问或使用信息；信息服务平台提供与其他各种信息资源的接口，如数据仓库等。信息服务平台作为中国结算数据仓库系统对外提供信息服务的数据访问通道，隔离了内部系统和外部访问，使内部系统免受由于外部直接访问可能造成的危害，提高了安全性。</w:t>
      </w:r>
    </w:p>
    <w:p w14:paraId="3DCC07AF" w14:textId="6F8FC953"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应用功能体系</w:t>
      </w:r>
    </w:p>
    <w:p w14:paraId="574F8C2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的应用功能分为：指标快报、登记结算信息统计分析系统、结算参与人风险分析系统、开放式基金管理人服务系统、专题分析系统、综合报表系统、对方市场查询服务、证监会机构监管综合信息系统、结算参与人数据服务系统、系统管理等。</w:t>
      </w:r>
    </w:p>
    <w:p w14:paraId="21BFB9BD" w14:textId="77777777" w:rsidR="007D199B" w:rsidRPr="007D199B" w:rsidRDefault="007D199B" w:rsidP="007D199B">
      <w:pPr>
        <w:spacing w:line="360" w:lineRule="auto"/>
        <w:ind w:firstLineChars="200" w:firstLine="480"/>
        <w:rPr>
          <w:rFonts w:ascii="SimSun" w:eastAsia="SimSun" w:hAnsi="SimSun"/>
        </w:rPr>
      </w:pPr>
    </w:p>
    <w:p w14:paraId="534542C7" w14:textId="0F9930D8"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数据仓库“双系统架构”的建设成果</w:t>
      </w:r>
    </w:p>
    <w:p w14:paraId="231FB233"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应用访问控制方面，采用EDW生产主机系统和灾备系统同时运行的“双系统”方案，在双系统方案，由各自独立的应用服务器提供访问接入，各应用的用户访问路由已经事先设定，当EDW生产主机发生故障时以手工切换IP地址方法将用户访问的路由指向灾备系统。</w:t>
      </w:r>
    </w:p>
    <w:p w14:paraId="1204033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在数据同步方式方面，根据不同应用的容灾需求，确定不同的数据同步方式，多种数据同步方式有可能会被同时采用。</w:t>
      </w:r>
    </w:p>
    <w:p w14:paraId="3EFBAFF7" w14:textId="25A00ACA"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lastRenderedPageBreak/>
        <w:t>数据“双加载”：源数据都同时通过ETL服务器加载到EDW与灾备的两套生产系统中。</w:t>
      </w:r>
    </w:p>
    <w:p w14:paraId="589A7AE9" w14:textId="07CAB131"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数据“单加载、再同步”：源数据首先加载到EDW中，然后通过数据同步将EDW中的数据复制到灾备系统中。</w:t>
      </w:r>
    </w:p>
    <w:p w14:paraId="396A10D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在设备选型方面，灾备系统平台与主数据仓库EDW系统架构保持一致，采用MPP海量并行处理体系，满足企业级数据仓库的应用需求，采用数据仓库一体机，具备线性扩展能力；</w:t>
      </w:r>
    </w:p>
    <w:p w14:paraId="3515CE6B"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在双系统架构实现后，当任何一套系统不可用时，都可以将应用访问切换到可用的系统中。对于重要性高且时效性要求高的应用，应做到切换的时间最短，最大程度降低故障对应用访问和数据输出的影响。</w:t>
      </w:r>
    </w:p>
    <w:p w14:paraId="209CBA70" w14:textId="77777777" w:rsidR="007D199B" w:rsidRPr="007D199B" w:rsidRDefault="007D199B" w:rsidP="007D199B">
      <w:pPr>
        <w:spacing w:line="360" w:lineRule="auto"/>
        <w:ind w:firstLineChars="200" w:firstLine="480"/>
        <w:rPr>
          <w:rFonts w:ascii="SimSun" w:eastAsia="SimSun" w:hAnsi="SimSun"/>
        </w:rPr>
      </w:pPr>
    </w:p>
    <w:p w14:paraId="37A90CD1" w14:textId="550E2EDC" w:rsidR="007D199B" w:rsidRPr="00156D8C" w:rsidRDefault="007D199B" w:rsidP="002F6FF5">
      <w:pPr>
        <w:pStyle w:val="a3"/>
        <w:numPr>
          <w:ilvl w:val="1"/>
          <w:numId w:val="5"/>
        </w:numPr>
        <w:spacing w:line="360" w:lineRule="auto"/>
        <w:ind w:firstLineChars="0"/>
        <w:rPr>
          <w:rFonts w:ascii="SimSun" w:eastAsia="SimSun" w:hAnsi="SimSun"/>
          <w:b/>
        </w:rPr>
      </w:pPr>
      <w:r w:rsidRPr="00156D8C">
        <w:rPr>
          <w:rFonts w:ascii="SimSun" w:eastAsia="SimSun" w:hAnsi="SimSun"/>
          <w:b/>
        </w:rPr>
        <w:t>2015数据仓库生产系统扩容</w:t>
      </w:r>
    </w:p>
    <w:p w14:paraId="6B5D754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原数据仓库生产系统采用(4+2)6650H，经过3年多的运行，性能和容量都无法满足业务的需要。在性能方面，日间CPU使用率高达75-80%，峰值时段甚至达到85-95%，日间CPU使用率瞬间上冲到100%的情况时有发生，系统资源在支持日间频繁的查询和统计分析任务时已出现严重瓶颈。在容量方面，用户可用容量使用率已经接近100%，通过采取压缩DBC空间、对数据表进行多值压缩、调整PI倾斜表等手段获得部分空间。</w:t>
      </w:r>
    </w:p>
    <w:p w14:paraId="7B683BD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解决EDW生产系统性能和容量不足的根本办法是启动扩容方案，即利用新系统代替现有旧系统，使性能获得一定的提升，容量满足近2年内需求。于是中登在2015年6月正式启动了扩容。</w:t>
      </w:r>
    </w:p>
    <w:p w14:paraId="68CBAED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经过测算，中登决定采用16节点Teradata 2800作为扩容的新设备，16节</w:t>
      </w:r>
      <w:r w:rsidRPr="007D199B">
        <w:rPr>
          <w:rFonts w:ascii="SimSun" w:eastAsia="SimSun" w:hAnsi="SimSun"/>
        </w:rPr>
        <w:lastRenderedPageBreak/>
        <w:t>点Teradata 2800作为数据仓库EDW生产系统，而替换下来的（4+2）6650作为数据集市生产系统。按照Teradata不同系列的定位，6系列面向以复杂灵活查询为主的应用，有高的磁盘I/O性能；2系列面向CPU密集型应用。而随着计算机技术发展，尤其是CPU性能、内存等技术的发展，使最新型号的2系列平台，在硬件的配置和性能上比几年前的6系列平台有大幅地增强。另外，新版本数据库带来的新特性，使最新型号的2系列平台在软件方面的行列混合存储、混合负载管理、系统管理等方面也大大优于几年前的6系列平台。</w:t>
      </w:r>
    </w:p>
    <w:p w14:paraId="68FF804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16节点Teradata 2800的非压缩数据库总空间达到了260TB，是原有系统的5倍。其它性能指标（如I/O吞吐、内存、CPU性能、网络连接速率）等也有较大的提升，综合评估，16节点Teradata 2800的综合性能是原有系统(4+2)6650H的2-3倍以上。</w:t>
      </w:r>
    </w:p>
    <w:p w14:paraId="2CE97F5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2015年10月，中登完成了数据仓库生产系统的扩容，16节点Teradata 2800正式成为EDW生产系统。扩容后系统总体性能有很大提高：加载约2倍左右，转换任务在4-5倍”，扩容过程达到了预期的效果。</w:t>
      </w:r>
    </w:p>
    <w:p w14:paraId="39E1BB40" w14:textId="77777777" w:rsidR="002E31A9" w:rsidRPr="007D199B" w:rsidRDefault="002E31A9"/>
    <w:p w14:paraId="23D948B7" w14:textId="16C76681" w:rsidR="002E31A9" w:rsidRDefault="002E31A9" w:rsidP="00D27B81">
      <w:pPr>
        <w:pStyle w:val="3"/>
      </w:pPr>
      <w:r>
        <w:rPr>
          <w:rFonts w:hint="eastAsia"/>
        </w:rPr>
        <w:t>上海证券交易所案例</w:t>
      </w:r>
    </w:p>
    <w:tbl>
      <w:tblPr>
        <w:tblStyle w:val="a5"/>
        <w:tblW w:w="7940" w:type="dxa"/>
        <w:tblLook w:val="04A0" w:firstRow="1" w:lastRow="0" w:firstColumn="1" w:lastColumn="0" w:noHBand="0" w:noVBand="1"/>
      </w:tblPr>
      <w:tblGrid>
        <w:gridCol w:w="3020"/>
        <w:gridCol w:w="4920"/>
      </w:tblGrid>
      <w:tr w:rsidR="00750763" w:rsidRPr="00750763" w14:paraId="2225035A" w14:textId="77777777" w:rsidTr="00750763">
        <w:trPr>
          <w:trHeight w:val="320"/>
        </w:trPr>
        <w:tc>
          <w:tcPr>
            <w:tcW w:w="3020" w:type="dxa"/>
            <w:hideMark/>
          </w:tcPr>
          <w:p w14:paraId="1BA53747"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客户案例名称</w:t>
            </w:r>
          </w:p>
        </w:tc>
        <w:tc>
          <w:tcPr>
            <w:tcW w:w="4920" w:type="dxa"/>
            <w:hideMark/>
          </w:tcPr>
          <w:p w14:paraId="2C465B30"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上海证券交易所案例</w:t>
            </w:r>
          </w:p>
        </w:tc>
      </w:tr>
      <w:tr w:rsidR="00750763" w:rsidRPr="00750763" w14:paraId="08BB58F2" w14:textId="77777777" w:rsidTr="00750763">
        <w:trPr>
          <w:trHeight w:val="640"/>
        </w:trPr>
        <w:tc>
          <w:tcPr>
            <w:tcW w:w="3020" w:type="dxa"/>
            <w:hideMark/>
          </w:tcPr>
          <w:p w14:paraId="00FE4F0B"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案例规模</w:t>
            </w:r>
          </w:p>
        </w:tc>
        <w:tc>
          <w:tcPr>
            <w:tcW w:w="4920" w:type="dxa"/>
            <w:hideMark/>
          </w:tcPr>
          <w:p w14:paraId="372B0714"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涉及40+部门，累计发布1200+应用、数据量42T</w:t>
            </w:r>
          </w:p>
        </w:tc>
      </w:tr>
      <w:tr w:rsidR="00750763" w:rsidRPr="00750763" w14:paraId="2AF6E330" w14:textId="77777777" w:rsidTr="00750763">
        <w:trPr>
          <w:trHeight w:val="320"/>
        </w:trPr>
        <w:tc>
          <w:tcPr>
            <w:tcW w:w="3020" w:type="dxa"/>
            <w:hideMark/>
          </w:tcPr>
          <w:p w14:paraId="164FF038"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实施范围</w:t>
            </w:r>
          </w:p>
        </w:tc>
        <w:tc>
          <w:tcPr>
            <w:tcW w:w="4920" w:type="dxa"/>
            <w:hideMark/>
          </w:tcPr>
          <w:p w14:paraId="13BF3F95"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详见案例说明部份</w:t>
            </w:r>
          </w:p>
        </w:tc>
      </w:tr>
      <w:tr w:rsidR="00750763" w:rsidRPr="00750763" w14:paraId="6F86E48D" w14:textId="77777777" w:rsidTr="00750763">
        <w:trPr>
          <w:trHeight w:val="320"/>
        </w:trPr>
        <w:tc>
          <w:tcPr>
            <w:tcW w:w="3020" w:type="dxa"/>
            <w:hideMark/>
          </w:tcPr>
          <w:p w14:paraId="5C767AC8"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实施时间</w:t>
            </w:r>
          </w:p>
        </w:tc>
        <w:tc>
          <w:tcPr>
            <w:tcW w:w="4920" w:type="dxa"/>
            <w:hideMark/>
          </w:tcPr>
          <w:p w14:paraId="48513C66"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2002年至今</w:t>
            </w:r>
          </w:p>
        </w:tc>
      </w:tr>
      <w:tr w:rsidR="00750763" w:rsidRPr="00750763" w14:paraId="4A0E9217" w14:textId="77777777" w:rsidTr="00750763">
        <w:trPr>
          <w:trHeight w:val="320"/>
        </w:trPr>
        <w:tc>
          <w:tcPr>
            <w:tcW w:w="3020" w:type="dxa"/>
            <w:hideMark/>
          </w:tcPr>
          <w:p w14:paraId="24FAEAB6"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数据仓库+大数据技术</w:t>
            </w:r>
          </w:p>
        </w:tc>
        <w:tc>
          <w:tcPr>
            <w:tcW w:w="4920" w:type="dxa"/>
            <w:hideMark/>
          </w:tcPr>
          <w:p w14:paraId="490B1AC3"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数据仓库MPP、Aster</w:t>
            </w:r>
          </w:p>
        </w:tc>
      </w:tr>
      <w:tr w:rsidR="00750763" w:rsidRPr="00750763" w14:paraId="71E3D74B" w14:textId="77777777" w:rsidTr="00750763">
        <w:trPr>
          <w:trHeight w:val="320"/>
        </w:trPr>
        <w:tc>
          <w:tcPr>
            <w:tcW w:w="3020" w:type="dxa"/>
            <w:hideMark/>
          </w:tcPr>
          <w:p w14:paraId="2C0761BC"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数据治理咨询</w:t>
            </w:r>
          </w:p>
        </w:tc>
        <w:tc>
          <w:tcPr>
            <w:tcW w:w="4920" w:type="dxa"/>
            <w:hideMark/>
          </w:tcPr>
          <w:p w14:paraId="323D39EC"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目前正在规划数据治理咨询项目</w:t>
            </w:r>
          </w:p>
        </w:tc>
      </w:tr>
      <w:tr w:rsidR="00750763" w:rsidRPr="00750763" w14:paraId="58F978A0" w14:textId="77777777" w:rsidTr="00750763">
        <w:trPr>
          <w:trHeight w:val="320"/>
        </w:trPr>
        <w:tc>
          <w:tcPr>
            <w:tcW w:w="3020" w:type="dxa"/>
            <w:hideMark/>
          </w:tcPr>
          <w:p w14:paraId="4CC739CD"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系统架构</w:t>
            </w:r>
          </w:p>
        </w:tc>
        <w:tc>
          <w:tcPr>
            <w:tcW w:w="4920" w:type="dxa"/>
            <w:hideMark/>
          </w:tcPr>
          <w:p w14:paraId="12015A7F"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EDW双活数据架构</w:t>
            </w:r>
          </w:p>
        </w:tc>
      </w:tr>
      <w:tr w:rsidR="00750763" w:rsidRPr="00750763" w14:paraId="09E8157A" w14:textId="77777777" w:rsidTr="00750763">
        <w:trPr>
          <w:trHeight w:val="1280"/>
        </w:trPr>
        <w:tc>
          <w:tcPr>
            <w:tcW w:w="3020" w:type="dxa"/>
            <w:hideMark/>
          </w:tcPr>
          <w:p w14:paraId="75957EB1"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lastRenderedPageBreak/>
              <w:t>主要技术特点</w:t>
            </w:r>
          </w:p>
        </w:tc>
        <w:tc>
          <w:tcPr>
            <w:tcW w:w="4920" w:type="dxa"/>
            <w:hideMark/>
          </w:tcPr>
          <w:p w14:paraId="032A5413"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数据仓库整体规划与咨询</w:t>
            </w:r>
            <w:r w:rsidRPr="00750763">
              <w:rPr>
                <w:rFonts w:ascii="DengXian" w:eastAsia="DengXian" w:hAnsi="DengXian" w:cs="Times New Roman" w:hint="eastAsia"/>
                <w:color w:val="000000"/>
                <w:kern w:val="0"/>
              </w:rPr>
              <w:br/>
              <w:t>海量数据存储</w:t>
            </w:r>
            <w:r w:rsidRPr="00750763">
              <w:rPr>
                <w:rFonts w:ascii="DengXian" w:eastAsia="DengXian" w:hAnsi="DengXian" w:cs="Times New Roman" w:hint="eastAsia"/>
                <w:color w:val="000000"/>
                <w:kern w:val="0"/>
              </w:rPr>
              <w:br/>
              <w:t>并行计算</w:t>
            </w:r>
            <w:r w:rsidRPr="00750763">
              <w:rPr>
                <w:rFonts w:ascii="DengXian" w:eastAsia="DengXian" w:hAnsi="DengXian" w:cs="Times New Roman" w:hint="eastAsia"/>
                <w:color w:val="000000"/>
                <w:kern w:val="0"/>
              </w:rPr>
              <w:br/>
              <w:t>Teradata金融行业数据模型实施</w:t>
            </w:r>
          </w:p>
        </w:tc>
      </w:tr>
      <w:tr w:rsidR="00750763" w:rsidRPr="00750763" w14:paraId="442BBF9B" w14:textId="77777777" w:rsidTr="00750763">
        <w:trPr>
          <w:trHeight w:val="320"/>
        </w:trPr>
        <w:tc>
          <w:tcPr>
            <w:tcW w:w="3020" w:type="dxa"/>
            <w:hideMark/>
          </w:tcPr>
          <w:p w14:paraId="278CA21F"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现状</w:t>
            </w:r>
          </w:p>
        </w:tc>
        <w:tc>
          <w:tcPr>
            <w:tcW w:w="4920" w:type="dxa"/>
            <w:hideMark/>
          </w:tcPr>
          <w:p w14:paraId="59343D97"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持续投产运行中</w:t>
            </w:r>
          </w:p>
        </w:tc>
      </w:tr>
      <w:tr w:rsidR="00750763" w:rsidRPr="00750763" w14:paraId="5C07FCA9" w14:textId="77777777" w:rsidTr="00750763">
        <w:trPr>
          <w:trHeight w:val="640"/>
        </w:trPr>
        <w:tc>
          <w:tcPr>
            <w:tcW w:w="3020" w:type="dxa"/>
            <w:hideMark/>
          </w:tcPr>
          <w:p w14:paraId="5D627520"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主要参与人员</w:t>
            </w:r>
          </w:p>
        </w:tc>
        <w:tc>
          <w:tcPr>
            <w:tcW w:w="4920" w:type="dxa"/>
            <w:hideMark/>
          </w:tcPr>
          <w:p w14:paraId="253421F8" w14:textId="4175394F"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肖</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东、卫</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毅、谢</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静、陈</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翀等</w:t>
            </w:r>
          </w:p>
        </w:tc>
      </w:tr>
      <w:tr w:rsidR="00750763" w:rsidRPr="00750763" w14:paraId="200F1CB6" w14:textId="77777777" w:rsidTr="00750763">
        <w:trPr>
          <w:trHeight w:val="640"/>
        </w:trPr>
        <w:tc>
          <w:tcPr>
            <w:tcW w:w="3020" w:type="dxa"/>
            <w:hideMark/>
          </w:tcPr>
          <w:p w14:paraId="3974C9DE"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经验</w:t>
            </w:r>
          </w:p>
        </w:tc>
        <w:tc>
          <w:tcPr>
            <w:tcW w:w="4920" w:type="dxa"/>
            <w:hideMark/>
          </w:tcPr>
          <w:p w14:paraId="507127C2"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证券行业咨询规划与实施经验， 对数据源的理解、模型建设以及行业应用的快速构建</w:t>
            </w:r>
          </w:p>
        </w:tc>
      </w:tr>
    </w:tbl>
    <w:p w14:paraId="025DE5E8" w14:textId="77777777" w:rsidR="006C617F" w:rsidRPr="00750763" w:rsidRDefault="006C617F" w:rsidP="006C617F"/>
    <w:p w14:paraId="16043354" w14:textId="0EC307FC" w:rsidR="00C17BC7" w:rsidRPr="003C7973" w:rsidRDefault="00C17BC7" w:rsidP="003C7973">
      <w:pPr>
        <w:pStyle w:val="4"/>
      </w:pPr>
      <w:r w:rsidRPr="003C7973">
        <w:t>项目背景</w:t>
      </w:r>
    </w:p>
    <w:p w14:paraId="3A31C7DA" w14:textId="222830CD"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作为上海证券交易所(以下简称“上证所”)波士顿咨询规划的新一代项目之一—“新一代信息系统”，也是上证所信息管理的核心项目数据仓库项目（以下简称“该项目”）在交易所领导的关心和支持下，以及全体项目组成员的努</w:t>
      </w:r>
      <w:r w:rsidR="00267B37">
        <w:rPr>
          <w:rFonts w:ascii="SimSun" w:eastAsia="SimSun" w:hAnsi="SimSun"/>
        </w:rPr>
        <w:t>力下，经过所领导精心部署和有计划有步骤的安排，建成</w:t>
      </w:r>
      <w:r w:rsidR="00CF4361">
        <w:rPr>
          <w:rFonts w:ascii="SimSun" w:eastAsia="SimSun" w:hAnsi="SimSun" w:hint="eastAsia"/>
        </w:rPr>
        <w:t>投产</w:t>
      </w:r>
      <w:r w:rsidR="0049648A">
        <w:rPr>
          <w:rFonts w:ascii="SimSun" w:eastAsia="SimSun" w:hAnsi="SimSun" w:hint="eastAsia"/>
        </w:rPr>
        <w:t>时是</w:t>
      </w:r>
      <w:r w:rsidR="00CF4361">
        <w:rPr>
          <w:rFonts w:ascii="SimSun" w:eastAsia="SimSun" w:hAnsi="SimSun" w:hint="eastAsia"/>
        </w:rPr>
        <w:t>当时</w:t>
      </w:r>
      <w:r w:rsidR="00267B37">
        <w:rPr>
          <w:rFonts w:ascii="SimSun" w:eastAsia="SimSun" w:hAnsi="SimSun"/>
        </w:rPr>
        <w:t>国内</w:t>
      </w:r>
      <w:r w:rsidR="00466BA6">
        <w:rPr>
          <w:rFonts w:ascii="SimSun" w:eastAsia="SimSun" w:hAnsi="SimSun" w:hint="eastAsia"/>
        </w:rPr>
        <w:t>金融</w:t>
      </w:r>
      <w:r w:rsidRPr="003C7973">
        <w:rPr>
          <w:rFonts w:ascii="SimSun" w:eastAsia="SimSun" w:hAnsi="SimSun"/>
        </w:rPr>
        <w:t>行业数据容量最大、数据内容最完整的数据仓库，同时也是亚太区最大的证券业数据仓库项目。</w:t>
      </w:r>
    </w:p>
    <w:p w14:paraId="22CCC1BA" w14:textId="4C38FEA4"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上证所的企业级数据仓库建成了一个涵盖从数据清</w:t>
      </w:r>
      <w:r w:rsidR="00330CFD">
        <w:rPr>
          <w:rFonts w:ascii="SimSun" w:eastAsia="SimSun" w:hAnsi="SimSun"/>
        </w:rPr>
        <w:t>洗、数据存储、数据整合、基本查询、统计应用、信息服务、</w:t>
      </w:r>
      <w:r w:rsidR="00330CFD">
        <w:rPr>
          <w:rFonts w:ascii="SimSun" w:eastAsia="SimSun" w:hAnsi="SimSun" w:hint="eastAsia"/>
        </w:rPr>
        <w:t>数据分析与</w:t>
      </w:r>
      <w:r w:rsidR="00064690">
        <w:rPr>
          <w:rFonts w:ascii="SimSun" w:eastAsia="SimSun" w:hAnsi="SimSun" w:hint="eastAsia"/>
        </w:rPr>
        <w:t>应用深化</w:t>
      </w:r>
      <w:r w:rsidRPr="003C7973">
        <w:rPr>
          <w:rFonts w:ascii="SimSun" w:eastAsia="SimSun" w:hAnsi="SimSun"/>
        </w:rPr>
        <w:t>、挖掘和预测的企业智能信息平台，具体成功完成目标情况如下：</w:t>
      </w:r>
    </w:p>
    <w:p w14:paraId="2430B3A5" w14:textId="200C9A45"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体系架构：目前数据仓库建立了双中心灾备系统，双系统可以互为主/备切换对外提供服务，实现了同城异地双中心运营管理；数据仓库系统包含了数据加载及输出、数据仓库存储、数据仓库门户(Portal)、元数据管理(MDS)、数据仓库管理(DWM)、非结构化数据管理等子系统。</w:t>
      </w:r>
    </w:p>
    <w:p w14:paraId="7B6887D2" w14:textId="06E18796"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数据存储；整个数据仓库的数据涵盖了1990年上证所建所以来的全部</w:t>
      </w:r>
      <w:r w:rsidRPr="00C162B5">
        <w:rPr>
          <w:rFonts w:ascii="SimSun" w:eastAsia="SimSun" w:hAnsi="SimSun"/>
        </w:rPr>
        <w:lastRenderedPageBreak/>
        <w:t>历史数据及最新增量数据，范围包括交易核心数据和交易相关数据，类型则包含结构化数据和非结构化数据，密级分类刚包含机密数据、秘密数据、开公数据。</w:t>
      </w:r>
    </w:p>
    <w:p w14:paraId="742F7D0B" w14:textId="1277446F"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信息服务：数据仓库系统目前为上证所仅次于核心交易系统的运营管理系统，面向所内、监管部门、证券市场提供各种数据服务，如：上证所月报、证监会数据报送、TopView</w:t>
      </w:r>
      <w:r w:rsidR="00A37AD1">
        <w:rPr>
          <w:rFonts w:ascii="SimSun" w:eastAsia="SimSun" w:hAnsi="SimSun"/>
        </w:rPr>
        <w:t>数据加工、公开信息披露等；</w:t>
      </w:r>
      <w:r w:rsidRPr="00C162B5">
        <w:rPr>
          <w:rFonts w:ascii="SimSun" w:eastAsia="SimSun" w:hAnsi="SimSun"/>
        </w:rPr>
        <w:t>系统包含了查询、报表、OLAP等应用达</w:t>
      </w:r>
      <w:r w:rsidR="00A37AD1">
        <w:rPr>
          <w:rFonts w:ascii="SimSun" w:eastAsia="SimSun" w:hAnsi="SimSun"/>
        </w:rPr>
        <w:t>10</w:t>
      </w:r>
      <w:r w:rsidRPr="00C162B5">
        <w:rPr>
          <w:rFonts w:ascii="SimSun" w:eastAsia="SimSun" w:hAnsi="SimSun"/>
        </w:rPr>
        <w:t>00</w:t>
      </w:r>
      <w:r w:rsidR="00DD3B8F">
        <w:rPr>
          <w:rFonts w:ascii="SimSun" w:eastAsia="SimSun" w:hAnsi="SimSun"/>
        </w:rPr>
        <w:t>多个，部署了九</w:t>
      </w:r>
      <w:r w:rsidR="00DD3B8F">
        <w:rPr>
          <w:rFonts w:ascii="SimSun" w:eastAsia="SimSun" w:hAnsi="SimSun" w:hint="eastAsia"/>
        </w:rPr>
        <w:t>大</w:t>
      </w:r>
      <w:r w:rsidRPr="00C162B5">
        <w:rPr>
          <w:rFonts w:ascii="SimSun" w:eastAsia="SimSun" w:hAnsi="SimSun"/>
        </w:rPr>
        <w:t>应用专区，用户数超过</w:t>
      </w:r>
      <w:r w:rsidR="004519D0">
        <w:rPr>
          <w:rFonts w:ascii="SimSun" w:eastAsia="SimSun" w:hAnsi="SimSun"/>
        </w:rPr>
        <w:t>500</w:t>
      </w:r>
      <w:r w:rsidRPr="00C162B5">
        <w:rPr>
          <w:rFonts w:ascii="SimSun" w:eastAsia="SimSun" w:hAnsi="SimSun"/>
        </w:rPr>
        <w:t>人，遍及</w:t>
      </w:r>
      <w:r w:rsidR="00A37AD1">
        <w:rPr>
          <w:rFonts w:ascii="SimSun" w:eastAsia="SimSun" w:hAnsi="SimSun"/>
        </w:rPr>
        <w:t>40</w:t>
      </w:r>
      <w:r w:rsidRPr="00C162B5">
        <w:rPr>
          <w:rFonts w:ascii="SimSun" w:eastAsia="SimSun" w:hAnsi="SimSun"/>
        </w:rPr>
        <w:t>个所内部门。</w:t>
      </w:r>
    </w:p>
    <w:p w14:paraId="5CDD15A4" w14:textId="0D9326FF" w:rsidR="00C17BC7" w:rsidRPr="00B54AEC" w:rsidRDefault="00E9101C" w:rsidP="00B54AEC">
      <w:pPr>
        <w:pStyle w:val="a3"/>
        <w:numPr>
          <w:ilvl w:val="0"/>
          <w:numId w:val="69"/>
        </w:numPr>
        <w:spacing w:line="360" w:lineRule="auto"/>
        <w:ind w:firstLineChars="0"/>
        <w:rPr>
          <w:rFonts w:ascii="SimSun" w:eastAsia="SimSun" w:hAnsi="SimSun"/>
        </w:rPr>
      </w:pPr>
      <w:r>
        <w:rPr>
          <w:rFonts w:ascii="SimSun" w:eastAsia="SimSun" w:hAnsi="SimSun" w:hint="eastAsia"/>
        </w:rPr>
        <w:t>架构扩展及</w:t>
      </w:r>
      <w:r w:rsidR="00B54AEC">
        <w:rPr>
          <w:rFonts w:ascii="SimSun" w:eastAsia="SimSun" w:hAnsi="SimSun" w:hint="eastAsia"/>
        </w:rPr>
        <w:t>分析应用深化</w:t>
      </w:r>
      <w:r w:rsidR="00C17BC7" w:rsidRPr="00B54AEC">
        <w:rPr>
          <w:rFonts w:ascii="SimSun" w:eastAsia="SimSun" w:hAnsi="SimSun"/>
        </w:rPr>
        <w:t>：</w:t>
      </w:r>
      <w:r w:rsidR="003E6043">
        <w:rPr>
          <w:rFonts w:ascii="SimSun" w:eastAsia="SimSun" w:hAnsi="SimSun" w:hint="eastAsia"/>
        </w:rPr>
        <w:t>最早构建的</w:t>
      </w:r>
      <w:r w:rsidR="00C17BC7" w:rsidRPr="00B54AEC">
        <w:rPr>
          <w:rFonts w:ascii="SimSun" w:eastAsia="SimSun" w:hAnsi="SimSun"/>
        </w:rPr>
        <w:t>数据仓库系统作为所内SAS分析的基础数据库提供数据挖掘分析的信息平台，同时支持市场监管、新产品研发的核心数据统计分析，为规范市场和产品创新提供了有力的决策支持</w:t>
      </w:r>
      <w:r w:rsidR="00B54AEC">
        <w:rPr>
          <w:rFonts w:ascii="SimSun" w:eastAsia="SimSun" w:hAnsi="SimSun" w:hint="eastAsia"/>
        </w:rPr>
        <w:t>；</w:t>
      </w:r>
      <w:r w:rsidR="003E6043">
        <w:rPr>
          <w:rFonts w:ascii="SimSun" w:eastAsia="SimSun" w:hAnsi="SimSun" w:hint="eastAsia"/>
        </w:rPr>
        <w:t>发展到今天，</w:t>
      </w:r>
      <w:r w:rsidR="008F3071">
        <w:rPr>
          <w:rFonts w:ascii="SimSun" w:eastAsia="SimSun" w:hAnsi="SimSun"/>
        </w:rPr>
        <w:t>Teradata</w:t>
      </w:r>
      <w:r w:rsidR="008F3071">
        <w:rPr>
          <w:rFonts w:ascii="SimSun" w:eastAsia="SimSun" w:hAnsi="SimSun" w:hint="eastAsia"/>
        </w:rPr>
        <w:t>也在不断的引入新的大数据平台和分析技术，丰富和完善交易所数据生态环境，</w:t>
      </w:r>
      <w:r w:rsidR="00B54AEC">
        <w:rPr>
          <w:rFonts w:ascii="SimSun" w:eastAsia="SimSun" w:hAnsi="SimSun" w:hint="eastAsia"/>
        </w:rPr>
        <w:t>应用</w:t>
      </w:r>
      <w:r w:rsidR="00A560A9">
        <w:rPr>
          <w:rFonts w:ascii="SimSun" w:eastAsia="SimSun" w:hAnsi="SimSun" w:hint="eastAsia"/>
        </w:rPr>
        <w:t>了</w:t>
      </w:r>
      <w:r w:rsidR="00B54AEC">
        <w:rPr>
          <w:rFonts w:ascii="SimSun" w:eastAsia="SimSun" w:hAnsi="SimSun" w:hint="eastAsia"/>
        </w:rPr>
        <w:t xml:space="preserve">Teradata </w:t>
      </w:r>
      <w:r w:rsidR="00B54AEC">
        <w:rPr>
          <w:rFonts w:ascii="SimSun" w:eastAsia="SimSun" w:hAnsi="SimSun"/>
        </w:rPr>
        <w:t>Aster</w:t>
      </w:r>
      <w:r w:rsidR="00B54AEC">
        <w:rPr>
          <w:rFonts w:ascii="SimSun" w:eastAsia="SimSun" w:hAnsi="SimSun" w:hint="eastAsia"/>
        </w:rPr>
        <w:t>、开源</w:t>
      </w:r>
      <w:r w:rsidR="00B54AEC">
        <w:rPr>
          <w:rFonts w:ascii="SimSun" w:eastAsia="SimSun" w:hAnsi="SimSun"/>
        </w:rPr>
        <w:t>R</w:t>
      </w:r>
      <w:r w:rsidR="00B54AEC">
        <w:rPr>
          <w:rFonts w:ascii="SimSun" w:eastAsia="SimSun" w:hAnsi="SimSun" w:hint="eastAsia"/>
        </w:rPr>
        <w:t>等技术，与证券监管业务结合，展开一系列的数据分析与探索</w:t>
      </w:r>
      <w:r w:rsidR="00FA0A0F">
        <w:rPr>
          <w:rFonts w:ascii="SimSun" w:eastAsia="SimSun" w:hAnsi="SimSun" w:hint="eastAsia"/>
        </w:rPr>
        <w:t>应用开发，充分利用数据</w:t>
      </w:r>
      <w:r w:rsidR="005866B6">
        <w:rPr>
          <w:rFonts w:ascii="SimSun" w:eastAsia="SimSun" w:hAnsi="SimSun" w:hint="eastAsia"/>
        </w:rPr>
        <w:t>资源，提升</w:t>
      </w:r>
      <w:r w:rsidR="007746BC">
        <w:rPr>
          <w:rFonts w:ascii="SimSun" w:eastAsia="SimSun" w:hAnsi="SimSun" w:hint="eastAsia"/>
        </w:rPr>
        <w:t>业务数据分析</w:t>
      </w:r>
      <w:r w:rsidR="005866B6">
        <w:rPr>
          <w:rFonts w:ascii="SimSun" w:eastAsia="SimSun" w:hAnsi="SimSun" w:hint="eastAsia"/>
        </w:rPr>
        <w:t>价值</w:t>
      </w:r>
      <w:r w:rsidR="00C17BC7" w:rsidRPr="00B54AEC">
        <w:rPr>
          <w:rFonts w:ascii="SimSun" w:eastAsia="SimSun" w:hAnsi="SimSun"/>
        </w:rPr>
        <w:t>。</w:t>
      </w:r>
    </w:p>
    <w:p w14:paraId="28941E27" w14:textId="7DBA70BD"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系统管理：建成了数据仓库管理系统、元数据管理系统、非结构化数据管理系统等辅助数据仓库管理，同时制定了一系列配套的项目和系统开发维护管理制度。</w:t>
      </w:r>
    </w:p>
    <w:p w14:paraId="55559562" w14:textId="77777777" w:rsidR="00C17BC7" w:rsidRPr="003C7973" w:rsidRDefault="00C17BC7" w:rsidP="003C7973">
      <w:pPr>
        <w:spacing w:line="360" w:lineRule="auto"/>
        <w:ind w:firstLineChars="200" w:firstLine="480"/>
        <w:rPr>
          <w:rFonts w:ascii="SimSun" w:eastAsia="SimSun" w:hAnsi="SimSun"/>
        </w:rPr>
      </w:pPr>
    </w:p>
    <w:p w14:paraId="4F50BAED" w14:textId="3B2CA0CF" w:rsidR="00C17BC7" w:rsidRPr="003C7973" w:rsidRDefault="00C17BC7" w:rsidP="004624B0">
      <w:pPr>
        <w:pStyle w:val="4"/>
      </w:pPr>
      <w:r w:rsidRPr="003C7973">
        <w:t>项目成果</w:t>
      </w:r>
    </w:p>
    <w:p w14:paraId="671FE645" w14:textId="6F84ED08" w:rsidR="00C17BC7" w:rsidRPr="00293EEA" w:rsidRDefault="00C17BC7" w:rsidP="00293EEA">
      <w:pPr>
        <w:spacing w:line="360" w:lineRule="auto"/>
        <w:rPr>
          <w:rFonts w:ascii="SimSun" w:eastAsia="SimSun" w:hAnsi="SimSun"/>
          <w:b/>
        </w:rPr>
      </w:pPr>
      <w:r w:rsidRPr="00293EEA">
        <w:rPr>
          <w:rFonts w:ascii="SimSun" w:eastAsia="SimSun" w:hAnsi="SimSun"/>
          <w:b/>
        </w:rPr>
        <w:t>建设实施历程和成果</w:t>
      </w:r>
    </w:p>
    <w:p w14:paraId="4DD1CC8B" w14:textId="788D305C" w:rsidR="00C17BC7" w:rsidRPr="00E74FAD" w:rsidRDefault="00C17BC7" w:rsidP="00E74FAD">
      <w:pPr>
        <w:pStyle w:val="a3"/>
        <w:numPr>
          <w:ilvl w:val="0"/>
          <w:numId w:val="70"/>
        </w:numPr>
        <w:spacing w:line="360" w:lineRule="auto"/>
        <w:ind w:firstLineChars="0"/>
        <w:rPr>
          <w:rFonts w:ascii="SimSun" w:eastAsia="SimSun" w:hAnsi="SimSun"/>
        </w:rPr>
      </w:pPr>
      <w:r w:rsidRPr="00E74FAD">
        <w:rPr>
          <w:rFonts w:ascii="SimSun" w:eastAsia="SimSun" w:hAnsi="SimSun"/>
        </w:rPr>
        <w:lastRenderedPageBreak/>
        <w:t>概述</w:t>
      </w:r>
    </w:p>
    <w:p w14:paraId="04A0C46B" w14:textId="3DED22FE"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上证所数据仓库的建设到目前为止在大阶段上经过了数据仓库一期、数据仓库二期、信息增值服务建设、数据仓库灾备系统建设</w:t>
      </w:r>
      <w:r w:rsidR="0040768C">
        <w:rPr>
          <w:rFonts w:ascii="SimSun" w:eastAsia="SimSun" w:hAnsi="SimSun" w:hint="eastAsia"/>
        </w:rPr>
        <w:t>、</w:t>
      </w:r>
      <w:r w:rsidR="009B6FD0">
        <w:rPr>
          <w:rFonts w:ascii="SimSun" w:eastAsia="SimSun" w:hAnsi="SimSun" w:hint="eastAsia"/>
        </w:rPr>
        <w:t>架构扩展及</w:t>
      </w:r>
      <w:r w:rsidR="0040768C">
        <w:rPr>
          <w:rFonts w:ascii="SimSun" w:eastAsia="SimSun" w:hAnsi="SimSun" w:hint="eastAsia"/>
        </w:rPr>
        <w:t>数据分析</w:t>
      </w:r>
      <w:r w:rsidR="00254CEF">
        <w:rPr>
          <w:rFonts w:ascii="SimSun" w:eastAsia="SimSun" w:hAnsi="SimSun" w:hint="eastAsia"/>
        </w:rPr>
        <w:t>应用深化五</w:t>
      </w:r>
      <w:r w:rsidRPr="003C7973">
        <w:rPr>
          <w:rFonts w:ascii="SimSun" w:eastAsia="SimSun" w:hAnsi="SimSun"/>
        </w:rPr>
        <w:t>个过程，整个建设过程遵循合理的规划、科学的部署原则，完成了数据集中存储、应用平台搭建、信息集中服务、安全运营保障</w:t>
      </w:r>
      <w:r w:rsidR="00552D88">
        <w:rPr>
          <w:rFonts w:ascii="SimSun" w:eastAsia="SimSun" w:hAnsi="SimSun" w:hint="eastAsia"/>
        </w:rPr>
        <w:t>、数据分析应用深化</w:t>
      </w:r>
      <w:r w:rsidRPr="003C7973">
        <w:rPr>
          <w:rFonts w:ascii="SimSun" w:eastAsia="SimSun" w:hAnsi="SimSun"/>
        </w:rPr>
        <w:t>的建设历程。</w:t>
      </w:r>
    </w:p>
    <w:p w14:paraId="269C0122" w14:textId="31302E60"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数据仓库一期建设</w:t>
      </w:r>
    </w:p>
    <w:p w14:paraId="49E43B09" w14:textId="206FECF2" w:rsidR="00C17BC7" w:rsidRPr="00E74FAD" w:rsidRDefault="00C17BC7" w:rsidP="00E74FAD">
      <w:pPr>
        <w:pStyle w:val="a3"/>
        <w:numPr>
          <w:ilvl w:val="0"/>
          <w:numId w:val="72"/>
        </w:numPr>
        <w:spacing w:line="360" w:lineRule="auto"/>
        <w:ind w:firstLineChars="0"/>
        <w:rPr>
          <w:rFonts w:ascii="SimSun" w:eastAsia="SimSun" w:hAnsi="SimSun"/>
        </w:rPr>
      </w:pPr>
      <w:r w:rsidRPr="00E74FAD">
        <w:rPr>
          <w:rFonts w:ascii="SimSun" w:eastAsia="SimSun" w:hAnsi="SimSun"/>
        </w:rPr>
        <w:t>建设目标</w:t>
      </w:r>
    </w:p>
    <w:p w14:paraId="53B99F4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一期的建设目标是完成上证所基本信息平台的搭建。通过集中、统一的数据中心对所有结构化信息和非结构化信息的整合机制，最大程度地保证了上证所自建所以来所积累的全部历史信息，以及以后新增的所有有价值数据的完整性和可用性。</w:t>
      </w:r>
    </w:p>
    <w:p w14:paraId="131FA2C3" w14:textId="459B7895" w:rsidR="00C17BC7" w:rsidRPr="00E74FAD" w:rsidRDefault="00C17BC7" w:rsidP="00E74FAD">
      <w:pPr>
        <w:pStyle w:val="a3"/>
        <w:numPr>
          <w:ilvl w:val="0"/>
          <w:numId w:val="73"/>
        </w:numPr>
        <w:spacing w:line="360" w:lineRule="auto"/>
        <w:ind w:firstLineChars="0"/>
        <w:rPr>
          <w:rFonts w:ascii="SimSun" w:eastAsia="SimSun" w:hAnsi="SimSun"/>
        </w:rPr>
      </w:pPr>
      <w:r w:rsidRPr="00E74FAD">
        <w:rPr>
          <w:rFonts w:ascii="SimSun" w:eastAsia="SimSun" w:hAnsi="SimSun"/>
        </w:rPr>
        <w:t>建设过程</w:t>
      </w:r>
    </w:p>
    <w:p w14:paraId="3FB3C90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于2002年启动数据仓库一期(交易历史数据存储项目)的建设，经过将近一年的持续努力，正式建成了国内证券行业数据容量最大、数据内容最完整的TB级数据仓库一期工程。数据仓库一期的建成标志着上证所构建起了基本信息平台，通过集中、统一的数据中心对所有结构化信息和非结构化信息的整合机制，最大程度地保证了上证所自建所以来所积累的全部历史信息，以及以后新增的所有有价值数据的完整性和可用性。</w:t>
      </w:r>
    </w:p>
    <w:p w14:paraId="6F335E70"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交易历史数据存储项目于2002年10月正式进入项目实施阶段，上证所抽调精兵强将，组成项目组，制定了项目管理、文档规范、安全保密、变更控制、汇报制度等；专门设立项目管理委员会，所有重大事项均通过管理委员会进行决策。</w:t>
      </w:r>
      <w:r w:rsidRPr="003C7973">
        <w:rPr>
          <w:rFonts w:ascii="SimSun" w:eastAsia="SimSun" w:hAnsi="SimSun"/>
        </w:rPr>
        <w:lastRenderedPageBreak/>
        <w:t>根据项目内容，划分了介质、数据分析、加载、应用等多条主线。全部实施过程经过了信息调查分析、业务需求分析、逻辑数据模型设计、体系结构设计、物理数据库设计、ETL设计开发、历史数据加载、备份、业务应用设计开发、系统测试、验收移交、用户培训及知识转移等各个环节。</w:t>
      </w:r>
    </w:p>
    <w:p w14:paraId="20BAF38A"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前期做了充分的准备，采用科学的工作方法。在2003年初，上证所就建立了自动数据加载机制，并开始对2003年新产生的每日增量交易数据进行抽取、转换、加载；一方面不断清洗历史存量数据，另一方面根据用户的反馈，不断完善各种功能。2003年11月，开发工作全部完成，其后的测试、验收、全面试运行均取得了圆满成功。</w:t>
      </w:r>
    </w:p>
    <w:p w14:paraId="3F1DAA8F" w14:textId="786DBD47" w:rsidR="00C17BC7" w:rsidRPr="00E74FAD" w:rsidRDefault="00C17BC7" w:rsidP="00E74FAD">
      <w:pPr>
        <w:pStyle w:val="a3"/>
        <w:numPr>
          <w:ilvl w:val="0"/>
          <w:numId w:val="74"/>
        </w:numPr>
        <w:spacing w:line="360" w:lineRule="auto"/>
        <w:ind w:firstLineChars="0"/>
        <w:rPr>
          <w:rFonts w:ascii="SimSun" w:eastAsia="SimSun" w:hAnsi="SimSun"/>
        </w:rPr>
      </w:pPr>
      <w:r w:rsidRPr="00E74FAD">
        <w:rPr>
          <w:rFonts w:ascii="SimSun" w:eastAsia="SimSun" w:hAnsi="SimSun"/>
        </w:rPr>
        <w:t>建设成果</w:t>
      </w:r>
    </w:p>
    <w:p w14:paraId="7024F6FB"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科学的逻辑数据模型基础上，上证所通过恢复历史备份的数千张光盘和磁带，完成了1990年以来所有交易历史数据的整合与存储；通过对多个交易相关业务子系统的处理，完成了交易相关上市公司、会员、基金、债券、指数、板块、统计数据等信息的整合；通过设计对非结构化数据的整合方案，完成了交易所8大业务部门长期积累的数百万页非结构化文档信息的存储；并且通过建立了数据自动加载机制，完成了对于以后日常业务增量信息的自动加载处理。</w:t>
      </w:r>
    </w:p>
    <w:p w14:paraId="5523DC84" w14:textId="77777777" w:rsidR="00C17BC7" w:rsidRPr="003C7973" w:rsidRDefault="00C17BC7" w:rsidP="003C7973">
      <w:pPr>
        <w:spacing w:line="360" w:lineRule="auto"/>
        <w:ind w:firstLineChars="200" w:firstLine="480"/>
        <w:rPr>
          <w:rFonts w:ascii="SimSun" w:eastAsia="SimSun" w:hAnsi="SimSun"/>
        </w:rPr>
      </w:pPr>
    </w:p>
    <w:p w14:paraId="5BCF8BFE" w14:textId="3858583E"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数据仓库二期建设</w:t>
      </w:r>
    </w:p>
    <w:p w14:paraId="443A7986" w14:textId="6A0DF155"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建设目标</w:t>
      </w:r>
    </w:p>
    <w:p w14:paraId="1254D2E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数据仓库一期建设的基础上，于2005年启动数据仓库二期建设，数据仓库二期建设目标是在数据仓库一期的基础上开发信息服务平台及应用服务体系，使信息产生价值为所内外提供数据加工、统计分析、市场监管、决策支持</w:t>
      </w:r>
      <w:r w:rsidRPr="003C7973">
        <w:rPr>
          <w:rFonts w:ascii="SimSun" w:eastAsia="SimSun" w:hAnsi="SimSun"/>
        </w:rPr>
        <w:lastRenderedPageBreak/>
        <w:t>服务，为进一步发挥数据仓库的价值服务打下良好的基础。</w:t>
      </w:r>
    </w:p>
    <w:p w14:paraId="5B2B13B2" w14:textId="3CA907E7"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建设过程</w:t>
      </w:r>
    </w:p>
    <w:p w14:paraId="1E9F8D9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于2005年1月从业务部门的集中需求访谈开始，向所内9大业务部门共进行了32次的需求访谈，访问了业务部门领导和业务人员共40余人次，共收集了511个原始需求。项目组对原始需求进行了归纳整理，建立了全所级的10大需求分类，并在部门原始需求的基础上归纳整理形成311个全所级作为应用开发的业务需求。</w:t>
      </w:r>
    </w:p>
    <w:p w14:paraId="6A07082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2005年6月底完成了第一阶段应用的开发工作，与此同时面向业务部门进行了大规模的应用推广工作，向业务部门使用人员全面地介绍数据仓库系统的操作和分析的使用方法，经过推广工作体现了系统各项开发技术都已成熟，业务部门对数据仓库系统有了全面的认识。</w:t>
      </w:r>
    </w:p>
    <w:p w14:paraId="2AD1CD5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10完成了第二阶段大规模的开发工作，于此同时元数据管理子项目、非结构化数据管理子项目、数据仓库管理子项目也已经完成，并在生产环境下完成了全面的部署。2005年10月至11月期间进行了大规模的集成测试工作，对系统非功能性和功能性的各项指标全面进行了测试，为系统的投产打下了良好的基础。</w:t>
      </w:r>
    </w:p>
    <w:p w14:paraId="4DC03DE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项目于2005年12月之后进入试运行，于2006年2月转入了正式运行。系统运行的情况完全达到了项目的各项指标的要求，同时也作为上证所建成15周年的所庆献礼。</w:t>
      </w:r>
    </w:p>
    <w:p w14:paraId="6313ADF1" w14:textId="18A746F4"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建设成果</w:t>
      </w:r>
    </w:p>
    <w:p w14:paraId="0504ED6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数据仓库二期项目的建设完成了前端应用开发共完成了600多个包含报表、查询、多维分析、KPI等多种形式的应用，为上证所各业务部门提供统计报表、</w:t>
      </w:r>
      <w:r w:rsidRPr="003C7973">
        <w:rPr>
          <w:rFonts w:ascii="SimSun" w:eastAsia="SimSun" w:hAnsi="SimSun"/>
        </w:rPr>
        <w:lastRenderedPageBreak/>
        <w:t>数据查询、关联分析等信息服务；数据仓库二期的Portal集成了系统的各个子项目的功能，包括：前端应用、元数据管理、非结构化数据管理、数据仓库管理等。通过统一的门户入口，用户根据权限分配情况可使用数据仓库二期提供的各项服务，实现单点登入的功能；对用户使用数据仓库系统的用户进行统一的管理；元数据管理子项目包含了元数据管理和数据管理，提供了完整的元数据管理和应用功能，包括：信息浏览、流程管理、在线帮助、影响分析、安全管理等内容。</w:t>
      </w:r>
    </w:p>
    <w:p w14:paraId="2913CBF4" w14:textId="77777777" w:rsidR="00C17BC7" w:rsidRPr="003C7973" w:rsidRDefault="00C17BC7" w:rsidP="003C7973">
      <w:pPr>
        <w:spacing w:line="360" w:lineRule="auto"/>
        <w:ind w:firstLineChars="200" w:firstLine="480"/>
        <w:rPr>
          <w:rFonts w:ascii="SimSun" w:eastAsia="SimSun" w:hAnsi="SimSun"/>
        </w:rPr>
      </w:pPr>
    </w:p>
    <w:p w14:paraId="77841313" w14:textId="5E174204"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信息增值服务建设</w:t>
      </w:r>
    </w:p>
    <w:p w14:paraId="20DCAC07" w14:textId="139D4C97"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建设目标</w:t>
      </w:r>
    </w:p>
    <w:p w14:paraId="4CC0403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数据仓库二期的建设，塔建的信息服务的基础平台已初步显现出数据仓库关联分析、数据统计的威力；上证所于2006年基于数据仓库平台逐步加大信息增值服务的开发，完成了Top-View信息产品加工、统计报表移植、债券统计系统移植、异动股票统计、交易公开信息披露统计、计费系统移植、权证信息披露等。</w:t>
      </w:r>
    </w:p>
    <w:p w14:paraId="066C5640" w14:textId="3A723F9A"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建设过程</w:t>
      </w:r>
    </w:p>
    <w:p w14:paraId="053587A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基础数据存储平台、应用服务平台搭建的基础上，上证所不断扩大数据仓库系统的应用支持服务；面向所外提供各种信息发布和增值服务支持，如：异动股票信息发布、权证信息披露、交易公开信息披露、Top-View信息产品数据加工、上证所统计月报/季报/年鉴等，使上证所数据仓库系统与证券市场息息相连，特别是Top-View信息产品数据加工通过向市场投资者提供信息增值服务为上证所带来了可观的经济创收；面向市场监管单位提供证监会数据报送、证监会统计报告、证监局外派机构监管信息统计等；面向所内除了提供前端应用查询、</w:t>
      </w:r>
      <w:r w:rsidRPr="003C7973">
        <w:rPr>
          <w:rFonts w:ascii="SimSun" w:eastAsia="SimSun" w:hAnsi="SimSun"/>
        </w:rPr>
        <w:lastRenderedPageBreak/>
        <w:t>分析外，向所内提供的数据加工服务有：成交概貌统计、指数概况统计、债券信息统计、会员计费统计、决策数据支持等，同时向SAS信息挖掘系统提供数据分析支持。</w:t>
      </w:r>
    </w:p>
    <w:p w14:paraId="71A2DB0D" w14:textId="6A2DF75B"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建设成果</w:t>
      </w:r>
    </w:p>
    <w:p w14:paraId="0FBA6E72"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信息增值服务的建设，上证所一方面基于数据仓库统一视图的数据管理提供最权威的数据统计信息，确保数据统计口径的一致性和真实性，另一方面减少了重复投资代价。在确保数据仓库系统安全稳定运行的基础上，所内相关的统计报表系统逐步迁移到数据仓库的应用平台上，通过单一的数据中心向辐射提供各方面的信息支持服务，通过单一的门户网站集成所内相关的应用系统向所内相关人员提供信息查询服务。</w:t>
      </w:r>
    </w:p>
    <w:p w14:paraId="7E2BD477" w14:textId="77777777" w:rsidR="00C17BC7" w:rsidRPr="003C7973" w:rsidRDefault="00C17BC7" w:rsidP="003C7973">
      <w:pPr>
        <w:spacing w:line="360" w:lineRule="auto"/>
        <w:ind w:firstLineChars="200" w:firstLine="480"/>
        <w:rPr>
          <w:rFonts w:ascii="SimSun" w:eastAsia="SimSun" w:hAnsi="SimSun"/>
        </w:rPr>
      </w:pPr>
    </w:p>
    <w:p w14:paraId="7282DD40" w14:textId="3B01DE8D"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数据仓库灾备系统建设</w:t>
      </w:r>
    </w:p>
    <w:p w14:paraId="216EE28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上证所数据仓库系统越来越成为企业运营不可缺失的支持平台，一旦数据仓库系统停止服务将有可能影响整个证券市场的正常运转，因此建立双中心的运营保障数据仓库体系对确保证券市场稳定发展是非常必要的。</w:t>
      </w:r>
    </w:p>
    <w:p w14:paraId="35F6104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于2007年上证所开始着手数据仓库灾备系统的建设，通过建立两套数据仓库系统实现双中心可主/备切换，达到同城异地灾备的目的，从而确保数据仓库系统提供持续稳定的对外服务，目前该项目在建设过程中。</w:t>
      </w:r>
    </w:p>
    <w:p w14:paraId="3BDAE0C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双加载实现主从系统数据的同步，为确保双系统数据的一致性在系统之间增加数据一致性检查，在数据加载的事前、事中、事后进行数据的一致性检查，确保双系统的数据相一致，建制两套对等的应用服务系统使其可任意切换数据库服务，以松偶合方式增强系统的容错能力，任何一套数据仓库系统都可独立运行，</w:t>
      </w:r>
      <w:r w:rsidRPr="003C7973">
        <w:rPr>
          <w:rFonts w:ascii="SimSun" w:eastAsia="SimSun" w:hAnsi="SimSun"/>
        </w:rPr>
        <w:lastRenderedPageBreak/>
        <w:t>通过简单的设置实现主/从系统的切换，达到互为备份的目的。</w:t>
      </w:r>
    </w:p>
    <w:p w14:paraId="56ED6D6F" w14:textId="77777777" w:rsidR="00C17BC7" w:rsidRDefault="00C17BC7" w:rsidP="000E4356">
      <w:pPr>
        <w:spacing w:line="360" w:lineRule="auto"/>
        <w:rPr>
          <w:rFonts w:ascii="SimSun" w:eastAsia="SimSun" w:hAnsi="SimSun"/>
        </w:rPr>
      </w:pPr>
    </w:p>
    <w:p w14:paraId="39FDAF74" w14:textId="379939D8" w:rsidR="000E4356" w:rsidRDefault="009B6FD0" w:rsidP="00483F60">
      <w:pPr>
        <w:pStyle w:val="a3"/>
        <w:numPr>
          <w:ilvl w:val="0"/>
          <w:numId w:val="71"/>
        </w:numPr>
        <w:spacing w:line="360" w:lineRule="auto"/>
        <w:ind w:firstLineChars="0"/>
        <w:rPr>
          <w:rFonts w:ascii="SimSun" w:eastAsia="SimSun" w:hAnsi="SimSun"/>
        </w:rPr>
      </w:pPr>
      <w:r>
        <w:rPr>
          <w:rFonts w:ascii="SimSun" w:eastAsia="SimSun" w:hAnsi="SimSun" w:hint="eastAsia"/>
        </w:rPr>
        <w:t>架构</w:t>
      </w:r>
      <w:r w:rsidR="002C37C3">
        <w:rPr>
          <w:rFonts w:ascii="SimSun" w:eastAsia="SimSun" w:hAnsi="SimSun" w:hint="eastAsia"/>
        </w:rPr>
        <w:t>扩展及</w:t>
      </w:r>
      <w:r w:rsidR="00410C9C">
        <w:rPr>
          <w:rFonts w:ascii="SimSun" w:eastAsia="SimSun" w:hAnsi="SimSun" w:hint="eastAsia"/>
        </w:rPr>
        <w:t>数据分析</w:t>
      </w:r>
      <w:r w:rsidR="00D22AE9">
        <w:rPr>
          <w:rFonts w:ascii="SimSun" w:eastAsia="SimSun" w:hAnsi="SimSun" w:hint="eastAsia"/>
        </w:rPr>
        <w:t>应用</w:t>
      </w:r>
      <w:r w:rsidR="000E4356">
        <w:rPr>
          <w:rFonts w:ascii="SimSun" w:eastAsia="SimSun" w:hAnsi="SimSun" w:hint="eastAsia"/>
        </w:rPr>
        <w:t>深化</w:t>
      </w:r>
    </w:p>
    <w:p w14:paraId="10E7E196" w14:textId="748214FC" w:rsidR="00483F60" w:rsidRPr="00483F60" w:rsidRDefault="00483F60" w:rsidP="00483F60">
      <w:pPr>
        <w:spacing w:line="360" w:lineRule="auto"/>
        <w:ind w:firstLineChars="200" w:firstLine="480"/>
        <w:rPr>
          <w:rFonts w:ascii="SimSun" w:eastAsia="SimSun" w:hAnsi="SimSun"/>
        </w:rPr>
      </w:pPr>
      <w:r w:rsidRPr="00483F60">
        <w:rPr>
          <w:rFonts w:ascii="SimSun" w:eastAsia="SimSun" w:hAnsi="SimSun"/>
        </w:rPr>
        <w:t>上证所数据仓库系统在上证所领导的规划下以科学的发展观逐步实现新一代信息系统的建设，根据上证所信息系统长期发展的战略规划，结合Teradata</w:t>
      </w:r>
      <w:r w:rsidR="0092715B">
        <w:rPr>
          <w:rFonts w:ascii="SimSun" w:eastAsia="SimSun" w:hAnsi="SimSun"/>
        </w:rPr>
        <w:t>数据</w:t>
      </w:r>
      <w:r w:rsidR="0092715B">
        <w:rPr>
          <w:rFonts w:ascii="SimSun" w:eastAsia="SimSun" w:hAnsi="SimSun" w:hint="eastAsia"/>
        </w:rPr>
        <w:t>平台</w:t>
      </w:r>
      <w:r w:rsidRPr="00483F60">
        <w:rPr>
          <w:rFonts w:ascii="SimSun" w:eastAsia="SimSun" w:hAnsi="SimSun"/>
        </w:rPr>
        <w:t>技术不断的发展，</w:t>
      </w:r>
      <w:r w:rsidR="00F934B4">
        <w:rPr>
          <w:rFonts w:ascii="SimSun" w:eastAsia="SimSun" w:hAnsi="SimSun"/>
        </w:rPr>
        <w:t>Teradata</w:t>
      </w:r>
      <w:r w:rsidR="006626C3">
        <w:rPr>
          <w:rFonts w:ascii="SimSun" w:eastAsia="SimSun" w:hAnsi="SimSun" w:hint="eastAsia"/>
        </w:rPr>
        <w:t>也</w:t>
      </w:r>
      <w:r w:rsidR="00D45DCB">
        <w:rPr>
          <w:rFonts w:ascii="SimSun" w:eastAsia="SimSun" w:hAnsi="SimSun" w:hint="eastAsia"/>
        </w:rPr>
        <w:t>向交易</w:t>
      </w:r>
      <w:r w:rsidR="00F934B4">
        <w:rPr>
          <w:rFonts w:ascii="SimSun" w:eastAsia="SimSun" w:hAnsi="SimSun" w:hint="eastAsia"/>
        </w:rPr>
        <w:t>所提出了建设逻辑数据平台的建议，并</w:t>
      </w:r>
      <w:r w:rsidR="00BF1931">
        <w:rPr>
          <w:rFonts w:ascii="SimSun" w:eastAsia="SimSun" w:hAnsi="SimSun" w:hint="eastAsia"/>
        </w:rPr>
        <w:t>逐步</w:t>
      </w:r>
      <w:r w:rsidR="009B0044">
        <w:rPr>
          <w:rFonts w:ascii="SimSun" w:eastAsia="SimSun" w:hAnsi="SimSun" w:hint="eastAsia"/>
        </w:rPr>
        <w:t>落地</w:t>
      </w:r>
      <w:r w:rsidR="00F934B4">
        <w:rPr>
          <w:rFonts w:ascii="SimSun" w:eastAsia="SimSun" w:hAnsi="SimSun" w:hint="eastAsia"/>
        </w:rPr>
        <w:t>，</w:t>
      </w:r>
      <w:r w:rsidR="00D45DCB">
        <w:rPr>
          <w:rFonts w:ascii="SimSun" w:eastAsia="SimSun" w:hAnsi="SimSun" w:hint="eastAsia"/>
        </w:rPr>
        <w:t>提供</w:t>
      </w:r>
      <w:r w:rsidR="009B0044">
        <w:rPr>
          <w:rFonts w:ascii="SimSun" w:eastAsia="SimSun" w:hAnsi="SimSun" w:hint="eastAsia"/>
        </w:rPr>
        <w:t>了</w:t>
      </w:r>
      <w:r w:rsidR="00AD7E6E">
        <w:rPr>
          <w:rFonts w:ascii="SimSun" w:eastAsia="SimSun" w:hAnsi="SimSun" w:hint="eastAsia"/>
        </w:rPr>
        <w:t>大数据技术</w:t>
      </w:r>
      <w:r w:rsidR="00AD7E6E">
        <w:rPr>
          <w:rFonts w:ascii="SimSun" w:eastAsia="SimSun" w:hAnsi="SimSun"/>
        </w:rPr>
        <w:t>Teradata Aster</w:t>
      </w:r>
      <w:r w:rsidR="00CF6F7B">
        <w:rPr>
          <w:rFonts w:ascii="SimSun" w:eastAsia="SimSun" w:hAnsi="SimSun" w:hint="eastAsia"/>
        </w:rPr>
        <w:t>平台软件</w:t>
      </w:r>
      <w:r w:rsidR="00AD7E6E">
        <w:rPr>
          <w:rFonts w:ascii="SimSun" w:eastAsia="SimSun" w:hAnsi="SimSun" w:hint="eastAsia"/>
        </w:rPr>
        <w:t>、开源</w:t>
      </w:r>
      <w:r w:rsidR="00AD7E6E">
        <w:rPr>
          <w:rFonts w:ascii="SimSun" w:eastAsia="SimSun" w:hAnsi="SimSun"/>
        </w:rPr>
        <w:t>R</w:t>
      </w:r>
      <w:r w:rsidR="00AD7E6E">
        <w:rPr>
          <w:rFonts w:ascii="SimSun" w:eastAsia="SimSun" w:hAnsi="SimSun" w:hint="eastAsia"/>
        </w:rPr>
        <w:t>软件</w:t>
      </w:r>
      <w:r w:rsidR="00D45DCB">
        <w:rPr>
          <w:rFonts w:ascii="SimSun" w:eastAsia="SimSun" w:hAnsi="SimSun" w:hint="eastAsia"/>
        </w:rPr>
        <w:t>等深化交易所的各项</w:t>
      </w:r>
      <w:r w:rsidR="00877163">
        <w:rPr>
          <w:rFonts w:ascii="SimSun" w:eastAsia="SimSun" w:hAnsi="SimSun" w:hint="eastAsia"/>
        </w:rPr>
        <w:t>数据探索分析与</w:t>
      </w:r>
      <w:r w:rsidR="00D45DCB">
        <w:rPr>
          <w:rFonts w:ascii="SimSun" w:eastAsia="SimSun" w:hAnsi="SimSun" w:hint="eastAsia"/>
        </w:rPr>
        <w:t>监管</w:t>
      </w:r>
      <w:r w:rsidR="00AD7E6E">
        <w:rPr>
          <w:rFonts w:ascii="SimSun" w:eastAsia="SimSun" w:hAnsi="SimSun" w:hint="eastAsia"/>
        </w:rPr>
        <w:t>应用等等，</w:t>
      </w:r>
      <w:r w:rsidR="00700343">
        <w:rPr>
          <w:rFonts w:ascii="SimSun" w:eastAsia="SimSun" w:hAnsi="SimSun"/>
        </w:rPr>
        <w:t>从广度和深度上不断拓展和加深数据</w:t>
      </w:r>
      <w:r w:rsidR="00700343">
        <w:rPr>
          <w:rFonts w:ascii="SimSun" w:eastAsia="SimSun" w:hAnsi="SimSun" w:hint="eastAsia"/>
        </w:rPr>
        <w:t>生态</w:t>
      </w:r>
      <w:r w:rsidRPr="00483F60">
        <w:rPr>
          <w:rFonts w:ascii="SimSun" w:eastAsia="SimSun" w:hAnsi="SimSun"/>
        </w:rPr>
        <w:t>系统的建设。</w:t>
      </w:r>
    </w:p>
    <w:p w14:paraId="2AC5FF0D" w14:textId="190061D5" w:rsidR="00483F60" w:rsidRDefault="0092715B" w:rsidP="00483F60">
      <w:pPr>
        <w:spacing w:line="360" w:lineRule="auto"/>
        <w:ind w:firstLineChars="200" w:firstLine="480"/>
        <w:rPr>
          <w:rFonts w:ascii="SimSun" w:eastAsia="SimSun" w:hAnsi="SimSun"/>
        </w:rPr>
      </w:pPr>
      <w:r>
        <w:rPr>
          <w:rFonts w:ascii="SimSun" w:eastAsia="SimSun" w:hAnsi="SimSun"/>
        </w:rPr>
        <w:t>在现有数据</w:t>
      </w:r>
      <w:r w:rsidR="00BF6572">
        <w:rPr>
          <w:rFonts w:ascii="SimSun" w:eastAsia="SimSun" w:hAnsi="SimSun"/>
        </w:rPr>
        <w:t>服务对象和服务内容的基础上，为更大地发挥上证所数据</w:t>
      </w:r>
      <w:r w:rsidR="00BF6572">
        <w:rPr>
          <w:rFonts w:ascii="SimSun" w:eastAsia="SimSun" w:hAnsi="SimSun" w:hint="eastAsia"/>
        </w:rPr>
        <w:t>平台</w:t>
      </w:r>
      <w:r w:rsidR="00483F60" w:rsidRPr="00483F60">
        <w:rPr>
          <w:rFonts w:ascii="SimSun" w:eastAsia="SimSun" w:hAnsi="SimSun"/>
        </w:rPr>
        <w:t>的</w:t>
      </w:r>
      <w:r w:rsidR="00A61772">
        <w:rPr>
          <w:rFonts w:ascii="SimSun" w:eastAsia="SimSun" w:hAnsi="SimSun" w:hint="eastAsia"/>
        </w:rPr>
        <w:t>价值</w:t>
      </w:r>
      <w:r w:rsidR="00483F60" w:rsidRPr="00483F60">
        <w:rPr>
          <w:rFonts w:ascii="SimSun" w:eastAsia="SimSun" w:hAnsi="SimSun"/>
        </w:rPr>
        <w:t>，</w:t>
      </w:r>
      <w:r w:rsidR="00B8578E">
        <w:rPr>
          <w:rFonts w:ascii="SimSun" w:eastAsia="SimSun" w:hAnsi="SimSun"/>
        </w:rPr>
        <w:t>Ter</w:t>
      </w:r>
      <w:r w:rsidR="005454BD">
        <w:rPr>
          <w:rFonts w:ascii="SimSun" w:eastAsia="SimSun" w:hAnsi="SimSun" w:hint="eastAsia"/>
        </w:rPr>
        <w:t>a</w:t>
      </w:r>
      <w:r w:rsidR="00B8578E">
        <w:rPr>
          <w:rFonts w:ascii="SimSun" w:eastAsia="SimSun" w:hAnsi="SimSun"/>
        </w:rPr>
        <w:t xml:space="preserve">data </w:t>
      </w:r>
      <w:r w:rsidR="00B8578E">
        <w:rPr>
          <w:rFonts w:ascii="SimSun" w:eastAsia="SimSun" w:hAnsi="SimSun" w:hint="eastAsia"/>
        </w:rPr>
        <w:t>向交易所提供了数据治理咨询规划等方案，完善数据平台生态环境的构建，</w:t>
      </w:r>
      <w:r w:rsidR="00483F60" w:rsidRPr="00483F60">
        <w:rPr>
          <w:rFonts w:ascii="SimSun" w:eastAsia="SimSun" w:hAnsi="SimSun"/>
        </w:rPr>
        <w:t>扩大数据仓库服务的对象和内容；在</w:t>
      </w:r>
      <w:r w:rsidR="00AD7E6E">
        <w:rPr>
          <w:rFonts w:ascii="SimSun" w:eastAsia="SimSun" w:hAnsi="SimSun"/>
        </w:rPr>
        <w:t>服务对象方面，在考虑信息安全的前提下，进行面向全市场提供数据</w:t>
      </w:r>
      <w:r w:rsidR="00483F60" w:rsidRPr="00483F60">
        <w:rPr>
          <w:rFonts w:ascii="SimSun" w:eastAsia="SimSun" w:hAnsi="SimSun"/>
        </w:rPr>
        <w:t>服务的探研，使市场参与者能够直接或间接受益</w:t>
      </w:r>
      <w:r w:rsidR="00AD7E6E">
        <w:rPr>
          <w:rFonts w:ascii="SimSun" w:eastAsia="SimSun" w:hAnsi="SimSun"/>
        </w:rPr>
        <w:t>于数据</w:t>
      </w:r>
      <w:r w:rsidR="00AD7E6E">
        <w:rPr>
          <w:rFonts w:ascii="SimSun" w:eastAsia="SimSun" w:hAnsi="SimSun" w:hint="eastAsia"/>
        </w:rPr>
        <w:t>平台</w:t>
      </w:r>
      <w:r w:rsidR="00483F60" w:rsidRPr="00483F60">
        <w:rPr>
          <w:rFonts w:ascii="SimSun" w:eastAsia="SimSun" w:hAnsi="SimSun"/>
        </w:rPr>
        <w:t>的服务；在服务内容方面将不断丰富上市公司、会员公司、证券市场的服务内容，为</w:t>
      </w:r>
      <w:r w:rsidR="00483F60" w:rsidRPr="00996480">
        <w:rPr>
          <w:rFonts w:ascii="SimSun" w:eastAsia="SimSun" w:hAnsi="SimSun"/>
        </w:rPr>
        <w:t>更好地服务于市场提</w:t>
      </w:r>
      <w:r w:rsidR="00483F60" w:rsidRPr="00483F60">
        <w:rPr>
          <w:rFonts w:ascii="SimSun" w:eastAsia="SimSun" w:hAnsi="SimSun"/>
        </w:rPr>
        <w:t>供全面的服务。</w:t>
      </w:r>
    </w:p>
    <w:p w14:paraId="157DF38F" w14:textId="77777777" w:rsidR="006B26AF" w:rsidRPr="00C17BC7" w:rsidRDefault="006B26AF"/>
    <w:p w14:paraId="69DB1880" w14:textId="1448B4B5" w:rsidR="002E31A9" w:rsidRDefault="002E31A9" w:rsidP="00D27B81">
      <w:pPr>
        <w:pStyle w:val="3"/>
      </w:pPr>
      <w:r>
        <w:rPr>
          <w:rFonts w:hint="eastAsia"/>
        </w:rPr>
        <w:t>中国证监会</w:t>
      </w:r>
      <w:r w:rsidR="006F377F">
        <w:rPr>
          <w:rFonts w:hint="eastAsia"/>
        </w:rPr>
        <w:t>监测中心</w:t>
      </w:r>
      <w:r>
        <w:rPr>
          <w:rFonts w:hint="eastAsia"/>
        </w:rPr>
        <w:t>案例</w:t>
      </w:r>
    </w:p>
    <w:tbl>
      <w:tblPr>
        <w:tblStyle w:val="a5"/>
        <w:tblW w:w="7940" w:type="dxa"/>
        <w:tblLook w:val="04A0" w:firstRow="1" w:lastRow="0" w:firstColumn="1" w:lastColumn="0" w:noHBand="0" w:noVBand="1"/>
      </w:tblPr>
      <w:tblGrid>
        <w:gridCol w:w="3020"/>
        <w:gridCol w:w="4920"/>
      </w:tblGrid>
      <w:tr w:rsidR="00BD78AF" w:rsidRPr="00BD78AF" w14:paraId="5CDB9011" w14:textId="77777777" w:rsidTr="00BD78AF">
        <w:trPr>
          <w:trHeight w:val="320"/>
        </w:trPr>
        <w:tc>
          <w:tcPr>
            <w:tcW w:w="3020" w:type="dxa"/>
            <w:hideMark/>
          </w:tcPr>
          <w:p w14:paraId="4082626F"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客户案例名称</w:t>
            </w:r>
          </w:p>
        </w:tc>
        <w:tc>
          <w:tcPr>
            <w:tcW w:w="4920" w:type="dxa"/>
            <w:hideMark/>
          </w:tcPr>
          <w:p w14:paraId="65071C75"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中国证监会监测中心案例</w:t>
            </w:r>
          </w:p>
        </w:tc>
      </w:tr>
      <w:tr w:rsidR="00BD78AF" w:rsidRPr="00BD78AF" w14:paraId="6C0EF7FB" w14:textId="77777777" w:rsidTr="00BD78AF">
        <w:trPr>
          <w:trHeight w:val="320"/>
        </w:trPr>
        <w:tc>
          <w:tcPr>
            <w:tcW w:w="3020" w:type="dxa"/>
            <w:hideMark/>
          </w:tcPr>
          <w:p w14:paraId="6E32B4AA"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案例规模</w:t>
            </w:r>
          </w:p>
        </w:tc>
        <w:tc>
          <w:tcPr>
            <w:tcW w:w="4920" w:type="dxa"/>
            <w:hideMark/>
          </w:tcPr>
          <w:p w14:paraId="2A49CB74" w14:textId="43824AEF" w:rsidR="00BD78AF" w:rsidRPr="00996480" w:rsidRDefault="0093572E" w:rsidP="005E161D">
            <w:pPr>
              <w:widowControl/>
              <w:rPr>
                <w:rFonts w:ascii="DengXian" w:eastAsia="DengXian" w:hAnsi="DengXian" w:cs="Times New Roman"/>
                <w:bCs/>
                <w:color w:val="000000"/>
                <w:kern w:val="0"/>
              </w:rPr>
            </w:pPr>
            <w:r>
              <w:rPr>
                <w:rFonts w:ascii="DengXian" w:eastAsia="DengXian" w:hAnsi="DengXian" w:cs="Times New Roman" w:hint="eastAsia"/>
                <w:bCs/>
                <w:color w:val="000000"/>
                <w:kern w:val="0"/>
              </w:rPr>
              <w:t>100</w:t>
            </w:r>
            <w:r w:rsidR="00996480" w:rsidRPr="00996480">
              <w:rPr>
                <w:rFonts w:ascii="DengXian" w:eastAsia="DengXian" w:hAnsi="DengXian" w:cs="Times New Roman" w:hint="eastAsia"/>
                <w:bCs/>
                <w:color w:val="000000"/>
                <w:kern w:val="0"/>
              </w:rPr>
              <w:t>T</w:t>
            </w:r>
          </w:p>
        </w:tc>
      </w:tr>
      <w:tr w:rsidR="00BD78AF" w:rsidRPr="00BD78AF" w14:paraId="43867222" w14:textId="77777777" w:rsidTr="00BD78AF">
        <w:trPr>
          <w:trHeight w:val="320"/>
        </w:trPr>
        <w:tc>
          <w:tcPr>
            <w:tcW w:w="3020" w:type="dxa"/>
            <w:hideMark/>
          </w:tcPr>
          <w:p w14:paraId="154C4608"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实施范围</w:t>
            </w:r>
          </w:p>
        </w:tc>
        <w:tc>
          <w:tcPr>
            <w:tcW w:w="4920" w:type="dxa"/>
            <w:hideMark/>
          </w:tcPr>
          <w:p w14:paraId="2A275F79"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详见案例说明部份</w:t>
            </w:r>
          </w:p>
        </w:tc>
      </w:tr>
      <w:tr w:rsidR="00BD78AF" w:rsidRPr="00BD78AF" w14:paraId="1FA02352" w14:textId="77777777" w:rsidTr="00BD78AF">
        <w:trPr>
          <w:trHeight w:val="320"/>
        </w:trPr>
        <w:tc>
          <w:tcPr>
            <w:tcW w:w="3020" w:type="dxa"/>
            <w:hideMark/>
          </w:tcPr>
          <w:p w14:paraId="17D55FA4"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实施时间</w:t>
            </w:r>
          </w:p>
        </w:tc>
        <w:tc>
          <w:tcPr>
            <w:tcW w:w="4920" w:type="dxa"/>
            <w:hideMark/>
          </w:tcPr>
          <w:p w14:paraId="6FC2CF85"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2011年至今</w:t>
            </w:r>
          </w:p>
        </w:tc>
      </w:tr>
      <w:tr w:rsidR="00BD78AF" w:rsidRPr="00BD78AF" w14:paraId="288AB9F5" w14:textId="77777777" w:rsidTr="00996480">
        <w:trPr>
          <w:trHeight w:val="452"/>
        </w:trPr>
        <w:tc>
          <w:tcPr>
            <w:tcW w:w="3020" w:type="dxa"/>
            <w:hideMark/>
          </w:tcPr>
          <w:p w14:paraId="5D77B9F5"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数据仓库+大数据技术</w:t>
            </w:r>
          </w:p>
        </w:tc>
        <w:tc>
          <w:tcPr>
            <w:tcW w:w="4920" w:type="dxa"/>
            <w:hideMark/>
          </w:tcPr>
          <w:p w14:paraId="5525DC8C"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数据仓库MPP</w:t>
            </w:r>
          </w:p>
        </w:tc>
      </w:tr>
      <w:tr w:rsidR="00BD78AF" w:rsidRPr="00BD78AF" w14:paraId="1623A4ED" w14:textId="77777777" w:rsidTr="00BD78AF">
        <w:trPr>
          <w:trHeight w:val="320"/>
        </w:trPr>
        <w:tc>
          <w:tcPr>
            <w:tcW w:w="3020" w:type="dxa"/>
            <w:hideMark/>
          </w:tcPr>
          <w:p w14:paraId="6D0CB056"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数据治理咨询</w:t>
            </w:r>
          </w:p>
        </w:tc>
        <w:tc>
          <w:tcPr>
            <w:tcW w:w="4920" w:type="dxa"/>
            <w:hideMark/>
          </w:tcPr>
          <w:p w14:paraId="1AD5C642" w14:textId="1A47F648" w:rsidR="00BD78AF" w:rsidRPr="002D5C7D" w:rsidRDefault="00996480" w:rsidP="00996480">
            <w:pPr>
              <w:widowControl/>
              <w:rPr>
                <w:rFonts w:ascii="DengXian" w:eastAsia="DengXian" w:hAnsi="DengXian" w:cs="Times New Roman"/>
                <w:bCs/>
                <w:color w:val="000000"/>
                <w:kern w:val="0"/>
              </w:rPr>
            </w:pPr>
            <w:r w:rsidRPr="002D5C7D">
              <w:rPr>
                <w:rFonts w:ascii="DengXian" w:eastAsia="DengXian" w:hAnsi="DengXian" w:cs="Times New Roman" w:hint="eastAsia"/>
                <w:bCs/>
                <w:color w:val="000000"/>
                <w:kern w:val="0"/>
              </w:rPr>
              <w:t>无</w:t>
            </w:r>
          </w:p>
        </w:tc>
      </w:tr>
      <w:tr w:rsidR="00BD78AF" w:rsidRPr="00BD78AF" w14:paraId="5CF10C1A" w14:textId="77777777" w:rsidTr="00BD78AF">
        <w:trPr>
          <w:trHeight w:val="320"/>
        </w:trPr>
        <w:tc>
          <w:tcPr>
            <w:tcW w:w="3020" w:type="dxa"/>
            <w:hideMark/>
          </w:tcPr>
          <w:p w14:paraId="707ACE7E"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系统架构</w:t>
            </w:r>
          </w:p>
        </w:tc>
        <w:tc>
          <w:tcPr>
            <w:tcW w:w="4920" w:type="dxa"/>
            <w:hideMark/>
          </w:tcPr>
          <w:p w14:paraId="3250B308"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EDW数据架构</w:t>
            </w:r>
          </w:p>
        </w:tc>
      </w:tr>
      <w:tr w:rsidR="00BD78AF" w:rsidRPr="00BD78AF" w14:paraId="6854E1A5" w14:textId="77777777" w:rsidTr="00BD78AF">
        <w:trPr>
          <w:trHeight w:val="1280"/>
        </w:trPr>
        <w:tc>
          <w:tcPr>
            <w:tcW w:w="3020" w:type="dxa"/>
            <w:hideMark/>
          </w:tcPr>
          <w:p w14:paraId="266A2540"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lastRenderedPageBreak/>
              <w:t>主要技术特点</w:t>
            </w:r>
          </w:p>
        </w:tc>
        <w:tc>
          <w:tcPr>
            <w:tcW w:w="4920" w:type="dxa"/>
            <w:hideMark/>
          </w:tcPr>
          <w:p w14:paraId="5123DFFE"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数据仓库整体规划与咨询</w:t>
            </w:r>
            <w:r w:rsidRPr="00BD78AF">
              <w:rPr>
                <w:rFonts w:ascii="DengXian" w:eastAsia="DengXian" w:hAnsi="DengXian" w:cs="Times New Roman" w:hint="eastAsia"/>
                <w:color w:val="000000"/>
                <w:kern w:val="0"/>
              </w:rPr>
              <w:br/>
              <w:t>海量数据存储</w:t>
            </w:r>
            <w:r w:rsidRPr="00BD78AF">
              <w:rPr>
                <w:rFonts w:ascii="DengXian" w:eastAsia="DengXian" w:hAnsi="DengXian" w:cs="Times New Roman" w:hint="eastAsia"/>
                <w:color w:val="000000"/>
                <w:kern w:val="0"/>
              </w:rPr>
              <w:br/>
              <w:t>并行计算</w:t>
            </w:r>
            <w:r w:rsidRPr="00BD78AF">
              <w:rPr>
                <w:rFonts w:ascii="DengXian" w:eastAsia="DengXian" w:hAnsi="DengXian" w:cs="Times New Roman" w:hint="eastAsia"/>
                <w:color w:val="000000"/>
                <w:kern w:val="0"/>
              </w:rPr>
              <w:br/>
              <w:t>Teradata金融行业数据模型实施</w:t>
            </w:r>
          </w:p>
        </w:tc>
      </w:tr>
      <w:tr w:rsidR="00BD78AF" w:rsidRPr="00BD78AF" w14:paraId="0B5F9626" w14:textId="77777777" w:rsidTr="00BD78AF">
        <w:trPr>
          <w:trHeight w:val="320"/>
        </w:trPr>
        <w:tc>
          <w:tcPr>
            <w:tcW w:w="3020" w:type="dxa"/>
            <w:hideMark/>
          </w:tcPr>
          <w:p w14:paraId="1B6176FF"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现状</w:t>
            </w:r>
          </w:p>
        </w:tc>
        <w:tc>
          <w:tcPr>
            <w:tcW w:w="4920" w:type="dxa"/>
            <w:hideMark/>
          </w:tcPr>
          <w:p w14:paraId="051ED860"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持续投产运行中</w:t>
            </w:r>
          </w:p>
        </w:tc>
      </w:tr>
      <w:tr w:rsidR="00BD78AF" w:rsidRPr="00BD78AF" w14:paraId="196FE886" w14:textId="77777777" w:rsidTr="00BD78AF">
        <w:trPr>
          <w:trHeight w:val="320"/>
        </w:trPr>
        <w:tc>
          <w:tcPr>
            <w:tcW w:w="3020" w:type="dxa"/>
            <w:hideMark/>
          </w:tcPr>
          <w:p w14:paraId="6D0FD6EA"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主要参与人员</w:t>
            </w:r>
          </w:p>
        </w:tc>
        <w:tc>
          <w:tcPr>
            <w:tcW w:w="4920" w:type="dxa"/>
            <w:hideMark/>
          </w:tcPr>
          <w:p w14:paraId="13B4C82B" w14:textId="67832E58" w:rsidR="00BD78AF" w:rsidRPr="00BD78AF" w:rsidRDefault="00AE1B94" w:rsidP="004406A9">
            <w:pPr>
              <w:widowControl/>
              <w:rPr>
                <w:rFonts w:ascii="DengXian" w:eastAsia="DengXian" w:hAnsi="DengXian" w:cs="Times New Roman"/>
                <w:b/>
                <w:bCs/>
                <w:color w:val="000000"/>
                <w:kern w:val="0"/>
              </w:rPr>
            </w:pPr>
            <w:r>
              <w:rPr>
                <w:rFonts w:ascii="SimSun" w:eastAsia="SimSun" w:hAnsi="SimSun" w:cs="Times New Roman" w:hint="eastAsia"/>
                <w:bCs/>
                <w:color w:val="000000"/>
                <w:kern w:val="0"/>
              </w:rPr>
              <w:t>乔某尉</w:t>
            </w:r>
            <w:r w:rsidRPr="00426FA2">
              <w:rPr>
                <w:rFonts w:ascii="SimSun" w:eastAsia="SimSun" w:hAnsi="SimSun" w:cs="Times New Roman" w:hint="eastAsia"/>
                <w:bCs/>
                <w:color w:val="000000"/>
                <w:kern w:val="0"/>
              </w:rPr>
              <w:t>、朱某翔、戴某华等</w:t>
            </w:r>
          </w:p>
        </w:tc>
      </w:tr>
      <w:tr w:rsidR="00BD78AF" w:rsidRPr="00BD78AF" w14:paraId="1C4D6F61" w14:textId="77777777" w:rsidTr="00BD78AF">
        <w:trPr>
          <w:trHeight w:val="640"/>
        </w:trPr>
        <w:tc>
          <w:tcPr>
            <w:tcW w:w="3020" w:type="dxa"/>
            <w:hideMark/>
          </w:tcPr>
          <w:p w14:paraId="75381A6B"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经验</w:t>
            </w:r>
          </w:p>
        </w:tc>
        <w:tc>
          <w:tcPr>
            <w:tcW w:w="4920" w:type="dxa"/>
            <w:hideMark/>
          </w:tcPr>
          <w:p w14:paraId="045A6E7D"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证券行业咨询规划与实施经验， 对数据源的理解、模型建设以及行业应用的快速构建</w:t>
            </w:r>
          </w:p>
        </w:tc>
      </w:tr>
    </w:tbl>
    <w:p w14:paraId="4FC3454A" w14:textId="77777777" w:rsidR="00C17749" w:rsidRPr="00BD78AF" w:rsidRDefault="00C17749" w:rsidP="00C17749"/>
    <w:p w14:paraId="364C7BA9" w14:textId="61E18C5B" w:rsidR="00E900C6" w:rsidRDefault="00E900C6" w:rsidP="00A726CF">
      <w:pPr>
        <w:pStyle w:val="4"/>
      </w:pPr>
      <w:r>
        <w:t>项目背景</w:t>
      </w:r>
    </w:p>
    <w:p w14:paraId="2F30D2B8"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资本市场建立二十年来，从无到有、从小到大、逐步发展壮大。尤其是近年来，随着市场规模的急剧扩大，机构数量的显著增多，投资品种日益丰富，创业板、融资融券、股指期货等相继推出，资本市场为我国经济发展和综合国力提升作出了巨大贡献。</w:t>
      </w:r>
    </w:p>
    <w:p w14:paraId="7F10ABE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是国民经济的“晴雨表”，其变化牵动着广大投资者、各种社会舆论、国内外金融机构乃至国家领导的目光。因此，对市场整体进行高效的分析与监测，及时发现市场运行中潜藏的系统性风险，为管理层决策提供有效支持十分重要。</w:t>
      </w:r>
    </w:p>
    <w:p w14:paraId="3D9F3BDF"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证监会“资本市场运行监测系统”，是一个企业级的数据仓库项目，它将要求采用先进的信息技术，建立一个覆盖资本市场的运行监测系统，以期及时有效地监控各种市场信息，根据现代金融模型对海量数据进行跟踪预测、分析判断和风险预警。“资本市场运行监测系统”将整合上海交易所、深圳交易所、各期货交易所、中国登记结算公司、证监会内部相关业务系统、外部数据供应商等提供的金融市场信息数据，搭建跨系统集成、跨部门共享、跨应用关联的统一数</w:t>
      </w:r>
      <w:r w:rsidRPr="006B26AF">
        <w:rPr>
          <w:rFonts w:ascii="SimSun" w:eastAsia="SimSun" w:hAnsi="SimSun"/>
        </w:rPr>
        <w:lastRenderedPageBreak/>
        <w:t>据平台，基于资本市场逻辑数据模型，实现历史3+1年数据的集中存储。</w:t>
      </w:r>
    </w:p>
    <w:p w14:paraId="20C89F2C" w14:textId="77777777" w:rsidR="00E900C6" w:rsidRPr="006B26AF" w:rsidRDefault="00E900C6" w:rsidP="006B26AF">
      <w:pPr>
        <w:spacing w:line="360" w:lineRule="auto"/>
        <w:ind w:firstLineChars="200" w:firstLine="480"/>
        <w:rPr>
          <w:rFonts w:ascii="SimSun" w:eastAsia="SimSun" w:hAnsi="SimSun"/>
        </w:rPr>
      </w:pPr>
    </w:p>
    <w:p w14:paraId="4B8F2790" w14:textId="5CD648DB" w:rsidR="00E900C6" w:rsidRPr="006B26AF" w:rsidRDefault="00E900C6" w:rsidP="00A726CF">
      <w:pPr>
        <w:pStyle w:val="4"/>
      </w:pPr>
      <w:r w:rsidRPr="006B26AF">
        <w:t>项目成果</w:t>
      </w:r>
    </w:p>
    <w:p w14:paraId="4DED8B3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的总体目标是：建立覆盖资本市场的全方位动态监测系统，通过获取行业自律机构、存管银行、证券期货经营机构、国内金融资讯机构以及国际重要市场等各资本市场参与主体的基础数据，搭建一个涵盖国内与国际宏观经济、股票、基金、债权、期货市场的多功能分析平台。利用多市场、多层次、多时点的海量信息数据，全方位地监测资本市场运行动态，多维度地分析各方数据，提高宏观经济和资本市场运行分析能力，更加有效地监测资本市场总体运行情况，及时防范和化解系统性风险，为国家制定金融监管和市场发展政策提供决策支持依据。</w:t>
      </w:r>
    </w:p>
    <w:p w14:paraId="2D0296E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2011年，证监会经过对国内多家数据仓库厂商平台的综合评价，最终选择了Teradata作为资本市场数据仓库平台。</w:t>
      </w:r>
    </w:p>
    <w:p w14:paraId="5763A7D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ab/>
      </w:r>
    </w:p>
    <w:p w14:paraId="252A6BA6"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资本市场运行监测数据仓库项目一期的功能性建设包括了如下内容：</w:t>
      </w:r>
    </w:p>
    <w:p w14:paraId="67708DE7" w14:textId="370E1479"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数据仓库平台建设</w:t>
      </w:r>
    </w:p>
    <w:p w14:paraId="6400C583"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1、数据仓库平台建设主要包括：</w:t>
      </w:r>
    </w:p>
    <w:p w14:paraId="0CA61054" w14:textId="1FCAFD24"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集中资本市场的数据资源，基于资本市场逻辑数据模型，实现历史3+1年数据的集中存储，以实现资源共享和一致的业务视图；</w:t>
      </w:r>
    </w:p>
    <w:p w14:paraId="59CD22E8" w14:textId="495E16FC"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建立一个集中的、一致的、可扩展的中央数据仓库基础设施；</w:t>
      </w:r>
    </w:p>
    <w:p w14:paraId="2DC1078F" w14:textId="39A49145"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建设从多个数据源进行数据采集的网络和平台；</w:t>
      </w:r>
    </w:p>
    <w:p w14:paraId="614BB44A" w14:textId="7965E818"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lastRenderedPageBreak/>
        <w:t>建立业务数据批量交换规范，在此基础上开发一套ETL(数据抽取、转换和加载)程序，形成标准的批量信息交换接口和统一任务调度机制，为系统之间交换数据以及从数据仓库获得所需要的数据提供统一的ETL平台；</w:t>
      </w:r>
    </w:p>
    <w:p w14:paraId="305075B1" w14:textId="5585CD5D"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建立数据质量检查和跟踪机制，对数据质量和冲突报告进行集中管理，分项跟踪，由数据质量专门管理人员将数据质量问题拆分给责任人落实；</w:t>
      </w:r>
    </w:p>
    <w:p w14:paraId="19BFD5FA" w14:textId="09245150"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建立一套系统安全机制，确保只有授权的用户才能访问与之权限相对应的数据；</w:t>
      </w:r>
    </w:p>
    <w:p w14:paraId="6F80A70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2、数据仓库平台的功能主要包括：</w:t>
      </w:r>
    </w:p>
    <w:p w14:paraId="3594446E" w14:textId="51502C7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采集源系统每日数据并导入数据仓库系统。</w:t>
      </w:r>
    </w:p>
    <w:p w14:paraId="14121318" w14:textId="0BC60F1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数据仓库系统根据设定的数据清洗、转换、加载和数据质量检查规则对导入的数据进行数据清洗、转换、加载和数据质量检查，并基于企业数据模型对数据进行集中存储与管理。</w:t>
      </w:r>
    </w:p>
    <w:p w14:paraId="14733F1C" w14:textId="483CF078"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数据仓库系统进一步根据业务应用系统的要求，对数据进行加工处理，以便为业务报表、查询应用和专题分析等提供必要的汇总数据。</w:t>
      </w:r>
    </w:p>
    <w:p w14:paraId="2448E246" w14:textId="77777777" w:rsidR="00E900C6" w:rsidRPr="006B26AF" w:rsidRDefault="00E900C6" w:rsidP="006B26AF">
      <w:pPr>
        <w:spacing w:line="360" w:lineRule="auto"/>
        <w:ind w:firstLineChars="200" w:firstLine="480"/>
        <w:rPr>
          <w:rFonts w:ascii="SimSun" w:eastAsia="SimSun" w:hAnsi="SimSun"/>
        </w:rPr>
      </w:pPr>
    </w:p>
    <w:p w14:paraId="1B1D6DC0" w14:textId="73BABA2C"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统计分析应用建设</w:t>
      </w:r>
    </w:p>
    <w:p w14:paraId="53081BD1"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统计分析业务应用建设主要包括：</w:t>
      </w:r>
    </w:p>
    <w:p w14:paraId="791FFC2F" w14:textId="62BA85B9"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建立统计分析应用门户（Portal）</w:t>
      </w:r>
    </w:p>
    <w:p w14:paraId="5B1AA06B"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建立统计分析型应用的统一门户，方便业务人员使用和访问。</w:t>
      </w:r>
    </w:p>
    <w:p w14:paraId="278900C4" w14:textId="28A8FB80"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业务统计与分析应用建设</w:t>
      </w:r>
    </w:p>
    <w:p w14:paraId="4DEF152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提供各业务指标的定义，汇总层级和展现方式。推荐具体的报表工具，实施</w:t>
      </w:r>
      <w:r w:rsidRPr="006B26AF">
        <w:rPr>
          <w:rFonts w:ascii="SimSun" w:eastAsia="SimSun" w:hAnsi="SimSun"/>
        </w:rPr>
        <w:lastRenderedPageBreak/>
        <w:t>报表平台。提供由数据仓库进行后端数据支持，前端工具展现的整体实现方式。</w:t>
      </w:r>
    </w:p>
    <w:p w14:paraId="680B4A9D"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业务统计与分析应用包括各类固定报表、灵活查询和统计分析以及专题分析等。具体包括如下内容：</w:t>
      </w:r>
    </w:p>
    <w:p w14:paraId="143A53E3" w14:textId="20B5B0F5"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满足现有的证监会日常统计工作报表应用开发；</w:t>
      </w:r>
    </w:p>
    <w:p w14:paraId="1CB0DFB1" w14:textId="326BA5B8"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灵活查询和统计分析，包括市场综合分析、投资品种分析、投资者分析等；</w:t>
      </w:r>
    </w:p>
    <w:p w14:paraId="488253EE" w14:textId="6755B224" w:rsidR="00E900C6" w:rsidRPr="0022555C" w:rsidRDefault="00E900C6" w:rsidP="002F6FF5">
      <w:pPr>
        <w:pStyle w:val="a3"/>
        <w:numPr>
          <w:ilvl w:val="0"/>
          <w:numId w:val="11"/>
        </w:numPr>
        <w:spacing w:line="360" w:lineRule="auto"/>
        <w:ind w:firstLineChars="0"/>
        <w:rPr>
          <w:rFonts w:ascii="SimSun" w:eastAsia="SimSun" w:hAnsi="SimSun"/>
        </w:rPr>
      </w:pPr>
      <w:r w:rsidRPr="0022555C">
        <w:rPr>
          <w:rFonts w:ascii="SimSun" w:eastAsia="SimSun" w:hAnsi="SimSun"/>
        </w:rPr>
        <w:t>专题分析，如盈亏分析等。</w:t>
      </w:r>
    </w:p>
    <w:p w14:paraId="4ADAA801" w14:textId="01BE9D98" w:rsidR="00E900C6" w:rsidRPr="006B26AF" w:rsidRDefault="00E900C6" w:rsidP="002F6FF5">
      <w:pPr>
        <w:pStyle w:val="a3"/>
        <w:numPr>
          <w:ilvl w:val="0"/>
          <w:numId w:val="9"/>
        </w:numPr>
        <w:spacing w:line="360" w:lineRule="auto"/>
        <w:ind w:firstLineChars="0"/>
        <w:rPr>
          <w:rFonts w:ascii="SimSun" w:eastAsia="SimSun" w:hAnsi="SimSun"/>
        </w:rPr>
      </w:pPr>
      <w:r w:rsidRPr="006B26AF">
        <w:rPr>
          <w:rFonts w:ascii="SimSun" w:eastAsia="SimSun" w:hAnsi="SimSun"/>
        </w:rPr>
        <w:t xml:space="preserve">管理者驾驶舱(KPI Dashboard) </w:t>
      </w:r>
    </w:p>
    <w:p w14:paraId="6AF8254C" w14:textId="77777777" w:rsidR="002E31A9" w:rsidRDefault="002E31A9"/>
    <w:p w14:paraId="5119DDB2" w14:textId="2D389680" w:rsidR="00EF0184" w:rsidRDefault="00EF0184" w:rsidP="00D27B81">
      <w:pPr>
        <w:pStyle w:val="3"/>
      </w:pPr>
      <w:r>
        <w:rPr>
          <w:rFonts w:hint="eastAsia"/>
        </w:rPr>
        <w:t>郑州商品期货交易所</w:t>
      </w:r>
    </w:p>
    <w:tbl>
      <w:tblPr>
        <w:tblStyle w:val="a5"/>
        <w:tblW w:w="8020" w:type="dxa"/>
        <w:tblLook w:val="04A0" w:firstRow="1" w:lastRow="0" w:firstColumn="1" w:lastColumn="0" w:noHBand="0" w:noVBand="1"/>
      </w:tblPr>
      <w:tblGrid>
        <w:gridCol w:w="3020"/>
        <w:gridCol w:w="5000"/>
      </w:tblGrid>
      <w:tr w:rsidR="005554F0" w:rsidRPr="005554F0" w14:paraId="52E6D2A5" w14:textId="77777777" w:rsidTr="005554F0">
        <w:trPr>
          <w:trHeight w:val="320"/>
        </w:trPr>
        <w:tc>
          <w:tcPr>
            <w:tcW w:w="3020" w:type="dxa"/>
            <w:hideMark/>
          </w:tcPr>
          <w:p w14:paraId="04685295"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客户案例名称</w:t>
            </w:r>
          </w:p>
        </w:tc>
        <w:tc>
          <w:tcPr>
            <w:tcW w:w="5000" w:type="dxa"/>
            <w:hideMark/>
          </w:tcPr>
          <w:p w14:paraId="3134D547"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郑州商品期货交易所</w:t>
            </w:r>
          </w:p>
        </w:tc>
      </w:tr>
      <w:tr w:rsidR="005554F0" w:rsidRPr="005554F0" w14:paraId="5A720465" w14:textId="77777777" w:rsidTr="005554F0">
        <w:trPr>
          <w:trHeight w:val="1280"/>
        </w:trPr>
        <w:tc>
          <w:tcPr>
            <w:tcW w:w="3020" w:type="dxa"/>
            <w:hideMark/>
          </w:tcPr>
          <w:p w14:paraId="7C2BD336"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案例规模</w:t>
            </w:r>
          </w:p>
        </w:tc>
        <w:tc>
          <w:tcPr>
            <w:tcW w:w="5000" w:type="dxa"/>
            <w:hideMark/>
          </w:tcPr>
          <w:p w14:paraId="3852C590" w14:textId="17C18260"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源系统：4个</w:t>
            </w:r>
            <w:r w:rsidRPr="005554F0">
              <w:rPr>
                <w:rFonts w:ascii="DengXian" w:eastAsia="DengXian" w:hAnsi="DengXian" w:cs="Times New Roman" w:hint="eastAsia"/>
                <w:color w:val="000000"/>
                <w:kern w:val="0"/>
              </w:rPr>
              <w:br/>
              <w:t>支持应用：9个业务部门，报表60多张，多维分析主题2个，</w:t>
            </w:r>
            <w:r w:rsidRPr="005554F0">
              <w:rPr>
                <w:rFonts w:ascii="DengXian" w:eastAsia="DengXian" w:hAnsi="DengXian" w:cs="Times New Roman" w:hint="eastAsia"/>
                <w:color w:val="000000"/>
                <w:kern w:val="0"/>
              </w:rPr>
              <w:br/>
              <w:t>数据量：9T</w:t>
            </w:r>
          </w:p>
        </w:tc>
      </w:tr>
      <w:tr w:rsidR="005554F0" w:rsidRPr="005554F0" w14:paraId="31C09D8F" w14:textId="77777777" w:rsidTr="005554F0">
        <w:trPr>
          <w:trHeight w:val="320"/>
        </w:trPr>
        <w:tc>
          <w:tcPr>
            <w:tcW w:w="3020" w:type="dxa"/>
            <w:hideMark/>
          </w:tcPr>
          <w:p w14:paraId="631F83C9"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实施范围</w:t>
            </w:r>
          </w:p>
        </w:tc>
        <w:tc>
          <w:tcPr>
            <w:tcW w:w="5000" w:type="dxa"/>
            <w:hideMark/>
          </w:tcPr>
          <w:p w14:paraId="4B0FA1D7" w14:textId="2334F699" w:rsidR="005554F0" w:rsidRPr="005554F0" w:rsidRDefault="00D51CFA" w:rsidP="00D51CFA">
            <w:pPr>
              <w:widowControl/>
              <w:rPr>
                <w:rFonts w:ascii="DengXian" w:eastAsia="DengXian" w:hAnsi="DengXian" w:cs="Times New Roman"/>
                <w:b/>
                <w:bCs/>
                <w:color w:val="000000"/>
                <w:kern w:val="0"/>
              </w:rPr>
            </w:pPr>
            <w:r w:rsidRPr="00BD78AF">
              <w:rPr>
                <w:rFonts w:ascii="DengXian" w:eastAsia="DengXian" w:hAnsi="DengXian" w:cs="Times New Roman" w:hint="eastAsia"/>
                <w:color w:val="000000"/>
                <w:kern w:val="0"/>
              </w:rPr>
              <w:t>详见案例说明部份</w:t>
            </w:r>
          </w:p>
        </w:tc>
      </w:tr>
      <w:tr w:rsidR="005554F0" w:rsidRPr="005554F0" w14:paraId="6B342DDD" w14:textId="77777777" w:rsidTr="005554F0">
        <w:trPr>
          <w:trHeight w:val="320"/>
        </w:trPr>
        <w:tc>
          <w:tcPr>
            <w:tcW w:w="3020" w:type="dxa"/>
            <w:hideMark/>
          </w:tcPr>
          <w:p w14:paraId="4569325E"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实施时间</w:t>
            </w:r>
          </w:p>
        </w:tc>
        <w:tc>
          <w:tcPr>
            <w:tcW w:w="5000" w:type="dxa"/>
            <w:hideMark/>
          </w:tcPr>
          <w:p w14:paraId="6FBE1B8F"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2015年1月-2016年5月</w:t>
            </w:r>
          </w:p>
        </w:tc>
      </w:tr>
      <w:tr w:rsidR="005554F0" w:rsidRPr="005554F0" w14:paraId="469745C2" w14:textId="77777777" w:rsidTr="005554F0">
        <w:trPr>
          <w:trHeight w:val="320"/>
        </w:trPr>
        <w:tc>
          <w:tcPr>
            <w:tcW w:w="3020" w:type="dxa"/>
            <w:hideMark/>
          </w:tcPr>
          <w:p w14:paraId="4BD06D4C"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数据仓库+大数据技术</w:t>
            </w:r>
          </w:p>
        </w:tc>
        <w:tc>
          <w:tcPr>
            <w:tcW w:w="5000" w:type="dxa"/>
            <w:hideMark/>
          </w:tcPr>
          <w:p w14:paraId="15FDD9C0"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数据仓库MPP</w:t>
            </w:r>
          </w:p>
        </w:tc>
      </w:tr>
      <w:tr w:rsidR="005554F0" w:rsidRPr="005554F0" w14:paraId="295DABD2" w14:textId="77777777" w:rsidTr="005554F0">
        <w:trPr>
          <w:trHeight w:val="320"/>
        </w:trPr>
        <w:tc>
          <w:tcPr>
            <w:tcW w:w="3020" w:type="dxa"/>
            <w:hideMark/>
          </w:tcPr>
          <w:p w14:paraId="345C075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数据治理咨询</w:t>
            </w:r>
          </w:p>
        </w:tc>
        <w:tc>
          <w:tcPr>
            <w:tcW w:w="5000" w:type="dxa"/>
            <w:hideMark/>
          </w:tcPr>
          <w:p w14:paraId="49930CC5"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无</w:t>
            </w:r>
          </w:p>
        </w:tc>
      </w:tr>
      <w:tr w:rsidR="005554F0" w:rsidRPr="005554F0" w14:paraId="0821FA76" w14:textId="77777777" w:rsidTr="005554F0">
        <w:trPr>
          <w:trHeight w:val="320"/>
        </w:trPr>
        <w:tc>
          <w:tcPr>
            <w:tcW w:w="3020" w:type="dxa"/>
            <w:hideMark/>
          </w:tcPr>
          <w:p w14:paraId="0995715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系统架构</w:t>
            </w:r>
          </w:p>
        </w:tc>
        <w:tc>
          <w:tcPr>
            <w:tcW w:w="5000" w:type="dxa"/>
            <w:hideMark/>
          </w:tcPr>
          <w:p w14:paraId="452A7046"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EDW数据架构</w:t>
            </w:r>
          </w:p>
        </w:tc>
      </w:tr>
      <w:tr w:rsidR="005554F0" w:rsidRPr="005554F0" w14:paraId="1A6AB547" w14:textId="77777777" w:rsidTr="005554F0">
        <w:trPr>
          <w:trHeight w:val="1280"/>
        </w:trPr>
        <w:tc>
          <w:tcPr>
            <w:tcW w:w="3020" w:type="dxa"/>
            <w:hideMark/>
          </w:tcPr>
          <w:p w14:paraId="1A9229D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主要技术特点</w:t>
            </w:r>
          </w:p>
        </w:tc>
        <w:tc>
          <w:tcPr>
            <w:tcW w:w="5000" w:type="dxa"/>
            <w:hideMark/>
          </w:tcPr>
          <w:p w14:paraId="745C77BE"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数据仓库整体规划与咨询</w:t>
            </w:r>
            <w:r w:rsidRPr="005554F0">
              <w:rPr>
                <w:rFonts w:ascii="DengXian" w:eastAsia="DengXian" w:hAnsi="DengXian" w:cs="Times New Roman" w:hint="eastAsia"/>
                <w:color w:val="000000"/>
                <w:kern w:val="0"/>
              </w:rPr>
              <w:br/>
              <w:t>海量数据存储</w:t>
            </w:r>
            <w:r w:rsidRPr="005554F0">
              <w:rPr>
                <w:rFonts w:ascii="DengXian" w:eastAsia="DengXian" w:hAnsi="DengXian" w:cs="Times New Roman" w:hint="eastAsia"/>
                <w:color w:val="000000"/>
                <w:kern w:val="0"/>
              </w:rPr>
              <w:br/>
              <w:t>并行计算</w:t>
            </w:r>
            <w:r w:rsidRPr="005554F0">
              <w:rPr>
                <w:rFonts w:ascii="DengXian" w:eastAsia="DengXian" w:hAnsi="DengXian" w:cs="Times New Roman" w:hint="eastAsia"/>
                <w:color w:val="000000"/>
                <w:kern w:val="0"/>
              </w:rPr>
              <w:br/>
              <w:t>Teradata金融行业数据模型</w:t>
            </w:r>
          </w:p>
        </w:tc>
      </w:tr>
      <w:tr w:rsidR="005554F0" w:rsidRPr="005554F0" w14:paraId="1750DD77" w14:textId="77777777" w:rsidTr="005554F0">
        <w:trPr>
          <w:trHeight w:val="320"/>
        </w:trPr>
        <w:tc>
          <w:tcPr>
            <w:tcW w:w="3020" w:type="dxa"/>
            <w:hideMark/>
          </w:tcPr>
          <w:p w14:paraId="0AB92503"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现状</w:t>
            </w:r>
          </w:p>
        </w:tc>
        <w:tc>
          <w:tcPr>
            <w:tcW w:w="5000" w:type="dxa"/>
            <w:hideMark/>
          </w:tcPr>
          <w:p w14:paraId="7BCD8AC0"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已经投产运行</w:t>
            </w:r>
          </w:p>
        </w:tc>
      </w:tr>
      <w:tr w:rsidR="005554F0" w:rsidRPr="005554F0" w14:paraId="3E9EF0DF" w14:textId="77777777" w:rsidTr="005554F0">
        <w:trPr>
          <w:trHeight w:val="1280"/>
        </w:trPr>
        <w:tc>
          <w:tcPr>
            <w:tcW w:w="3020" w:type="dxa"/>
            <w:hideMark/>
          </w:tcPr>
          <w:p w14:paraId="144CDF7F"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lastRenderedPageBreak/>
              <w:t>主要参与人员</w:t>
            </w:r>
          </w:p>
        </w:tc>
        <w:tc>
          <w:tcPr>
            <w:tcW w:w="5000" w:type="dxa"/>
            <w:hideMark/>
          </w:tcPr>
          <w:p w14:paraId="6426C6A1" w14:textId="5EB3DAF8"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项目经理</w:t>
            </w:r>
            <w:r w:rsidR="00634A3C">
              <w:rPr>
                <w:rFonts w:ascii="DengXian" w:eastAsia="DengXian" w:hAnsi="DengXian" w:cs="Times New Roman" w:hint="eastAsia"/>
                <w:color w:val="000000"/>
                <w:kern w:val="0"/>
              </w:rPr>
              <w:t>：赵某</w:t>
            </w:r>
            <w:r w:rsidRPr="005554F0">
              <w:rPr>
                <w:rFonts w:ascii="DengXian" w:eastAsia="DengXian" w:hAnsi="DengXian" w:cs="Times New Roman" w:hint="eastAsia"/>
                <w:color w:val="000000"/>
                <w:kern w:val="0"/>
              </w:rPr>
              <w:t>军</w:t>
            </w:r>
            <w:r w:rsidRPr="005554F0">
              <w:rPr>
                <w:rFonts w:ascii="DengXian" w:eastAsia="DengXian" w:hAnsi="DengXian" w:cs="Times New Roman" w:hint="eastAsia"/>
                <w:color w:val="000000"/>
                <w:kern w:val="0"/>
              </w:rPr>
              <w:br/>
              <w:t>咨询顾问：刑</w:t>
            </w:r>
            <w:r w:rsidR="00634A3C">
              <w:rPr>
                <w:rFonts w:ascii="DengXian" w:eastAsia="DengXian" w:hAnsi="DengXian" w:cs="Times New Roman" w:hint="eastAsia"/>
                <w:color w:val="000000"/>
                <w:kern w:val="0"/>
              </w:rPr>
              <w:t>某</w:t>
            </w:r>
            <w:r w:rsidRPr="005554F0">
              <w:rPr>
                <w:rFonts w:ascii="DengXian" w:eastAsia="DengXian" w:hAnsi="DengXian" w:cs="Times New Roman" w:hint="eastAsia"/>
                <w:color w:val="000000"/>
                <w:kern w:val="0"/>
              </w:rPr>
              <w:t>莉</w:t>
            </w:r>
            <w:r w:rsidRPr="005554F0">
              <w:rPr>
                <w:rFonts w:ascii="DengXian" w:eastAsia="DengXian" w:hAnsi="DengXian" w:cs="Times New Roman" w:hint="eastAsia"/>
                <w:color w:val="000000"/>
                <w:kern w:val="0"/>
              </w:rPr>
              <w:br/>
              <w:t>模型师：孟</w:t>
            </w:r>
            <w:r w:rsidR="00634A3C">
              <w:rPr>
                <w:rFonts w:ascii="DengXian" w:eastAsia="DengXian" w:hAnsi="DengXian" w:cs="Times New Roman" w:hint="eastAsia"/>
                <w:color w:val="000000"/>
                <w:kern w:val="0"/>
              </w:rPr>
              <w:t>某脉、黄某</w:t>
            </w:r>
            <w:r w:rsidRPr="005554F0">
              <w:rPr>
                <w:rFonts w:ascii="DengXian" w:eastAsia="DengXian" w:hAnsi="DengXian" w:cs="Times New Roman" w:hint="eastAsia"/>
                <w:color w:val="000000"/>
                <w:kern w:val="0"/>
              </w:rPr>
              <w:t>辉</w:t>
            </w:r>
            <w:r w:rsidRPr="005554F0">
              <w:rPr>
                <w:rFonts w:ascii="DengXian" w:eastAsia="DengXian" w:hAnsi="DengXian" w:cs="Times New Roman" w:hint="eastAsia"/>
                <w:color w:val="000000"/>
                <w:kern w:val="0"/>
              </w:rPr>
              <w:br/>
              <w:t>ETL</w:t>
            </w:r>
            <w:r w:rsidR="00634A3C">
              <w:rPr>
                <w:rFonts w:ascii="DengXian" w:eastAsia="DengXian" w:hAnsi="DengXian" w:cs="Times New Roman" w:hint="eastAsia"/>
                <w:color w:val="000000"/>
                <w:kern w:val="0"/>
              </w:rPr>
              <w:t>：吉某鹏、刘某</w:t>
            </w:r>
            <w:r w:rsidRPr="005554F0">
              <w:rPr>
                <w:rFonts w:ascii="DengXian" w:eastAsia="DengXian" w:hAnsi="DengXian" w:cs="Times New Roman" w:hint="eastAsia"/>
                <w:color w:val="000000"/>
                <w:kern w:val="0"/>
              </w:rPr>
              <w:t>文</w:t>
            </w:r>
          </w:p>
        </w:tc>
      </w:tr>
      <w:tr w:rsidR="005554F0" w:rsidRPr="005554F0" w14:paraId="1A011C6F" w14:textId="77777777" w:rsidTr="005554F0">
        <w:trPr>
          <w:trHeight w:val="960"/>
        </w:trPr>
        <w:tc>
          <w:tcPr>
            <w:tcW w:w="3020" w:type="dxa"/>
            <w:hideMark/>
          </w:tcPr>
          <w:p w14:paraId="728B6171"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经验</w:t>
            </w:r>
          </w:p>
        </w:tc>
        <w:tc>
          <w:tcPr>
            <w:tcW w:w="5000" w:type="dxa"/>
            <w:hideMark/>
          </w:tcPr>
          <w:p w14:paraId="6826225C"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1、期货行业咨询规划与实施经验，对数据源的理解、</w:t>
            </w:r>
            <w:r w:rsidRPr="005554F0">
              <w:rPr>
                <w:rFonts w:ascii="DengXian" w:eastAsia="DengXian" w:hAnsi="DengXian" w:cs="Times New Roman" w:hint="eastAsia"/>
                <w:color w:val="000000"/>
                <w:kern w:val="0"/>
              </w:rPr>
              <w:br/>
              <w:t>2、金融模型在期货行业的客户化经验</w:t>
            </w:r>
          </w:p>
        </w:tc>
      </w:tr>
    </w:tbl>
    <w:p w14:paraId="344FA622" w14:textId="77777777" w:rsidR="005554F0" w:rsidRPr="005554F0" w:rsidRDefault="005554F0" w:rsidP="005554F0"/>
    <w:p w14:paraId="7BF71AD4" w14:textId="30751B4F" w:rsidR="002B07B6" w:rsidRDefault="002B07B6" w:rsidP="00A726CF">
      <w:pPr>
        <w:pStyle w:val="4"/>
      </w:pPr>
      <w:r>
        <w:rPr>
          <w:rFonts w:hint="eastAsia"/>
        </w:rPr>
        <w:t>客户简介</w:t>
      </w:r>
    </w:p>
    <w:p w14:paraId="145CF3CB" w14:textId="5CB06B62" w:rsidR="006863A0"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郑州商品交易所（以下简称郑商所）是经国务院批准成立的我国首家期货市场试点单位。郑商所隶属中国证券监督管理委员会管理。</w:t>
      </w:r>
    </w:p>
    <w:p w14:paraId="485F9A07" w14:textId="59A14CCE" w:rsidR="006863A0" w:rsidRPr="006863A0" w:rsidRDefault="006863A0" w:rsidP="00C415D0">
      <w:pPr>
        <w:spacing w:line="360" w:lineRule="auto"/>
        <w:ind w:firstLineChars="200" w:firstLine="480"/>
        <w:rPr>
          <w:rFonts w:ascii="SimSun" w:eastAsia="SimSun" w:hAnsi="SimSun"/>
        </w:rPr>
      </w:pPr>
      <w:r w:rsidRPr="006863A0">
        <w:rPr>
          <w:rFonts w:ascii="SimSun" w:eastAsia="SimSun" w:hAnsi="SimSun"/>
        </w:rPr>
        <w:t>郑商所按照《期货交易管理条例》和《期货交易所管理办法》履行职能。依据《郑州商品交易所章程》、《郑州商品交易所交易规则》及其实施细则和办法实行自律性管理。遵循公开、公平、公正和诚实信用的原则，为期货合约集中竞价交易提供场所、设施及相关服务，对期货交易进行市场一线监管，防范市场风险，安全组织交易。</w:t>
      </w:r>
    </w:p>
    <w:p w14:paraId="192B87BF" w14:textId="16A4D7DC" w:rsidR="002B07B6"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商所实行会员制。会员大会是郑商所权力机构，由全体会员组成。理事会是会员大会常设机构，下设战略发展、品种、监察、交易、交割、会员资格审查、调解、财务、技术、结算等10个专门委员会。截至2016年底，郑商所共有会员196家，分布在全国26个省（市）、自治区。其中期货公司会员155家，占会员总数的79%；非期货公司会员41家，占会员总数的21%。</w:t>
      </w:r>
    </w:p>
    <w:p w14:paraId="037EDC67" w14:textId="60035C41" w:rsidR="002B07B6" w:rsidRDefault="002B07B6" w:rsidP="00A726CF">
      <w:pPr>
        <w:pStyle w:val="4"/>
      </w:pPr>
      <w:r>
        <w:rPr>
          <w:rFonts w:hint="eastAsia"/>
        </w:rPr>
        <w:t>项目建设成果</w:t>
      </w:r>
    </w:p>
    <w:p w14:paraId="6BCC991B"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2014年，郑州商品交易数据仓库系统采用了Teradata公司的数据仓库平台</w:t>
      </w:r>
      <w:r w:rsidRPr="002B07B6">
        <w:rPr>
          <w:rFonts w:ascii="SimSun" w:eastAsia="SimSun" w:hAnsi="SimSun"/>
        </w:rPr>
        <w:lastRenderedPageBreak/>
        <w:t>产品。该项目是要在建立金融业务逻辑数据模型的基础上，整合企业各业务系统中的数据，构建企业级数据仓库，需要整合的源业务系统包括：交易结算系统、会员服务系统、品种信息数据库、市场监察系统、官方网站，并提供数据管理平台，包括元数据系统等、数据质量系统等。</w:t>
      </w:r>
    </w:p>
    <w:p w14:paraId="231A8B82"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通过建设数据仓库系统，到达如下总体目标：</w:t>
      </w:r>
    </w:p>
    <w:p w14:paraId="4C66C6E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一、基本平台建设方面：</w:t>
      </w:r>
    </w:p>
    <w:p w14:paraId="1DE8789D"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1. 建设企业级数据仓库模型，该模型以金融行业为蓝本，兼顾期货行业特点，具有稳定性、可扩展性、灵活性以及前瞻性。模型具有清晰的主题结构，将覆盖整个交易所现有以及目前可预见的全部业务。</w:t>
      </w:r>
    </w:p>
    <w:p w14:paraId="7A67CE76"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 建设企业级数据仓库，将逻辑模型固化，该数据仓库存储结构合理、层次明确，对各类数据进行统一采集、存储、清理、转换、汇总，形成企业统一数据字典以及统一数据口径。</w:t>
      </w:r>
    </w:p>
    <w:p w14:paraId="7B68843E"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3. 建设数据仓库统一管控平台，对数据仓库日常管理具有监控、管理功能，形成统一的数据质量、元数据管理机制。</w:t>
      </w:r>
    </w:p>
    <w:p w14:paraId="73A636A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二、应用建设方面：</w:t>
      </w:r>
    </w:p>
    <w:p w14:paraId="48BF52AB" w14:textId="67450ECC" w:rsidR="002B07B6" w:rsidRPr="002B07B6" w:rsidRDefault="002B07B6" w:rsidP="00F84092">
      <w:pPr>
        <w:spacing w:line="360" w:lineRule="auto"/>
        <w:ind w:firstLineChars="200" w:firstLine="480"/>
        <w:rPr>
          <w:rFonts w:ascii="SimSun" w:eastAsia="SimSun" w:hAnsi="SimSun"/>
        </w:rPr>
      </w:pPr>
      <w:r w:rsidRPr="002B07B6">
        <w:rPr>
          <w:rFonts w:ascii="SimSun" w:eastAsia="SimSun" w:hAnsi="SimSun"/>
        </w:rPr>
        <w:t>建设数据集市、集市模型、指标库、统一报表平台、即席查询、行为分析、领导驾驶舱、统一门户等，满足各业务部门在能对业务准确并及时了解其运行状态，对日常业务数据进行分析和统计的需要，</w:t>
      </w:r>
    </w:p>
    <w:p w14:paraId="6ED33918" w14:textId="4FC22CFF"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该项目由天睿信科提供了主要的软件开发实施服务。</w:t>
      </w:r>
      <w:r w:rsidR="00F84092">
        <w:rPr>
          <w:rFonts w:ascii="SimSun" w:eastAsia="SimSun" w:hAnsi="SimSun" w:hint="eastAsia"/>
        </w:rPr>
        <w:t>一期完成的工作</w:t>
      </w:r>
      <w:r w:rsidRPr="002B07B6">
        <w:rPr>
          <w:rFonts w:ascii="SimSun" w:eastAsia="SimSun" w:hAnsi="SimSun"/>
        </w:rPr>
        <w:t>包括：</w:t>
      </w:r>
    </w:p>
    <w:p w14:paraId="384238CB" w14:textId="58B355B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数据仓库体系架构设计</w:t>
      </w:r>
    </w:p>
    <w:p w14:paraId="5F898CF3" w14:textId="72EB986E"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信息调研</w:t>
      </w:r>
    </w:p>
    <w:p w14:paraId="3AF131E0" w14:textId="53439D1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逻辑数据模型设计</w:t>
      </w:r>
    </w:p>
    <w:p w14:paraId="521331EB" w14:textId="63EE28D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lastRenderedPageBreak/>
        <w:t>物理数据模型设计</w:t>
      </w:r>
    </w:p>
    <w:p w14:paraId="456EF284" w14:textId="42A17D6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ETL任务设计与开发</w:t>
      </w:r>
    </w:p>
    <w:p w14:paraId="4C5A8C3E" w14:textId="48547BDC"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ETL调度平台建议</w:t>
      </w:r>
    </w:p>
    <w:p w14:paraId="48C2FBA4" w14:textId="6C207D89"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元数据管理系统设计与开发</w:t>
      </w:r>
    </w:p>
    <w:p w14:paraId="7B3CA99A" w14:textId="357CF01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数据质量管理系统设计与开发</w:t>
      </w:r>
    </w:p>
    <w:p w14:paraId="61436FC8" w14:textId="1512D3C2"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历史数据补采</w:t>
      </w:r>
    </w:p>
    <w:p w14:paraId="65B19DDD" w14:textId="77777777" w:rsidR="003A48FD" w:rsidRDefault="003A48FD"/>
    <w:p w14:paraId="55CC99F2" w14:textId="153429A9" w:rsidR="002068A0" w:rsidRDefault="00344EC0" w:rsidP="00D27B81">
      <w:pPr>
        <w:pStyle w:val="3"/>
      </w:pPr>
      <w:r>
        <w:rPr>
          <w:rFonts w:hint="eastAsia"/>
        </w:rPr>
        <w:t>申万</w:t>
      </w:r>
      <w:r w:rsidR="002E31A9">
        <w:rPr>
          <w:rFonts w:hint="eastAsia"/>
        </w:rPr>
        <w:t>宏源证券案例</w:t>
      </w:r>
    </w:p>
    <w:tbl>
      <w:tblPr>
        <w:tblStyle w:val="a5"/>
        <w:tblW w:w="8356" w:type="dxa"/>
        <w:tblLook w:val="04A0" w:firstRow="1" w:lastRow="0" w:firstColumn="1" w:lastColumn="0" w:noHBand="0" w:noVBand="1"/>
      </w:tblPr>
      <w:tblGrid>
        <w:gridCol w:w="3020"/>
        <w:gridCol w:w="5336"/>
      </w:tblGrid>
      <w:tr w:rsidR="00491846" w:rsidRPr="00491846" w14:paraId="7A4B1544" w14:textId="77777777" w:rsidTr="00491846">
        <w:trPr>
          <w:trHeight w:val="320"/>
        </w:trPr>
        <w:tc>
          <w:tcPr>
            <w:tcW w:w="3020" w:type="dxa"/>
            <w:hideMark/>
          </w:tcPr>
          <w:p w14:paraId="54BDC00C"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客户案例名称</w:t>
            </w:r>
          </w:p>
        </w:tc>
        <w:tc>
          <w:tcPr>
            <w:tcW w:w="5336" w:type="dxa"/>
            <w:hideMark/>
          </w:tcPr>
          <w:p w14:paraId="0E7D5C50"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申万宏源证券案例</w:t>
            </w:r>
          </w:p>
        </w:tc>
      </w:tr>
      <w:tr w:rsidR="00491846" w:rsidRPr="00491846" w14:paraId="25C71680" w14:textId="77777777" w:rsidTr="00491846">
        <w:trPr>
          <w:trHeight w:val="1280"/>
        </w:trPr>
        <w:tc>
          <w:tcPr>
            <w:tcW w:w="3020" w:type="dxa"/>
            <w:hideMark/>
          </w:tcPr>
          <w:p w14:paraId="2D7BD85A"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案例规模</w:t>
            </w:r>
          </w:p>
        </w:tc>
        <w:tc>
          <w:tcPr>
            <w:tcW w:w="5336" w:type="dxa"/>
            <w:hideMark/>
          </w:tcPr>
          <w:p w14:paraId="0327B7E9"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先后接入38个源系统（原宏源31个，原申万7个）</w:t>
            </w:r>
            <w:r w:rsidRPr="00491846">
              <w:rPr>
                <w:rFonts w:ascii="DengXian" w:eastAsia="DengXian" w:hAnsi="DengXian" w:cs="Times New Roman" w:hint="eastAsia"/>
                <w:color w:val="000000"/>
                <w:kern w:val="0"/>
              </w:rPr>
              <w:br/>
              <w:t>数据量：25T</w:t>
            </w:r>
            <w:r w:rsidRPr="00491846">
              <w:rPr>
                <w:rFonts w:ascii="DengXian" w:eastAsia="DengXian" w:hAnsi="DengXian" w:cs="Times New Roman" w:hint="eastAsia"/>
                <w:color w:val="000000"/>
                <w:kern w:val="0"/>
              </w:rPr>
              <w:br/>
              <w:t>应用：13个业务部门，542个应用接口</w:t>
            </w:r>
          </w:p>
        </w:tc>
      </w:tr>
      <w:tr w:rsidR="00491846" w:rsidRPr="00491846" w14:paraId="57417268" w14:textId="77777777" w:rsidTr="00491846">
        <w:trPr>
          <w:trHeight w:val="320"/>
        </w:trPr>
        <w:tc>
          <w:tcPr>
            <w:tcW w:w="3020" w:type="dxa"/>
            <w:hideMark/>
          </w:tcPr>
          <w:p w14:paraId="61B6F076"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实施范围</w:t>
            </w:r>
          </w:p>
        </w:tc>
        <w:tc>
          <w:tcPr>
            <w:tcW w:w="5336" w:type="dxa"/>
            <w:hideMark/>
          </w:tcPr>
          <w:p w14:paraId="4233C60B" w14:textId="41E51E14" w:rsidR="00491846" w:rsidRPr="00491846" w:rsidRDefault="00D51CFA" w:rsidP="00D51CFA">
            <w:pPr>
              <w:widowControl/>
              <w:rPr>
                <w:rFonts w:ascii="DengXian" w:eastAsia="DengXian" w:hAnsi="DengXian" w:cs="Times New Roman"/>
                <w:b/>
                <w:bCs/>
                <w:color w:val="000000"/>
                <w:kern w:val="0"/>
              </w:rPr>
            </w:pPr>
            <w:r w:rsidRPr="00BD78AF">
              <w:rPr>
                <w:rFonts w:ascii="DengXian" w:eastAsia="DengXian" w:hAnsi="DengXian" w:cs="Times New Roman" w:hint="eastAsia"/>
                <w:color w:val="000000"/>
                <w:kern w:val="0"/>
              </w:rPr>
              <w:t>详见案例说明部份</w:t>
            </w:r>
          </w:p>
        </w:tc>
      </w:tr>
      <w:tr w:rsidR="00491846" w:rsidRPr="00491846" w14:paraId="00D4AD27" w14:textId="77777777" w:rsidTr="00491846">
        <w:trPr>
          <w:trHeight w:val="640"/>
        </w:trPr>
        <w:tc>
          <w:tcPr>
            <w:tcW w:w="3020" w:type="dxa"/>
            <w:hideMark/>
          </w:tcPr>
          <w:p w14:paraId="04CED487"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实施时间</w:t>
            </w:r>
          </w:p>
        </w:tc>
        <w:tc>
          <w:tcPr>
            <w:tcW w:w="5336" w:type="dxa"/>
            <w:hideMark/>
          </w:tcPr>
          <w:p w14:paraId="0DBC033B"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原宏源数据仓库：2011年-2012</w:t>
            </w:r>
            <w:r w:rsidRPr="00491846">
              <w:rPr>
                <w:rFonts w:ascii="DengXian" w:eastAsia="DengXian" w:hAnsi="DengXian" w:cs="Times New Roman" w:hint="eastAsia"/>
                <w:color w:val="000000"/>
                <w:kern w:val="0"/>
              </w:rPr>
              <w:br/>
              <w:t>申万宏源数据整合：2016年1月-至今</w:t>
            </w:r>
          </w:p>
        </w:tc>
      </w:tr>
      <w:tr w:rsidR="00491846" w:rsidRPr="00491846" w14:paraId="4694772E" w14:textId="77777777" w:rsidTr="00491846">
        <w:trPr>
          <w:trHeight w:val="320"/>
        </w:trPr>
        <w:tc>
          <w:tcPr>
            <w:tcW w:w="3020" w:type="dxa"/>
            <w:hideMark/>
          </w:tcPr>
          <w:p w14:paraId="7A0365EA"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数据仓库+大数据技术</w:t>
            </w:r>
          </w:p>
        </w:tc>
        <w:tc>
          <w:tcPr>
            <w:tcW w:w="5336" w:type="dxa"/>
            <w:hideMark/>
          </w:tcPr>
          <w:p w14:paraId="6F69BD6A"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数据仓库MPP</w:t>
            </w:r>
          </w:p>
        </w:tc>
      </w:tr>
      <w:tr w:rsidR="00491846" w:rsidRPr="00491846" w14:paraId="59D4B87C" w14:textId="77777777" w:rsidTr="00491846">
        <w:trPr>
          <w:trHeight w:val="320"/>
        </w:trPr>
        <w:tc>
          <w:tcPr>
            <w:tcW w:w="3020" w:type="dxa"/>
            <w:hideMark/>
          </w:tcPr>
          <w:p w14:paraId="48ACFA4D"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数据治理咨询</w:t>
            </w:r>
          </w:p>
        </w:tc>
        <w:tc>
          <w:tcPr>
            <w:tcW w:w="5336" w:type="dxa"/>
            <w:hideMark/>
          </w:tcPr>
          <w:p w14:paraId="2F0B269A"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无</w:t>
            </w:r>
          </w:p>
        </w:tc>
      </w:tr>
      <w:tr w:rsidR="00491846" w:rsidRPr="00491846" w14:paraId="6B97259A" w14:textId="77777777" w:rsidTr="00491846">
        <w:trPr>
          <w:trHeight w:val="320"/>
        </w:trPr>
        <w:tc>
          <w:tcPr>
            <w:tcW w:w="3020" w:type="dxa"/>
            <w:hideMark/>
          </w:tcPr>
          <w:p w14:paraId="50B66562"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系统架构</w:t>
            </w:r>
          </w:p>
        </w:tc>
        <w:tc>
          <w:tcPr>
            <w:tcW w:w="5336" w:type="dxa"/>
            <w:hideMark/>
          </w:tcPr>
          <w:p w14:paraId="005C2F81"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EDW双活数据架构</w:t>
            </w:r>
          </w:p>
        </w:tc>
      </w:tr>
      <w:tr w:rsidR="00491846" w:rsidRPr="00491846" w14:paraId="60336F1E" w14:textId="77777777" w:rsidTr="00491846">
        <w:trPr>
          <w:trHeight w:val="1600"/>
        </w:trPr>
        <w:tc>
          <w:tcPr>
            <w:tcW w:w="3020" w:type="dxa"/>
            <w:hideMark/>
          </w:tcPr>
          <w:p w14:paraId="208A7890"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主要技术特点</w:t>
            </w:r>
          </w:p>
        </w:tc>
        <w:tc>
          <w:tcPr>
            <w:tcW w:w="5336" w:type="dxa"/>
            <w:hideMark/>
          </w:tcPr>
          <w:p w14:paraId="7B3FF8A9"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数据仓库整体规划与咨询</w:t>
            </w:r>
            <w:r w:rsidRPr="00491846">
              <w:rPr>
                <w:rFonts w:ascii="DengXian" w:eastAsia="DengXian" w:hAnsi="DengXian" w:cs="Times New Roman" w:hint="eastAsia"/>
                <w:color w:val="000000"/>
                <w:kern w:val="0"/>
              </w:rPr>
              <w:br/>
              <w:t>海量数据存储</w:t>
            </w:r>
            <w:r w:rsidRPr="00491846">
              <w:rPr>
                <w:rFonts w:ascii="DengXian" w:eastAsia="DengXian" w:hAnsi="DengXian" w:cs="Times New Roman" w:hint="eastAsia"/>
                <w:color w:val="000000"/>
                <w:kern w:val="0"/>
              </w:rPr>
              <w:br/>
              <w:t>并行计算</w:t>
            </w:r>
            <w:r w:rsidRPr="00491846">
              <w:rPr>
                <w:rFonts w:ascii="DengXian" w:eastAsia="DengXian" w:hAnsi="DengXian" w:cs="Times New Roman" w:hint="eastAsia"/>
                <w:color w:val="000000"/>
                <w:kern w:val="0"/>
              </w:rPr>
              <w:br/>
              <w:t>Teradata金融行业数据模型</w:t>
            </w:r>
            <w:r w:rsidRPr="00491846">
              <w:rPr>
                <w:rFonts w:ascii="DengXian" w:eastAsia="DengXian" w:hAnsi="DengXian" w:cs="Times New Roman" w:hint="eastAsia"/>
                <w:color w:val="000000"/>
                <w:kern w:val="0"/>
              </w:rPr>
              <w:br/>
              <w:t>异地双活系统架构的实施</w:t>
            </w:r>
          </w:p>
        </w:tc>
      </w:tr>
      <w:tr w:rsidR="00491846" w:rsidRPr="00491846" w14:paraId="35E86AE7" w14:textId="77777777" w:rsidTr="00491846">
        <w:trPr>
          <w:trHeight w:val="640"/>
        </w:trPr>
        <w:tc>
          <w:tcPr>
            <w:tcW w:w="3020" w:type="dxa"/>
            <w:hideMark/>
          </w:tcPr>
          <w:p w14:paraId="303AB854"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现状</w:t>
            </w:r>
          </w:p>
        </w:tc>
        <w:tc>
          <w:tcPr>
            <w:tcW w:w="5336" w:type="dxa"/>
            <w:hideMark/>
          </w:tcPr>
          <w:p w14:paraId="57BE2D9B"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刚刚整合完原申万和原宏源数据入数据仓库，已经上线</w:t>
            </w:r>
          </w:p>
        </w:tc>
      </w:tr>
      <w:tr w:rsidR="00491846" w:rsidRPr="00491846" w14:paraId="545DA742" w14:textId="77777777" w:rsidTr="00491846">
        <w:trPr>
          <w:trHeight w:val="2560"/>
        </w:trPr>
        <w:tc>
          <w:tcPr>
            <w:tcW w:w="3020" w:type="dxa"/>
            <w:hideMark/>
          </w:tcPr>
          <w:p w14:paraId="3059E05C"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lastRenderedPageBreak/>
              <w:t>主要参与人员</w:t>
            </w:r>
          </w:p>
        </w:tc>
        <w:tc>
          <w:tcPr>
            <w:tcW w:w="5336" w:type="dxa"/>
            <w:hideMark/>
          </w:tcPr>
          <w:p w14:paraId="0300E4FE" w14:textId="746CB93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原宏源数据仓库：梅</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雁、刑</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莉等</w:t>
            </w:r>
            <w:r w:rsidRPr="00491846">
              <w:rPr>
                <w:rFonts w:ascii="DengXian" w:eastAsia="DengXian" w:hAnsi="DengXian" w:cs="Times New Roman" w:hint="eastAsia"/>
                <w:color w:val="000000"/>
                <w:kern w:val="0"/>
              </w:rPr>
              <w:br/>
              <w:t>申万宏源数据整合：</w:t>
            </w:r>
            <w:r w:rsidRPr="00491846">
              <w:rPr>
                <w:rFonts w:ascii="DengXian" w:eastAsia="DengXian" w:hAnsi="DengXian" w:cs="Times New Roman" w:hint="eastAsia"/>
                <w:color w:val="000000"/>
                <w:kern w:val="0"/>
              </w:rPr>
              <w:br/>
            </w:r>
            <w:r w:rsidR="003B746F">
              <w:rPr>
                <w:rFonts w:ascii="DengXian" w:eastAsia="DengXian" w:hAnsi="DengXian" w:cs="Times New Roman" w:hint="eastAsia"/>
                <w:color w:val="000000"/>
                <w:kern w:val="0"/>
              </w:rPr>
              <w:t>项目经理：赵某</w:t>
            </w:r>
            <w:r w:rsidRPr="00491846">
              <w:rPr>
                <w:rFonts w:ascii="DengXian" w:eastAsia="DengXian" w:hAnsi="DengXian" w:cs="Times New Roman" w:hint="eastAsia"/>
                <w:color w:val="000000"/>
                <w:kern w:val="0"/>
              </w:rPr>
              <w:t>军</w:t>
            </w:r>
            <w:r w:rsidRPr="00491846">
              <w:rPr>
                <w:rFonts w:ascii="DengXian" w:eastAsia="DengXian" w:hAnsi="DengXian" w:cs="Times New Roman" w:hint="eastAsia"/>
                <w:color w:val="000000"/>
                <w:kern w:val="0"/>
              </w:rPr>
              <w:br/>
              <w:t>咨询顾问：刑</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莉</w:t>
            </w:r>
            <w:r w:rsidRPr="00491846">
              <w:rPr>
                <w:rFonts w:ascii="DengXian" w:eastAsia="DengXian" w:hAnsi="DengXian" w:cs="Times New Roman" w:hint="eastAsia"/>
                <w:color w:val="000000"/>
                <w:kern w:val="0"/>
              </w:rPr>
              <w:br/>
              <w:t>模型师：孟</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脉、易</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李</w:t>
            </w:r>
            <w:r w:rsidRPr="00491846">
              <w:rPr>
                <w:rFonts w:ascii="DengXian" w:eastAsia="DengXian" w:hAnsi="DengXian" w:cs="Times New Roman" w:hint="eastAsia"/>
                <w:color w:val="000000"/>
                <w:kern w:val="0"/>
              </w:rPr>
              <w:br/>
              <w:t>ETL</w:t>
            </w:r>
            <w:r w:rsidR="003B746F">
              <w:rPr>
                <w:rFonts w:ascii="DengXian" w:eastAsia="DengXian" w:hAnsi="DengXian" w:cs="Times New Roman" w:hint="eastAsia"/>
                <w:color w:val="000000"/>
                <w:kern w:val="0"/>
              </w:rPr>
              <w:t>：吉某</w:t>
            </w:r>
            <w:r w:rsidRPr="00491846">
              <w:rPr>
                <w:rFonts w:ascii="DengXian" w:eastAsia="DengXian" w:hAnsi="DengXian" w:cs="Times New Roman" w:hint="eastAsia"/>
                <w:color w:val="000000"/>
                <w:kern w:val="0"/>
              </w:rPr>
              <w:t>鹏、李</w:t>
            </w:r>
            <w:r w:rsidR="003B746F">
              <w:rPr>
                <w:rFonts w:ascii="DengXian" w:eastAsia="DengXian" w:hAnsi="DengXian" w:cs="Times New Roman" w:hint="eastAsia"/>
                <w:color w:val="000000"/>
                <w:kern w:val="0"/>
              </w:rPr>
              <w:t>某沛、熊某</w:t>
            </w:r>
            <w:r w:rsidRPr="00491846">
              <w:rPr>
                <w:rFonts w:ascii="DengXian" w:eastAsia="DengXian" w:hAnsi="DengXian" w:cs="Times New Roman" w:hint="eastAsia"/>
                <w:color w:val="000000"/>
                <w:kern w:val="0"/>
              </w:rPr>
              <w:t>文</w:t>
            </w:r>
            <w:r w:rsidRPr="00491846">
              <w:rPr>
                <w:rFonts w:ascii="DengXian" w:eastAsia="DengXian" w:hAnsi="DengXian" w:cs="Times New Roman" w:hint="eastAsia"/>
                <w:color w:val="000000"/>
                <w:kern w:val="0"/>
              </w:rPr>
              <w:br/>
            </w:r>
            <w:r w:rsidR="003B746F">
              <w:rPr>
                <w:rFonts w:ascii="DengXian" w:eastAsia="DengXian" w:hAnsi="DengXian" w:cs="Times New Roman" w:hint="eastAsia"/>
                <w:color w:val="000000"/>
                <w:kern w:val="0"/>
              </w:rPr>
              <w:t>应用接口开发：张某学、左某</w:t>
            </w:r>
            <w:r w:rsidRPr="00491846">
              <w:rPr>
                <w:rFonts w:ascii="DengXian" w:eastAsia="DengXian" w:hAnsi="DengXian" w:cs="Times New Roman" w:hint="eastAsia"/>
                <w:color w:val="000000"/>
                <w:kern w:val="0"/>
              </w:rPr>
              <w:t>校</w:t>
            </w:r>
          </w:p>
        </w:tc>
      </w:tr>
      <w:tr w:rsidR="00491846" w:rsidRPr="00491846" w14:paraId="5BF6849E" w14:textId="77777777" w:rsidTr="00491846">
        <w:trPr>
          <w:trHeight w:val="1600"/>
        </w:trPr>
        <w:tc>
          <w:tcPr>
            <w:tcW w:w="3020" w:type="dxa"/>
            <w:hideMark/>
          </w:tcPr>
          <w:p w14:paraId="27E677A8"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经验</w:t>
            </w:r>
          </w:p>
        </w:tc>
        <w:tc>
          <w:tcPr>
            <w:tcW w:w="5336" w:type="dxa"/>
            <w:hideMark/>
          </w:tcPr>
          <w:p w14:paraId="4F8928FE"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1、证券行业咨询规划与实施经验，对数据源的理解</w:t>
            </w:r>
            <w:r w:rsidRPr="00491846">
              <w:rPr>
                <w:rFonts w:ascii="DengXian" w:eastAsia="DengXian" w:hAnsi="DengXian" w:cs="Times New Roman" w:hint="eastAsia"/>
                <w:color w:val="000000"/>
                <w:kern w:val="0"/>
              </w:rPr>
              <w:br/>
              <w:t>2、证券公司合并重组后的数据整合入仓经验</w:t>
            </w:r>
            <w:r w:rsidRPr="00491846">
              <w:rPr>
                <w:rFonts w:ascii="DengXian" w:eastAsia="DengXian" w:hAnsi="DengXian" w:cs="Times New Roman" w:hint="eastAsia"/>
                <w:color w:val="000000"/>
                <w:kern w:val="0"/>
              </w:rPr>
              <w:br/>
              <w:t>3、证券行业模型建设以及行业应用的快速构建</w:t>
            </w:r>
            <w:r w:rsidRPr="00491846">
              <w:rPr>
                <w:rFonts w:ascii="DengXian" w:eastAsia="DengXian" w:hAnsi="DengXian" w:cs="Times New Roman" w:hint="eastAsia"/>
                <w:color w:val="000000"/>
                <w:kern w:val="0"/>
              </w:rPr>
              <w:br/>
              <w:t>4、异地双活系统的建设经验</w:t>
            </w:r>
          </w:p>
        </w:tc>
      </w:tr>
    </w:tbl>
    <w:p w14:paraId="76FA591C" w14:textId="77777777" w:rsidR="00491846" w:rsidRPr="00491846" w:rsidRDefault="00491846" w:rsidP="00491846"/>
    <w:p w14:paraId="43ACB701" w14:textId="69BFFD6F" w:rsidR="0077145F" w:rsidRPr="0077145F" w:rsidRDefault="0077145F" w:rsidP="00A726CF">
      <w:pPr>
        <w:pStyle w:val="4"/>
      </w:pPr>
      <w:r w:rsidRPr="0077145F">
        <w:t>项目背景</w:t>
      </w:r>
    </w:p>
    <w:p w14:paraId="53F574AF"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经过多年的IT建设，已建立了经纪业务类、营销服务类、自营类、资管类、投行类、资讯类、其它管理类等多个信息系统。系统之间相互独立，既有数据重叠，更有数据缺失，不能形成共享整合的企业级数据平台，无法为公司分析决策提供完整的信息。</w:t>
      </w:r>
    </w:p>
    <w:p w14:paraId="0A8A36D1"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数据中心是支持证券公司实现基于数据的精细化营销、服务和管理从而提升核心竞争力的基础。只有建立一个企业级的数据中心才能高质量的满足持续不断的数据应用需求。为此，需要尽快建设以客户为中心、共享整合的企业数据中心,将客户数据和业务数据集中整合到统一的数据基础架构之中，并尝试运用多维分析、数据挖掘等商业智能工具进行客户分析和业务分析，发掘价值客户、预警客户流失、定向产品营销等，帮助证券公司提升营销服务和风险管控的能力。</w:t>
      </w:r>
    </w:p>
    <w:p w14:paraId="7365B036" w14:textId="77777777" w:rsidR="0077145F" w:rsidRPr="0077145F" w:rsidRDefault="0077145F" w:rsidP="0077145F">
      <w:pPr>
        <w:spacing w:line="360" w:lineRule="auto"/>
        <w:ind w:firstLineChars="200" w:firstLine="480"/>
        <w:rPr>
          <w:rFonts w:ascii="SimSun" w:eastAsia="SimSun" w:hAnsi="SimSun"/>
        </w:rPr>
      </w:pPr>
    </w:p>
    <w:p w14:paraId="1F2601FA" w14:textId="056A8A7B" w:rsidR="0077145F" w:rsidRPr="0077145F" w:rsidRDefault="0077145F" w:rsidP="00A726CF">
      <w:pPr>
        <w:pStyle w:val="4"/>
      </w:pPr>
      <w:r w:rsidRPr="0077145F">
        <w:lastRenderedPageBreak/>
        <w:t>项目成果</w:t>
      </w:r>
    </w:p>
    <w:p w14:paraId="10269F2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宏源证券企业级数据中心的建设是一个长期持续的过程，宏源数据中心项目采用“统筹规划、分步实施”的策略，分阶段有序推进：</w:t>
      </w:r>
    </w:p>
    <w:p w14:paraId="34B35728"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一期项目：建立技术平台，实现数据整合。其主要目标，一是为企业数据中心选择高效、可持续发展的技术平台，二是建立良好的可扩展的客户模型和业务数据模型，三是实现客户和业务数据整合，并在此数据中心的基础上开发业务急需的示范应用。客户和业务数据整合应优先建立统一的客户视图并实现经纪业务数据整合，在此基础上再逐步将其他业务和信息系统的数据整合到企业数据中心。</w:t>
      </w:r>
    </w:p>
    <w:p w14:paraId="5F236CC6"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二期项目：持续完善企业数据中心。将各类依赖于统一企业数据的信息系统的数据来源迁移到企业数据中心。</w:t>
      </w:r>
    </w:p>
    <w:p w14:paraId="6D10E09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三期项目：基于数据中心的业务应用与创新。整合的企业数据中心可为客户分析和业务分析提供全面支持，基于这些分析可以开发出各种新的业务和服务产品，推动公司创新发展。</w:t>
      </w:r>
    </w:p>
    <w:p w14:paraId="5805267E" w14:textId="3B83DF16" w:rsidR="002068A0" w:rsidRPr="0077145F" w:rsidRDefault="0077145F" w:rsidP="0077145F">
      <w:pPr>
        <w:spacing w:line="360" w:lineRule="auto"/>
        <w:ind w:firstLineChars="200" w:firstLine="480"/>
        <w:rPr>
          <w:rFonts w:ascii="SimSun" w:eastAsia="SimSun" w:hAnsi="SimSun"/>
        </w:rPr>
      </w:pPr>
      <w:r w:rsidRPr="0077145F">
        <w:rPr>
          <w:rFonts w:ascii="SimSun" w:eastAsia="SimSun" w:hAnsi="SimSun"/>
        </w:rPr>
        <w:t>2011年，宏源证券经过对国内多家数据仓库厂商平台的综合评价，最终选择了Teradata作为数据中心仓库平台。</w:t>
      </w:r>
    </w:p>
    <w:p w14:paraId="38A78FEF" w14:textId="7B5AA421" w:rsidR="00DB15E8" w:rsidRDefault="002E31A9" w:rsidP="006F57BB">
      <w:pPr>
        <w:pStyle w:val="2"/>
      </w:pPr>
      <w:r>
        <w:rPr>
          <w:rFonts w:hint="eastAsia"/>
        </w:rPr>
        <w:t>银行业</w:t>
      </w:r>
      <w:r w:rsidR="00DB15E8">
        <w:rPr>
          <w:rFonts w:hint="eastAsia"/>
        </w:rPr>
        <w:t>案例</w:t>
      </w:r>
    </w:p>
    <w:p w14:paraId="75B49738" w14:textId="77777777" w:rsidR="005A7DD7" w:rsidRDefault="005A7DD7" w:rsidP="00D27B81">
      <w:pPr>
        <w:pStyle w:val="3"/>
      </w:pPr>
      <w:r>
        <w:rPr>
          <w:rFonts w:hint="eastAsia"/>
        </w:rPr>
        <w:t>工商银行案例</w:t>
      </w:r>
    </w:p>
    <w:tbl>
      <w:tblPr>
        <w:tblStyle w:val="a5"/>
        <w:tblW w:w="8250" w:type="dxa"/>
        <w:tblLook w:val="04A0" w:firstRow="1" w:lastRow="0" w:firstColumn="1" w:lastColumn="0" w:noHBand="0" w:noVBand="1"/>
      </w:tblPr>
      <w:tblGrid>
        <w:gridCol w:w="3020"/>
        <w:gridCol w:w="5230"/>
      </w:tblGrid>
      <w:tr w:rsidR="00F846AC" w:rsidRPr="00F846AC" w14:paraId="49C610F3" w14:textId="77777777" w:rsidTr="00F846AC">
        <w:trPr>
          <w:trHeight w:val="320"/>
        </w:trPr>
        <w:tc>
          <w:tcPr>
            <w:tcW w:w="3020" w:type="dxa"/>
            <w:hideMark/>
          </w:tcPr>
          <w:p w14:paraId="030FF16F"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客户案例名称</w:t>
            </w:r>
          </w:p>
        </w:tc>
        <w:tc>
          <w:tcPr>
            <w:tcW w:w="5230" w:type="dxa"/>
            <w:hideMark/>
          </w:tcPr>
          <w:p w14:paraId="15ADDB6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工商银行</w:t>
            </w:r>
          </w:p>
        </w:tc>
      </w:tr>
      <w:tr w:rsidR="00F846AC" w:rsidRPr="00F846AC" w14:paraId="6FE8A5F6" w14:textId="77777777" w:rsidTr="00B33A7A">
        <w:trPr>
          <w:trHeight w:val="1332"/>
        </w:trPr>
        <w:tc>
          <w:tcPr>
            <w:tcW w:w="3020" w:type="dxa"/>
            <w:hideMark/>
          </w:tcPr>
          <w:p w14:paraId="4E851CA8"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案例规模</w:t>
            </w:r>
          </w:p>
        </w:tc>
        <w:tc>
          <w:tcPr>
            <w:tcW w:w="5230" w:type="dxa"/>
            <w:hideMark/>
          </w:tcPr>
          <w:p w14:paraId="63A945D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纳入113个源业务系统3430+张数据表，覆盖存款、贷款、信用卡、票据、基金、债券、理财、结售汇、贵金属、电子银行、金融衍生产品等领域，截止2015年底，积累了744T用户</w:t>
            </w:r>
            <w:r w:rsidRPr="00F846AC">
              <w:rPr>
                <w:rFonts w:ascii="DengXian" w:eastAsia="DengXian" w:hAnsi="DengXian" w:cs="Times New Roman" w:hint="eastAsia"/>
                <w:color w:val="000000"/>
                <w:kern w:val="0"/>
              </w:rPr>
              <w:lastRenderedPageBreak/>
              <w:t>数据，建立了80多个应用集市，为绩效考核、营销、综合统计等65个应用提供3487+数据接口服务</w:t>
            </w:r>
          </w:p>
        </w:tc>
      </w:tr>
      <w:tr w:rsidR="00F846AC" w:rsidRPr="00F846AC" w14:paraId="514927DA" w14:textId="77777777" w:rsidTr="00F846AC">
        <w:trPr>
          <w:trHeight w:val="320"/>
        </w:trPr>
        <w:tc>
          <w:tcPr>
            <w:tcW w:w="3020" w:type="dxa"/>
            <w:hideMark/>
          </w:tcPr>
          <w:p w14:paraId="4B33C74D"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lastRenderedPageBreak/>
              <w:t>实施范围</w:t>
            </w:r>
          </w:p>
        </w:tc>
        <w:tc>
          <w:tcPr>
            <w:tcW w:w="5230" w:type="dxa"/>
            <w:hideMark/>
          </w:tcPr>
          <w:p w14:paraId="1C71B568"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详见案例说明部份</w:t>
            </w:r>
          </w:p>
        </w:tc>
      </w:tr>
      <w:tr w:rsidR="00F846AC" w:rsidRPr="00F846AC" w14:paraId="1FC3BEFC" w14:textId="77777777" w:rsidTr="00F846AC">
        <w:trPr>
          <w:trHeight w:val="320"/>
        </w:trPr>
        <w:tc>
          <w:tcPr>
            <w:tcW w:w="3020" w:type="dxa"/>
            <w:hideMark/>
          </w:tcPr>
          <w:p w14:paraId="7E8AC490"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实施时间</w:t>
            </w:r>
          </w:p>
        </w:tc>
        <w:tc>
          <w:tcPr>
            <w:tcW w:w="5230" w:type="dxa"/>
            <w:hideMark/>
          </w:tcPr>
          <w:p w14:paraId="2CA3B782"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2005年至今</w:t>
            </w:r>
          </w:p>
        </w:tc>
      </w:tr>
      <w:tr w:rsidR="00F846AC" w:rsidRPr="00F846AC" w14:paraId="499925B3" w14:textId="77777777" w:rsidTr="00F846AC">
        <w:trPr>
          <w:trHeight w:val="320"/>
        </w:trPr>
        <w:tc>
          <w:tcPr>
            <w:tcW w:w="3020" w:type="dxa"/>
            <w:hideMark/>
          </w:tcPr>
          <w:p w14:paraId="33828B56"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数据仓库+大数据技术</w:t>
            </w:r>
          </w:p>
        </w:tc>
        <w:tc>
          <w:tcPr>
            <w:tcW w:w="5230" w:type="dxa"/>
            <w:hideMark/>
          </w:tcPr>
          <w:p w14:paraId="32282827"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数据仓库、Aster、Hadoop</w:t>
            </w:r>
          </w:p>
        </w:tc>
      </w:tr>
      <w:tr w:rsidR="00F846AC" w:rsidRPr="00F846AC" w14:paraId="655A06B0" w14:textId="77777777" w:rsidTr="00F846AC">
        <w:trPr>
          <w:trHeight w:val="320"/>
        </w:trPr>
        <w:tc>
          <w:tcPr>
            <w:tcW w:w="3020" w:type="dxa"/>
            <w:hideMark/>
          </w:tcPr>
          <w:p w14:paraId="13483373"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数据治理咨询</w:t>
            </w:r>
          </w:p>
        </w:tc>
        <w:tc>
          <w:tcPr>
            <w:tcW w:w="5230" w:type="dxa"/>
            <w:hideMark/>
          </w:tcPr>
          <w:p w14:paraId="53EA7A1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2008年开始数据治理咨询</w:t>
            </w:r>
          </w:p>
        </w:tc>
      </w:tr>
      <w:tr w:rsidR="00F846AC" w:rsidRPr="00F846AC" w14:paraId="4AFDE895" w14:textId="77777777" w:rsidTr="00F846AC">
        <w:trPr>
          <w:trHeight w:val="640"/>
        </w:trPr>
        <w:tc>
          <w:tcPr>
            <w:tcW w:w="3020" w:type="dxa"/>
            <w:hideMark/>
          </w:tcPr>
          <w:p w14:paraId="49BF7B55"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系统架构</w:t>
            </w:r>
          </w:p>
        </w:tc>
        <w:tc>
          <w:tcPr>
            <w:tcW w:w="5230" w:type="dxa"/>
            <w:hideMark/>
          </w:tcPr>
          <w:p w14:paraId="51EB4D36"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EDW双活</w:t>
            </w:r>
            <w:r w:rsidRPr="00F846AC">
              <w:rPr>
                <w:rFonts w:ascii="DengXian" w:eastAsia="DengXian" w:hAnsi="DengXian" w:cs="Times New Roman" w:hint="eastAsia"/>
                <w:color w:val="000000"/>
                <w:kern w:val="0"/>
              </w:rPr>
              <w:br/>
              <w:t>UDA架构：EDW+Aster+Hadoop</w:t>
            </w:r>
          </w:p>
        </w:tc>
      </w:tr>
      <w:tr w:rsidR="00F846AC" w:rsidRPr="00F846AC" w14:paraId="144962D2" w14:textId="77777777" w:rsidTr="00F846AC">
        <w:trPr>
          <w:trHeight w:val="1600"/>
        </w:trPr>
        <w:tc>
          <w:tcPr>
            <w:tcW w:w="3020" w:type="dxa"/>
            <w:hideMark/>
          </w:tcPr>
          <w:p w14:paraId="09D07F6A"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主要技术特点</w:t>
            </w:r>
          </w:p>
        </w:tc>
        <w:tc>
          <w:tcPr>
            <w:tcW w:w="5230" w:type="dxa"/>
            <w:hideMark/>
          </w:tcPr>
          <w:p w14:paraId="1EB4AC79"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数据仓库整体规划与咨询；</w:t>
            </w:r>
            <w:r w:rsidRPr="00F846AC">
              <w:rPr>
                <w:rFonts w:ascii="DengXian" w:eastAsia="DengXian" w:hAnsi="DengXian" w:cs="Times New Roman" w:hint="eastAsia"/>
                <w:color w:val="000000"/>
                <w:kern w:val="0"/>
              </w:rPr>
              <w:br/>
              <w:t>数据仓库成熟度评估</w:t>
            </w:r>
            <w:r w:rsidRPr="00F846AC">
              <w:rPr>
                <w:rFonts w:ascii="DengXian" w:eastAsia="DengXian" w:hAnsi="DengXian" w:cs="Times New Roman" w:hint="eastAsia"/>
                <w:color w:val="000000"/>
                <w:kern w:val="0"/>
              </w:rPr>
              <w:br/>
              <w:t>海量数据存储</w:t>
            </w:r>
            <w:r w:rsidRPr="00F846AC">
              <w:rPr>
                <w:rFonts w:ascii="DengXian" w:eastAsia="DengXian" w:hAnsi="DengXian" w:cs="Times New Roman" w:hint="eastAsia"/>
                <w:color w:val="000000"/>
                <w:kern w:val="0"/>
              </w:rPr>
              <w:br/>
              <w:t>并行计算</w:t>
            </w:r>
            <w:r w:rsidRPr="00F846AC">
              <w:rPr>
                <w:rFonts w:ascii="DengXian" w:eastAsia="DengXian" w:hAnsi="DengXian" w:cs="Times New Roman" w:hint="eastAsia"/>
                <w:color w:val="000000"/>
                <w:kern w:val="0"/>
              </w:rPr>
              <w:br/>
              <w:t>Teradata金融行业数据模型</w:t>
            </w:r>
          </w:p>
        </w:tc>
      </w:tr>
      <w:tr w:rsidR="00F846AC" w:rsidRPr="00F846AC" w14:paraId="52E039CF" w14:textId="77777777" w:rsidTr="00F846AC">
        <w:trPr>
          <w:trHeight w:val="640"/>
        </w:trPr>
        <w:tc>
          <w:tcPr>
            <w:tcW w:w="3020" w:type="dxa"/>
            <w:hideMark/>
          </w:tcPr>
          <w:p w14:paraId="5E60C2FE"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现状</w:t>
            </w:r>
          </w:p>
        </w:tc>
        <w:tc>
          <w:tcPr>
            <w:tcW w:w="5230" w:type="dxa"/>
            <w:hideMark/>
          </w:tcPr>
          <w:p w14:paraId="412566A9"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持续运维运行中；</w:t>
            </w:r>
          </w:p>
        </w:tc>
      </w:tr>
      <w:tr w:rsidR="00F846AC" w:rsidRPr="00F846AC" w14:paraId="069F5013" w14:textId="77777777" w:rsidTr="00F846AC">
        <w:trPr>
          <w:trHeight w:val="320"/>
        </w:trPr>
        <w:tc>
          <w:tcPr>
            <w:tcW w:w="3020" w:type="dxa"/>
            <w:hideMark/>
          </w:tcPr>
          <w:p w14:paraId="7F16A0EC"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主要参与人员</w:t>
            </w:r>
          </w:p>
        </w:tc>
        <w:tc>
          <w:tcPr>
            <w:tcW w:w="5230" w:type="dxa"/>
            <w:hideMark/>
          </w:tcPr>
          <w:p w14:paraId="22287F10" w14:textId="5D14EDDA" w:rsidR="00F846AC" w:rsidRPr="00F846AC" w:rsidRDefault="007E4347" w:rsidP="00F846AC">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陈某峰、谢某</w:t>
            </w:r>
            <w:r w:rsidR="00F846AC" w:rsidRPr="00F846AC">
              <w:rPr>
                <w:rFonts w:ascii="DengXian" w:eastAsia="DengXian" w:hAnsi="DengXian" w:cs="Times New Roman" w:hint="eastAsia"/>
                <w:color w:val="000000"/>
                <w:kern w:val="0"/>
              </w:rPr>
              <w:t>群等</w:t>
            </w:r>
          </w:p>
        </w:tc>
      </w:tr>
      <w:tr w:rsidR="00F846AC" w:rsidRPr="00F846AC" w14:paraId="6E13EE93" w14:textId="77777777" w:rsidTr="00F846AC">
        <w:trPr>
          <w:trHeight w:val="640"/>
        </w:trPr>
        <w:tc>
          <w:tcPr>
            <w:tcW w:w="3020" w:type="dxa"/>
            <w:hideMark/>
          </w:tcPr>
          <w:p w14:paraId="28CF926A"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经验</w:t>
            </w:r>
          </w:p>
        </w:tc>
        <w:tc>
          <w:tcPr>
            <w:tcW w:w="5230" w:type="dxa"/>
            <w:hideMark/>
          </w:tcPr>
          <w:p w14:paraId="3E30B81C"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全国性大型银行业数据平台咨询规划与实施经验， 对数据源的理解、模型建设以及行业应用的构建</w:t>
            </w:r>
          </w:p>
        </w:tc>
      </w:tr>
    </w:tbl>
    <w:p w14:paraId="43B173BE" w14:textId="77777777" w:rsidR="00AB4BC0" w:rsidRPr="00F846AC" w:rsidRDefault="00AB4BC0" w:rsidP="00AB4BC0"/>
    <w:p w14:paraId="2C1A4132" w14:textId="77777777" w:rsidR="005A7DD7" w:rsidRPr="008969C4" w:rsidRDefault="005A7DD7" w:rsidP="00A726CF">
      <w:pPr>
        <w:pStyle w:val="4"/>
      </w:pPr>
      <w:r w:rsidRPr="008969C4">
        <w:t>项目背景</w:t>
      </w:r>
    </w:p>
    <w:p w14:paraId="0643ECC4"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中国工商银行于2000年底起着手启动全行数据仓库建设。由于中国工商银行数据仓库建设初期业务需求迫切，为了加速建设步伐，确保周期短、投资小、见效快，中国工商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工商银行带来了巨大效益。</w:t>
      </w:r>
    </w:p>
    <w:p w14:paraId="76DEC74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lastRenderedPageBreak/>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5B8F27AF"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2004年10月份，中国工商银行启动了数据仓库逻辑数据模型客户化建设项目，整个项目建设历时5个月，基本形成了中国工商银行自有知识产权的数据仓库逻辑数据模型。</w:t>
      </w:r>
    </w:p>
    <w:p w14:paraId="1DF25665"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2005年3月，在顺利完成数据仓库逻辑数据模型建设项目后，中国工商银行启动了数据仓库物理平台选型测试的任务。该任务历时8个月，于05年11月顺利完成。物理平台选型测试工作作为中国工商银行数据仓库物理平台产品选型的参考、考察数据仓库产品厂商的技术水平、服务能力和实施经验的任务，为中国工商银行数据仓库物理平台的选型奠定了坚实的基础。</w:t>
      </w:r>
    </w:p>
    <w:p w14:paraId="74E910CB"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在进行数据仓库商务的同时，为保证后续数据仓库项目的顺利实施，2006年12月，中国工商银行启动了数据仓库体系建设规划研究项目，从架构、功能、规模等方面对数据仓库和数据集市进行规划，以指导后续数据仓库建设工作。</w:t>
      </w:r>
    </w:p>
    <w:p w14:paraId="2C362D1D"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2007年4月，中国工商银行数据仓库实施项目启动，到2008年1月正式上线试运行，开发测试工作历时10个月，已经顺利完成投产工作和系统上线。</w:t>
      </w:r>
    </w:p>
    <w:p w14:paraId="356D84A2" w14:textId="6B9CB9B4"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截至到目前，中国工商银行数据仓库建设已经进入第三期，</w:t>
      </w:r>
      <w:r w:rsidR="00550D3A" w:rsidRPr="00550D3A">
        <w:rPr>
          <w:rFonts w:ascii="SimSun" w:eastAsia="SimSun" w:hAnsi="SimSun" w:cs="Times New Roman" w:hint="eastAsia"/>
          <w:color w:val="000000"/>
          <w:kern w:val="0"/>
        </w:rPr>
        <w:t>纳入113个源业务系统3430+张数据表</w:t>
      </w:r>
      <w:r w:rsidRPr="008969C4">
        <w:rPr>
          <w:rFonts w:ascii="SimSun" w:eastAsia="SimSun" w:hAnsi="SimSun"/>
        </w:rPr>
        <w:t>，源系统覆盖范围达到90%以上。基础数据平台模型实体2072张，支持下游17个应用，160个数据接口。</w:t>
      </w:r>
    </w:p>
    <w:p w14:paraId="4585FF30" w14:textId="77777777" w:rsidR="005A7DD7" w:rsidRPr="008969C4" w:rsidRDefault="005A7DD7" w:rsidP="005A7DD7">
      <w:pPr>
        <w:spacing w:line="360" w:lineRule="auto"/>
        <w:ind w:firstLineChars="200" w:firstLine="480"/>
        <w:rPr>
          <w:rFonts w:ascii="SimSun" w:eastAsia="SimSun" w:hAnsi="SimSun"/>
        </w:rPr>
      </w:pPr>
      <w:r w:rsidRPr="006F565D">
        <w:rPr>
          <w:rFonts w:ascii="Arial" w:hAnsi="Arial" w:cs="Arial"/>
        </w:rPr>
        <w:object w:dxaOrig="10426" w:dyaOrig="4570" w14:anchorId="5CEB0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8pt;height:191.6pt" o:ole="" o:allowoverlap="f">
            <v:imagedata r:id="rId6" o:title=""/>
          </v:shape>
          <o:OLEObject Type="Embed" ProgID="Visio.Drawing.11" ShapeID="_x0000_i1025" DrawAspect="Content" ObjectID="_1552996827" r:id="rId7"/>
        </w:object>
      </w:r>
    </w:p>
    <w:p w14:paraId="409BA117" w14:textId="77777777" w:rsidR="005A7DD7" w:rsidRPr="008969C4" w:rsidRDefault="005A7DD7" w:rsidP="00A726CF">
      <w:pPr>
        <w:pStyle w:val="4"/>
      </w:pPr>
      <w:r>
        <w:t>项目</w:t>
      </w:r>
      <w:r w:rsidRPr="008969C4">
        <w:t>成果</w:t>
      </w:r>
    </w:p>
    <w:p w14:paraId="2D7FC23A" w14:textId="77777777" w:rsidR="005A7DD7" w:rsidRPr="00523096" w:rsidRDefault="005A7DD7" w:rsidP="002F6FF5">
      <w:pPr>
        <w:pStyle w:val="a3"/>
        <w:numPr>
          <w:ilvl w:val="1"/>
          <w:numId w:val="5"/>
        </w:numPr>
        <w:spacing w:line="360" w:lineRule="auto"/>
        <w:ind w:firstLineChars="0"/>
        <w:rPr>
          <w:rFonts w:ascii="SimSun" w:eastAsia="SimSun" w:hAnsi="SimSun"/>
          <w:b/>
        </w:rPr>
      </w:pPr>
      <w:r w:rsidRPr="00523096">
        <w:rPr>
          <w:rFonts w:ascii="SimSun" w:eastAsia="SimSun" w:hAnsi="SimSun"/>
          <w:b/>
        </w:rPr>
        <w:t>一期成果</w:t>
      </w:r>
    </w:p>
    <w:p w14:paraId="194B00DE"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设计并建立企业级基础数据平台基础设施；</w:t>
      </w:r>
    </w:p>
    <w:p w14:paraId="6D6CF74C"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设计数据管控体系与数据基础数据平台管理模式；</w:t>
      </w:r>
    </w:p>
    <w:p w14:paraId="085816B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建立基础数据平台开发、测试、运行架构；</w:t>
      </w:r>
    </w:p>
    <w:p w14:paraId="366C7147"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对FS-LDM7.0进行客户化；</w:t>
      </w:r>
    </w:p>
    <w:p w14:paraId="794281DD"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分析上游共107个应用，其中重点分析应用68个，最终决定本期入仓52个，其中主机23个，开放平台29个；分析源表9438张，其中确定入仓的表1186张，其中存量方式下载687个，增量方式下载499个；候选表1367张；</w:t>
      </w:r>
    </w:p>
    <w:p w14:paraId="077CE9A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开发3个应用，非零售信用风险内部评级、资本金管理、指标库。</w:t>
      </w:r>
    </w:p>
    <w:p w14:paraId="5E1C9AEF"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建立元数据信息管理平台；</w:t>
      </w:r>
    </w:p>
    <w:p w14:paraId="0A70B8EA"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建立数据质量检查平台；</w:t>
      </w:r>
    </w:p>
    <w:p w14:paraId="2172A6AD" w14:textId="77777777" w:rsidR="005A7DD7" w:rsidRPr="00523096" w:rsidRDefault="005A7DD7" w:rsidP="002F6FF5">
      <w:pPr>
        <w:pStyle w:val="a3"/>
        <w:numPr>
          <w:ilvl w:val="0"/>
          <w:numId w:val="14"/>
        </w:numPr>
        <w:spacing w:line="360" w:lineRule="auto"/>
        <w:ind w:firstLineChars="0"/>
        <w:rPr>
          <w:rFonts w:ascii="SimSun" w:eastAsia="SimSun" w:hAnsi="SimSun"/>
          <w:b/>
        </w:rPr>
      </w:pPr>
      <w:r w:rsidRPr="00523096">
        <w:rPr>
          <w:rFonts w:ascii="SimSun" w:eastAsia="SimSun" w:hAnsi="SimSun"/>
          <w:b/>
        </w:rPr>
        <w:t>二期成果</w:t>
      </w:r>
    </w:p>
    <w:p w14:paraId="4671012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lastRenderedPageBreak/>
        <w:t>继续增加整合10个源系统，追加源表近400张，使得入仓源系统总数达到62个，源表总数达到1566张；</w:t>
      </w:r>
    </w:p>
    <w:p w14:paraId="7845375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对数据模型进行优化；</w:t>
      </w:r>
    </w:p>
    <w:p w14:paraId="1269C59A"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对ETL调度进行优化；</w:t>
      </w:r>
    </w:p>
    <w:p w14:paraId="7ECE5E1D"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开发支持银税报表应用</w:t>
      </w:r>
    </w:p>
    <w:p w14:paraId="4DFD6F1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开发支持金融监管报表（1104)</w:t>
      </w:r>
    </w:p>
    <w:p w14:paraId="0E9B258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开发支持ATM流程优化应用</w:t>
      </w:r>
    </w:p>
    <w:p w14:paraId="70FAE4D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开发支持非居民存款业务统计应用</w:t>
      </w:r>
    </w:p>
    <w:p w14:paraId="642AB6B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开发支持个人目标客户监控分析应用</w:t>
      </w:r>
    </w:p>
    <w:p w14:paraId="55AF9E5C"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开发支持专业化经营、系统化管理 改革及绩效评估应用</w:t>
      </w:r>
    </w:p>
    <w:p w14:paraId="4D5B0524"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开发支持数据质量管理平台应用</w:t>
      </w:r>
    </w:p>
    <w:p w14:paraId="37E1082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开发支持PCRM数据源切换</w:t>
      </w:r>
    </w:p>
    <w:p w14:paraId="4F01897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开发支持法人不良贷款欠款扣收应用</w:t>
      </w:r>
    </w:p>
    <w:p w14:paraId="090486C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开发支持个人客户内部评级应用</w:t>
      </w:r>
    </w:p>
    <w:p w14:paraId="0DB28E1B"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开发支持理财自动化报表应用</w:t>
      </w:r>
    </w:p>
    <w:p w14:paraId="16025C2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开发支持业务运营风险管理系统</w:t>
      </w:r>
    </w:p>
    <w:p w14:paraId="7397174A"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开发支持存贷通理财协议项目</w:t>
      </w:r>
    </w:p>
    <w:p w14:paraId="0665762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开发支持个人客户财富管理</w:t>
      </w:r>
    </w:p>
    <w:p w14:paraId="7D71C0C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开发支持境内机构布局优化模型评估</w:t>
      </w:r>
    </w:p>
    <w:p w14:paraId="0FFC941E" w14:textId="77777777" w:rsidR="005A7DD7" w:rsidRPr="00523096" w:rsidRDefault="005A7DD7" w:rsidP="002F6FF5">
      <w:pPr>
        <w:pStyle w:val="a3"/>
        <w:numPr>
          <w:ilvl w:val="0"/>
          <w:numId w:val="15"/>
        </w:numPr>
        <w:spacing w:line="360" w:lineRule="auto"/>
        <w:ind w:firstLineChars="0"/>
        <w:rPr>
          <w:rFonts w:ascii="SimSun" w:eastAsia="SimSun" w:hAnsi="SimSun"/>
          <w:b/>
        </w:rPr>
      </w:pPr>
      <w:r w:rsidRPr="00523096">
        <w:rPr>
          <w:rFonts w:ascii="SimSun" w:eastAsia="SimSun" w:hAnsi="SimSun"/>
          <w:b/>
        </w:rPr>
        <w:t>三期成果</w:t>
      </w:r>
    </w:p>
    <w:p w14:paraId="67CAFADE"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开发支持CIIS-PCRS联动查询</w:t>
      </w:r>
    </w:p>
    <w:p w14:paraId="71070AC9"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开发支持个人征信数据源切换</w:t>
      </w:r>
    </w:p>
    <w:p w14:paraId="3635AFB1"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lastRenderedPageBreak/>
        <w:t>开发支持私人银行客户关系管理及投资组合管理</w:t>
      </w:r>
    </w:p>
    <w:p w14:paraId="44A1D7B7"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开发支持新一代全球现金管理</w:t>
      </w:r>
    </w:p>
    <w:p w14:paraId="0FDD6D16" w14:textId="77777777" w:rsidR="005A7DD7" w:rsidRPr="005C0E33" w:rsidRDefault="005A7DD7" w:rsidP="00A726CF">
      <w:pPr>
        <w:pStyle w:val="4"/>
      </w:pPr>
      <w:r w:rsidRPr="005C0E33">
        <w:t>实施效益</w:t>
      </w:r>
    </w:p>
    <w:p w14:paraId="3CAEA428"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经过近两年的持续开发和建设，中国工商银行数据仓库系统在不断的发展壮大，随着整合源系统数目的增加，仓库已经积累了大量的数据，成为全行整合度最高、信息量最大的系统之一。支持的应用的数目也从一期的3个扩充到现在的17个，并初步建立起比较完善的元数据管理、数据质量体系。当然中国工商银行数据仓库的数据规模之大、复杂程度之高也是国内绝无仅有的，所以尽管经历了历时两年的开发，系统仍然处在一个逐步开放阶段，应用开发方式仍以加工对外供数支持为主，即席查询也刚刚开始对总行各部门开放，正准备逐步向分行推广。但必竟已是初见成效，特别是对17个应用的数据支持。具体实现效益如下：</w:t>
      </w:r>
    </w:p>
    <w:p w14:paraId="12DC7118"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非零售信用风险内部评级：是非零售信用风险内部评级业务应用体系的重要构成部分，其主要目的是为非零售信用风险内部评级模型研发、模型有效性后验及优化、评级体系运行监控、以及信用风险项下的压力测试等业务管理应用提供数据平台支持，并逐步构建以相关数据支持为基础的业务管理应用；</w:t>
      </w:r>
    </w:p>
    <w:p w14:paraId="2DEB620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资本金：接口包括法人贷款的信用风险经济资本计量，个人贷款的信用风险经济资本计量，资金业务、无息资产和表外资产信用风险经济资本计量、债券投资的信用风险经济资本计量，票据贴现的信用风险经济资本计量，银行卡透支的信用风险经济资本计量，操作风险经济资本计量，其他风险经济资本计量，法人贷款关联客户信息文件，个人贷款合同和</w:t>
      </w:r>
      <w:r w:rsidRPr="00852C43">
        <w:rPr>
          <w:rFonts w:ascii="SimSun" w:eastAsia="SimSun" w:hAnsi="SimSun"/>
        </w:rPr>
        <w:lastRenderedPageBreak/>
        <w:t>相关合同文件；</w:t>
      </w:r>
    </w:p>
    <w:p w14:paraId="3A1CD593"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 xml:space="preserve">指标库：建立起中国工商银行的常用报表指标库，利用数据仓库强大的计算引挚进行计算，业务部门可以方便的取用计算好的指标数据，也可以方便的定制修改指标定义，形成全行标准的指标库； </w:t>
      </w:r>
    </w:p>
    <w:p w14:paraId="7F3A4E3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银税报表：定期为税务部门提供企业的资产负债表、现金流量表，损益表等数据；</w:t>
      </w:r>
    </w:p>
    <w:p w14:paraId="7AD80180"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金融监管报表（1104)：将1104监管报表移植到数据仓库上来，使得1104报表数据更加准确、完整；</w:t>
      </w:r>
    </w:p>
    <w:p w14:paraId="4BBE8436"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ATM流程优化：统计各地区、各机构的自助设备配备情况，以及自助设备在柜台客户分流方面的具体作用，从而分析自助设备配备的合理性，为自助设备配置优化提供参考依据；</w:t>
      </w:r>
    </w:p>
    <w:p w14:paraId="66E2D711"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PCRM数据源切换：将原来在SAS上开发和PCRM移植到数据仓库，利用数据仓库强大的计算引挚进行处理，原来的PCRM系统只能处理部分高端客户，准确性和完整性能稍差些，而且存在性能问题，移植到EDW以后，这些问题就不存在了；</w:t>
      </w:r>
    </w:p>
    <w:p w14:paraId="2761A402"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非居民存款业务统计：根据外汇管理局的要求，将人民币非居民个人存款纳入热钱监测范围。实现3个接口：非居民个人存款汇总、港澳非居民存款汇总、台湾非居民存款汇总；</w:t>
      </w:r>
    </w:p>
    <w:p w14:paraId="67DDABBA"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个人目标客户监控分析：二级支行、支行、二级分行、分行、总行潜力客户统计；</w:t>
      </w:r>
    </w:p>
    <w:p w14:paraId="3E11F7F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专业化经营、系统化管理、改革及绩效评估：网点中间业务销售额统计、客户经理中间业务销售额统计；</w:t>
      </w:r>
    </w:p>
    <w:p w14:paraId="52622F5F"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lastRenderedPageBreak/>
        <w:t>法人不良贷款欠款扣收：不良客户欠款扣收二期07年10月投产，基本实现不良个人客户与其关联人、帐销案存客户在全国的资产和存款信息自动匹配、自动下发功能。包括欠款明细、存款明细、资产信息、关联企业存款信息、关联企业资产信息、月初客户信息、法人代表存款明细；</w:t>
      </w:r>
    </w:p>
    <w:p w14:paraId="1BC02049"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个人客户内部评级：一期做了非零售客户的内部评级，二期继续开发零售客户的内部评级，也是按照BASEL II的要求，支持个人客户信用风险内部评级模型研发、模型有效性后验及优化、评级体系运行监控、以及信用风险项下的压力测试等业务管理应用提供数据平台支持，并逐步构建以相关数据支持为基础的业务管理应用；所用的信息项主要包括借据信息、客户信息、借据还款信息、逾期借据信息等；</w:t>
      </w:r>
    </w:p>
    <w:p w14:paraId="34A3630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理财自动化报表：实现理财产品经营信息自动从EDW和其他业务系统的自动抽取，并且根据业务规则生成各种理财产品的基本信息，各理财产品分机构营销情况，分渠道营销情况，分客户营销情况，贡献度分析等。目前实现的理财产品包括：自主发行，代理销售，代客理财；</w:t>
      </w:r>
    </w:p>
    <w:p w14:paraId="7B1A69C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业务运营风险管理系统：通过统计个人活期账户交易情况来计算个人活期账户资金偏离度；</w:t>
      </w:r>
    </w:p>
    <w:p w14:paraId="3F5871D3"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存贷通理财协议项目：主要统计存贷通理财协议的各类信息；</w:t>
      </w:r>
    </w:p>
    <w:p w14:paraId="3F137B9A"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个人客户财富管理：为资产在100万以上的财富客户提供专属服务，EDW提供财富客户金融资产统计、签约、流失、金融资产销售、开销户统计；</w:t>
      </w:r>
    </w:p>
    <w:p w14:paraId="6979958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境内机构布局优化模型评估：提供对私、对公总体情况，对私、对公账户情况，网点绩效考核统计；</w:t>
      </w:r>
    </w:p>
    <w:p w14:paraId="334DBED1" w14:textId="10580EDD" w:rsidR="005A7DD7" w:rsidRPr="005A7DD7" w:rsidRDefault="005A7DD7" w:rsidP="002F6FF5">
      <w:pPr>
        <w:pStyle w:val="a3"/>
        <w:numPr>
          <w:ilvl w:val="0"/>
          <w:numId w:val="19"/>
        </w:numPr>
        <w:spacing w:line="360" w:lineRule="auto"/>
        <w:ind w:firstLineChars="0"/>
        <w:rPr>
          <w:rFonts w:ascii="SimSun" w:eastAsia="SimSun" w:hAnsi="SimSun"/>
        </w:rPr>
      </w:pPr>
      <w:r w:rsidRPr="005A7DD7">
        <w:rPr>
          <w:rFonts w:ascii="SimSun" w:eastAsia="SimSun" w:hAnsi="SimSun"/>
        </w:rPr>
        <w:t>基于仓库的即席查询也在逐步推广，目前，已对总行包括管信部、信用</w:t>
      </w:r>
      <w:r w:rsidRPr="005A7DD7">
        <w:rPr>
          <w:rFonts w:ascii="SimSun" w:eastAsia="SimSun" w:hAnsi="SimSun"/>
        </w:rPr>
        <w:lastRenderedPageBreak/>
        <w:t>卡部等7个业务部门开放了即席查询功能，目前正准备逐步向分行做试点推广工作。</w:t>
      </w:r>
    </w:p>
    <w:p w14:paraId="560798AA" w14:textId="5FE00E6B" w:rsidR="00DB15E8" w:rsidRDefault="00A969C3" w:rsidP="00D27B81">
      <w:pPr>
        <w:pStyle w:val="3"/>
      </w:pPr>
      <w:r>
        <w:rPr>
          <w:rFonts w:hint="eastAsia"/>
        </w:rPr>
        <w:t>招商银行案例</w:t>
      </w:r>
    </w:p>
    <w:tbl>
      <w:tblPr>
        <w:tblStyle w:val="a5"/>
        <w:tblW w:w="8660" w:type="dxa"/>
        <w:tblLook w:val="04A0" w:firstRow="1" w:lastRow="0" w:firstColumn="1" w:lastColumn="0" w:noHBand="0" w:noVBand="1"/>
      </w:tblPr>
      <w:tblGrid>
        <w:gridCol w:w="3020"/>
        <w:gridCol w:w="5640"/>
      </w:tblGrid>
      <w:tr w:rsidR="00CA6FA4" w:rsidRPr="00CA6FA4" w14:paraId="0FF1E428" w14:textId="77777777" w:rsidTr="00CA6FA4">
        <w:trPr>
          <w:trHeight w:val="320"/>
        </w:trPr>
        <w:tc>
          <w:tcPr>
            <w:tcW w:w="3020" w:type="dxa"/>
            <w:hideMark/>
          </w:tcPr>
          <w:p w14:paraId="31D08435"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客户案例名称</w:t>
            </w:r>
          </w:p>
        </w:tc>
        <w:tc>
          <w:tcPr>
            <w:tcW w:w="5640" w:type="dxa"/>
            <w:hideMark/>
          </w:tcPr>
          <w:p w14:paraId="276CB1E8"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招商银行</w:t>
            </w:r>
          </w:p>
        </w:tc>
      </w:tr>
      <w:tr w:rsidR="00CA6FA4" w:rsidRPr="00CA6FA4" w14:paraId="316AE859" w14:textId="77777777" w:rsidTr="00CA6FA4">
        <w:trPr>
          <w:trHeight w:val="320"/>
        </w:trPr>
        <w:tc>
          <w:tcPr>
            <w:tcW w:w="3020" w:type="dxa"/>
            <w:hideMark/>
          </w:tcPr>
          <w:p w14:paraId="4DCA81F6"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案例规模</w:t>
            </w:r>
          </w:p>
        </w:tc>
        <w:tc>
          <w:tcPr>
            <w:tcW w:w="5640" w:type="dxa"/>
            <w:hideMark/>
          </w:tcPr>
          <w:p w14:paraId="6CE89361"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累计发布60+应用，数据量615T</w:t>
            </w:r>
          </w:p>
        </w:tc>
      </w:tr>
      <w:tr w:rsidR="00CA6FA4" w:rsidRPr="00CA6FA4" w14:paraId="5C53C9F3" w14:textId="77777777" w:rsidTr="00CA6FA4">
        <w:trPr>
          <w:trHeight w:val="320"/>
        </w:trPr>
        <w:tc>
          <w:tcPr>
            <w:tcW w:w="3020" w:type="dxa"/>
            <w:hideMark/>
          </w:tcPr>
          <w:p w14:paraId="6D607EC3"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实施范围</w:t>
            </w:r>
          </w:p>
        </w:tc>
        <w:tc>
          <w:tcPr>
            <w:tcW w:w="5640" w:type="dxa"/>
            <w:hideMark/>
          </w:tcPr>
          <w:p w14:paraId="29EBF647"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详见案例说明部份</w:t>
            </w:r>
          </w:p>
        </w:tc>
      </w:tr>
      <w:tr w:rsidR="00CA6FA4" w:rsidRPr="00CA6FA4" w14:paraId="3B9325E9" w14:textId="77777777" w:rsidTr="00CA6FA4">
        <w:trPr>
          <w:trHeight w:val="320"/>
        </w:trPr>
        <w:tc>
          <w:tcPr>
            <w:tcW w:w="3020" w:type="dxa"/>
            <w:hideMark/>
          </w:tcPr>
          <w:p w14:paraId="1577460C"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实施时间</w:t>
            </w:r>
          </w:p>
        </w:tc>
        <w:tc>
          <w:tcPr>
            <w:tcW w:w="5640" w:type="dxa"/>
            <w:hideMark/>
          </w:tcPr>
          <w:p w14:paraId="1BC6FAE0"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2013.06至今</w:t>
            </w:r>
          </w:p>
        </w:tc>
      </w:tr>
      <w:tr w:rsidR="00CA6FA4" w:rsidRPr="00CA6FA4" w14:paraId="0E7FF69E" w14:textId="77777777" w:rsidTr="00CA6FA4">
        <w:trPr>
          <w:trHeight w:val="320"/>
        </w:trPr>
        <w:tc>
          <w:tcPr>
            <w:tcW w:w="3020" w:type="dxa"/>
            <w:hideMark/>
          </w:tcPr>
          <w:p w14:paraId="172240E0"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数据仓库+大数据技术</w:t>
            </w:r>
          </w:p>
        </w:tc>
        <w:tc>
          <w:tcPr>
            <w:tcW w:w="5640" w:type="dxa"/>
            <w:hideMark/>
          </w:tcPr>
          <w:p w14:paraId="181F9410"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数据仓库MPP</w:t>
            </w:r>
          </w:p>
        </w:tc>
      </w:tr>
      <w:tr w:rsidR="00CA6FA4" w:rsidRPr="00CA6FA4" w14:paraId="3A4E4295" w14:textId="77777777" w:rsidTr="00CA6FA4">
        <w:trPr>
          <w:trHeight w:val="320"/>
        </w:trPr>
        <w:tc>
          <w:tcPr>
            <w:tcW w:w="3020" w:type="dxa"/>
            <w:hideMark/>
          </w:tcPr>
          <w:p w14:paraId="5E24C5D7"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数据治理咨询</w:t>
            </w:r>
          </w:p>
        </w:tc>
        <w:tc>
          <w:tcPr>
            <w:tcW w:w="5640" w:type="dxa"/>
            <w:hideMark/>
          </w:tcPr>
          <w:p w14:paraId="43C6BD05"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目前正在规划数据治理咨询项目</w:t>
            </w:r>
          </w:p>
        </w:tc>
      </w:tr>
      <w:tr w:rsidR="00CA6FA4" w:rsidRPr="00CA6FA4" w14:paraId="6AF378AD" w14:textId="77777777" w:rsidTr="00CA6FA4">
        <w:trPr>
          <w:trHeight w:val="320"/>
        </w:trPr>
        <w:tc>
          <w:tcPr>
            <w:tcW w:w="3020" w:type="dxa"/>
            <w:hideMark/>
          </w:tcPr>
          <w:p w14:paraId="675D18D5"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系统架构</w:t>
            </w:r>
          </w:p>
        </w:tc>
        <w:tc>
          <w:tcPr>
            <w:tcW w:w="5640" w:type="dxa"/>
            <w:hideMark/>
          </w:tcPr>
          <w:p w14:paraId="798E80E3"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EDW双活数据架构</w:t>
            </w:r>
          </w:p>
        </w:tc>
      </w:tr>
      <w:tr w:rsidR="00CA6FA4" w:rsidRPr="00CA6FA4" w14:paraId="681C9442" w14:textId="77777777" w:rsidTr="00CA6FA4">
        <w:trPr>
          <w:trHeight w:val="960"/>
        </w:trPr>
        <w:tc>
          <w:tcPr>
            <w:tcW w:w="3020" w:type="dxa"/>
            <w:hideMark/>
          </w:tcPr>
          <w:p w14:paraId="19697A90"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主要技术特点</w:t>
            </w:r>
          </w:p>
        </w:tc>
        <w:tc>
          <w:tcPr>
            <w:tcW w:w="5640" w:type="dxa"/>
            <w:hideMark/>
          </w:tcPr>
          <w:p w14:paraId="7E8FA792"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CA6FA4" w:rsidRPr="00CA6FA4" w14:paraId="68D8C249" w14:textId="77777777" w:rsidTr="00CA6FA4">
        <w:trPr>
          <w:trHeight w:val="320"/>
        </w:trPr>
        <w:tc>
          <w:tcPr>
            <w:tcW w:w="3020" w:type="dxa"/>
            <w:hideMark/>
          </w:tcPr>
          <w:p w14:paraId="2B708A82"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现状</w:t>
            </w:r>
          </w:p>
        </w:tc>
        <w:tc>
          <w:tcPr>
            <w:tcW w:w="5640" w:type="dxa"/>
            <w:hideMark/>
          </w:tcPr>
          <w:p w14:paraId="177E7199"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持续投产运行中</w:t>
            </w:r>
          </w:p>
        </w:tc>
      </w:tr>
      <w:tr w:rsidR="00CA6FA4" w:rsidRPr="00CA6FA4" w14:paraId="4F3DF0A4" w14:textId="77777777" w:rsidTr="00CA6FA4">
        <w:trPr>
          <w:trHeight w:val="640"/>
        </w:trPr>
        <w:tc>
          <w:tcPr>
            <w:tcW w:w="3020" w:type="dxa"/>
            <w:hideMark/>
          </w:tcPr>
          <w:p w14:paraId="5EA26434"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主要参与人员</w:t>
            </w:r>
          </w:p>
        </w:tc>
        <w:tc>
          <w:tcPr>
            <w:tcW w:w="5640" w:type="dxa"/>
            <w:hideMark/>
          </w:tcPr>
          <w:p w14:paraId="16EAF822" w14:textId="3DD8F12D" w:rsidR="00CA6FA4" w:rsidRPr="00CA6FA4" w:rsidRDefault="007E4347" w:rsidP="00CA6FA4">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陈某</w:t>
            </w:r>
            <w:r w:rsidR="00CA6FA4" w:rsidRPr="00CA6FA4">
              <w:rPr>
                <w:rFonts w:ascii="DengXian" w:eastAsia="DengXian" w:hAnsi="DengXian" w:cs="Times New Roman" w:hint="eastAsia"/>
                <w:color w:val="000000"/>
                <w:kern w:val="0"/>
              </w:rPr>
              <w:t>宇、曾</w:t>
            </w:r>
            <w:r>
              <w:rPr>
                <w:rFonts w:ascii="DengXian" w:eastAsia="DengXian" w:hAnsi="DengXian" w:cs="Times New Roman" w:hint="eastAsia"/>
                <w:color w:val="000000"/>
                <w:kern w:val="0"/>
              </w:rPr>
              <w:t>某</w:t>
            </w:r>
            <w:r w:rsidR="00CA6FA4" w:rsidRPr="00CA6FA4">
              <w:rPr>
                <w:rFonts w:ascii="DengXian" w:eastAsia="DengXian" w:hAnsi="DengXian" w:cs="Times New Roman" w:hint="eastAsia"/>
                <w:color w:val="000000"/>
                <w:kern w:val="0"/>
              </w:rPr>
              <w:t>标、寇</w:t>
            </w:r>
            <w:r>
              <w:rPr>
                <w:rFonts w:ascii="DengXian" w:eastAsia="DengXian" w:hAnsi="DengXian" w:cs="Times New Roman" w:hint="eastAsia"/>
                <w:color w:val="000000"/>
                <w:kern w:val="0"/>
              </w:rPr>
              <w:t>某毅、佘某</w:t>
            </w:r>
            <w:r w:rsidR="00CA6FA4" w:rsidRPr="00CA6FA4">
              <w:rPr>
                <w:rFonts w:ascii="DengXian" w:eastAsia="DengXian" w:hAnsi="DengXian" w:cs="Times New Roman" w:hint="eastAsia"/>
                <w:color w:val="000000"/>
                <w:kern w:val="0"/>
              </w:rPr>
              <w:t>斌、覃</w:t>
            </w:r>
            <w:r>
              <w:rPr>
                <w:rFonts w:ascii="DengXian" w:eastAsia="DengXian" w:hAnsi="DengXian" w:cs="Times New Roman" w:hint="eastAsia"/>
                <w:color w:val="000000"/>
                <w:kern w:val="0"/>
              </w:rPr>
              <w:t>某刚、李某斌、李某琛、丁某</w:t>
            </w:r>
            <w:r w:rsidR="00CA6FA4" w:rsidRPr="00CA6FA4">
              <w:rPr>
                <w:rFonts w:ascii="DengXian" w:eastAsia="DengXian" w:hAnsi="DengXian" w:cs="Times New Roman" w:hint="eastAsia"/>
                <w:color w:val="000000"/>
                <w:kern w:val="0"/>
              </w:rPr>
              <w:t>淦、李</w:t>
            </w:r>
            <w:r>
              <w:rPr>
                <w:rFonts w:ascii="DengXian" w:eastAsia="DengXian" w:hAnsi="DengXian" w:cs="Times New Roman" w:hint="eastAsia"/>
                <w:color w:val="000000"/>
                <w:kern w:val="0"/>
              </w:rPr>
              <w:t>某</w:t>
            </w:r>
            <w:r w:rsidR="00CA6FA4" w:rsidRPr="00CA6FA4">
              <w:rPr>
                <w:rFonts w:ascii="DengXian" w:eastAsia="DengXian" w:hAnsi="DengXian" w:cs="Times New Roman" w:hint="eastAsia"/>
                <w:color w:val="000000"/>
                <w:kern w:val="0"/>
              </w:rPr>
              <w:t>杰等</w:t>
            </w:r>
          </w:p>
        </w:tc>
      </w:tr>
      <w:tr w:rsidR="00CA6FA4" w:rsidRPr="00CA6FA4" w14:paraId="2815E16A" w14:textId="77777777" w:rsidTr="00CA6FA4">
        <w:trPr>
          <w:trHeight w:val="960"/>
        </w:trPr>
        <w:tc>
          <w:tcPr>
            <w:tcW w:w="3020" w:type="dxa"/>
            <w:hideMark/>
          </w:tcPr>
          <w:p w14:paraId="16459793"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经验</w:t>
            </w:r>
          </w:p>
        </w:tc>
        <w:tc>
          <w:tcPr>
            <w:tcW w:w="5640" w:type="dxa"/>
            <w:hideMark/>
          </w:tcPr>
          <w:p w14:paraId="06D4ADA2"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全国性大型银行业咨询规划与实施经验， 对数据源的理解、模型建设以及行业应用的快速构建、IBM DB2平台应用迁移</w:t>
            </w:r>
          </w:p>
        </w:tc>
      </w:tr>
    </w:tbl>
    <w:p w14:paraId="01E169CC" w14:textId="77777777" w:rsidR="00365E0A" w:rsidRPr="00CA6FA4" w:rsidRDefault="00365E0A" w:rsidP="00365E0A"/>
    <w:p w14:paraId="47DBB517" w14:textId="1DDA603C" w:rsidR="00922D38" w:rsidRPr="00922D38" w:rsidRDefault="00922D38" w:rsidP="00A726CF">
      <w:pPr>
        <w:pStyle w:val="4"/>
      </w:pPr>
      <w:r>
        <w:rPr>
          <w:rFonts w:hint="eastAsia"/>
        </w:rPr>
        <w:t>项目背景</w:t>
      </w:r>
    </w:p>
    <w:p w14:paraId="5D183313"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43B5BC9C" w14:textId="046C3FE4"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经过多年的使用，随着业务应用和数据量的不断发展，招商银行在数据仓库</w:t>
      </w:r>
      <w:r w:rsidRPr="001C31C1">
        <w:rPr>
          <w:rFonts w:ascii="SimSun" w:eastAsia="SimSun" w:hAnsi="SimSun"/>
        </w:rPr>
        <w:lastRenderedPageBreak/>
        <w:t>系统的架构、可用性、负载管理能力、线性扩展能力等方面都遇到了挑战。为此，招商银行启动了新一代数据仓库平台的选型工作，并于2013年1月决定选择Teradata 6690企业级动态数据平台作为招商银行新一代数据仓库平台。有了强大的平台能力支持，招商银行着手新一代数据仓库的规划和实施工作。</w:t>
      </w:r>
    </w:p>
    <w:p w14:paraId="6295C722"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招商银行数据仓库项目发展历程如下：</w:t>
      </w:r>
    </w:p>
    <w:p w14:paraId="11D23267" w14:textId="30971A86" w:rsidR="00922D38" w:rsidRDefault="001B6F26" w:rsidP="001B6F26">
      <w:pPr>
        <w:spacing w:line="360" w:lineRule="auto"/>
        <w:ind w:firstLineChars="200" w:firstLine="480"/>
      </w:pPr>
      <w:r>
        <w:rPr>
          <w:noProof/>
        </w:rPr>
        <w:drawing>
          <wp:anchor distT="0" distB="0" distL="114300" distR="114300" simplePos="0" relativeHeight="251658240" behindDoc="0" locked="0" layoutInCell="1" allowOverlap="1" wp14:anchorId="1CC51575" wp14:editId="0340EA36">
            <wp:simplePos x="0" y="0"/>
            <wp:positionH relativeFrom="column">
              <wp:posOffset>49530</wp:posOffset>
            </wp:positionH>
            <wp:positionV relativeFrom="paragraph">
              <wp:posOffset>0</wp:posOffset>
            </wp:positionV>
            <wp:extent cx="5045710" cy="3012440"/>
            <wp:effectExtent l="0" t="0" r="8890" b="10160"/>
            <wp:wrapThrough wrapText="bothSides">
              <wp:wrapPolygon edited="0">
                <wp:start x="0" y="0"/>
                <wp:lineTo x="0" y="21491"/>
                <wp:lineTo x="21529" y="21491"/>
                <wp:lineTo x="2152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710" cy="3012440"/>
                    </a:xfrm>
                    <a:prstGeom prst="rect">
                      <a:avLst/>
                    </a:prstGeom>
                  </pic:spPr>
                </pic:pic>
              </a:graphicData>
            </a:graphic>
            <wp14:sizeRelH relativeFrom="margin">
              <wp14:pctWidth>0</wp14:pctWidth>
            </wp14:sizeRelH>
            <wp14:sizeRelV relativeFrom="margin">
              <wp14:pctHeight>0</wp14:pctHeight>
            </wp14:sizeRelV>
          </wp:anchor>
        </w:drawing>
      </w:r>
    </w:p>
    <w:p w14:paraId="47E45A3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新一代数据仓库项目自2013年5月启动后，历经数据平台咨询、制定蓝图实施规划、数据仓库双活方案规划、大数据规划四个阶段，围绕应用迁移与建设、数据模型建设、平台建设、运营管理四大方面进行，通过招商银行与Teradata联合制定的数据仓库项目管理和运营管理规范，保障数据平台咨询和项目落地实施顺利开展与高质量成果交付。</w:t>
      </w:r>
    </w:p>
    <w:p w14:paraId="1E6667D8" w14:textId="77777777" w:rsidR="00922D38" w:rsidRDefault="00922D38" w:rsidP="00922D38">
      <w:pPr>
        <w:spacing w:line="360" w:lineRule="auto"/>
        <w:ind w:firstLineChars="200" w:firstLine="480"/>
      </w:pPr>
    </w:p>
    <w:p w14:paraId="59AA9E36" w14:textId="06789DD6" w:rsidR="00922D38" w:rsidRDefault="00922D38" w:rsidP="00A726CF">
      <w:pPr>
        <w:pStyle w:val="4"/>
      </w:pPr>
      <w:r>
        <w:t>项目成果</w:t>
      </w:r>
    </w:p>
    <w:p w14:paraId="0184682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招商银行第一期项目的成果包含实施规划成果及2013年项目实施建设成果</w:t>
      </w:r>
      <w:r w:rsidRPr="001C31C1">
        <w:rPr>
          <w:rFonts w:ascii="SimSun" w:eastAsia="SimSun" w:hAnsi="SimSun"/>
        </w:rPr>
        <w:lastRenderedPageBreak/>
        <w:t>两大部分。</w:t>
      </w:r>
    </w:p>
    <w:p w14:paraId="4F9CF856" w14:textId="5C4BCE5E"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实施规划成果</w:t>
      </w:r>
    </w:p>
    <w:p w14:paraId="53EFD65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完成招商银行数据仓库新平台实施总体规划，包括基于Teradata平台的技术、信息、运维等架构规划，制定了包含项目实施（含应用迁移）策略、线路、方法、总体计划等内容的整体实施方案；</w:t>
      </w:r>
    </w:p>
    <w:p w14:paraId="32FF4191" w14:textId="1D34D172"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实施建设成果</w:t>
      </w:r>
    </w:p>
    <w:p w14:paraId="05832FB8"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在2013年内依据数据仓库新平台实施总体规划完成第一期实施，实现数据仓库新平台投产，其中包含以下内容：</w:t>
      </w:r>
    </w:p>
    <w:p w14:paraId="14CA69BB" w14:textId="3CCC4EDD"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遵循招商银行数据标准，完成基于FS-LDM V12.0的本期数据建模及其ETL开发，本期数据建模需要实现数据装载范围包括：当前招商银行数据仓库中操作型数据存储（ODS）和统一基础数据模型（UDM）已经采集装载且常用的业务系统源数据，涉及数据源表的数量不超过1500个；</w:t>
      </w:r>
    </w:p>
    <w:p w14:paraId="3446F424" w14:textId="2B799ED2"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建立与数据仓库新平台配套的ETL调度和数据抽取方法和工具；</w:t>
      </w:r>
    </w:p>
    <w:p w14:paraId="2110CE50" w14:textId="518874DE"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建立与数据仓库新平台配套的元数据管理和数据质量管理的规范、流程和工具；</w:t>
      </w:r>
    </w:p>
    <w:p w14:paraId="1CC7A69C" w14:textId="3021228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建立与数据仓库新平台配套的开发、测试、投产的规范、流程和工具；</w:t>
      </w:r>
    </w:p>
    <w:p w14:paraId="324F7674" w14:textId="63A6F329"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建立与数据仓库新平台配套的运行维护的规范、流程和工具；</w:t>
      </w:r>
    </w:p>
    <w:p w14:paraId="2D801A6E" w14:textId="7F08FB34"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了解招商银行数据仓库应用现状，分析应用改进和业务提升机会，制定应用迁移计划，并实现初始应用上线。完成建设需求。</w:t>
      </w:r>
    </w:p>
    <w:p w14:paraId="07FCC40E" w14:textId="77777777" w:rsidR="00A969C3" w:rsidRDefault="00A969C3"/>
    <w:p w14:paraId="75C94508" w14:textId="1AA3C047" w:rsidR="0062200E" w:rsidRDefault="0062200E" w:rsidP="00D27B81">
      <w:pPr>
        <w:pStyle w:val="3"/>
      </w:pPr>
      <w:r>
        <w:rPr>
          <w:rFonts w:hint="eastAsia"/>
        </w:rPr>
        <w:t>建设银行</w:t>
      </w:r>
    </w:p>
    <w:tbl>
      <w:tblPr>
        <w:tblStyle w:val="a5"/>
        <w:tblW w:w="8250" w:type="dxa"/>
        <w:tblLook w:val="04A0" w:firstRow="1" w:lastRow="0" w:firstColumn="1" w:lastColumn="0" w:noHBand="0" w:noVBand="1"/>
      </w:tblPr>
      <w:tblGrid>
        <w:gridCol w:w="3020"/>
        <w:gridCol w:w="5230"/>
      </w:tblGrid>
      <w:tr w:rsidR="00C922F3" w:rsidRPr="00C922F3" w14:paraId="77221AFE" w14:textId="77777777" w:rsidTr="00C922F3">
        <w:trPr>
          <w:trHeight w:val="320"/>
        </w:trPr>
        <w:tc>
          <w:tcPr>
            <w:tcW w:w="3020" w:type="dxa"/>
            <w:hideMark/>
          </w:tcPr>
          <w:p w14:paraId="77C4F6FA"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客户案例名称</w:t>
            </w:r>
          </w:p>
        </w:tc>
        <w:tc>
          <w:tcPr>
            <w:tcW w:w="5230" w:type="dxa"/>
            <w:hideMark/>
          </w:tcPr>
          <w:p w14:paraId="5A43D3D3"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建设银行</w:t>
            </w:r>
          </w:p>
        </w:tc>
      </w:tr>
      <w:tr w:rsidR="00C922F3" w:rsidRPr="00C922F3" w14:paraId="696F3CB6" w14:textId="77777777" w:rsidTr="00C922F3">
        <w:trPr>
          <w:trHeight w:val="320"/>
        </w:trPr>
        <w:tc>
          <w:tcPr>
            <w:tcW w:w="3020" w:type="dxa"/>
            <w:hideMark/>
          </w:tcPr>
          <w:p w14:paraId="72727E34"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lastRenderedPageBreak/>
              <w:t>案例规模</w:t>
            </w:r>
          </w:p>
        </w:tc>
        <w:tc>
          <w:tcPr>
            <w:tcW w:w="5230" w:type="dxa"/>
            <w:hideMark/>
          </w:tcPr>
          <w:p w14:paraId="2D607B84"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70+集市，数据量700T</w:t>
            </w:r>
          </w:p>
        </w:tc>
      </w:tr>
      <w:tr w:rsidR="00C922F3" w:rsidRPr="00C922F3" w14:paraId="03E5714D" w14:textId="77777777" w:rsidTr="00C922F3">
        <w:trPr>
          <w:trHeight w:val="320"/>
        </w:trPr>
        <w:tc>
          <w:tcPr>
            <w:tcW w:w="3020" w:type="dxa"/>
            <w:hideMark/>
          </w:tcPr>
          <w:p w14:paraId="6B78F013"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实施范围</w:t>
            </w:r>
          </w:p>
        </w:tc>
        <w:tc>
          <w:tcPr>
            <w:tcW w:w="5230" w:type="dxa"/>
            <w:hideMark/>
          </w:tcPr>
          <w:p w14:paraId="199F0091"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详见案例说明部份</w:t>
            </w:r>
          </w:p>
        </w:tc>
      </w:tr>
      <w:tr w:rsidR="00C922F3" w:rsidRPr="00C922F3" w14:paraId="506102E1" w14:textId="77777777" w:rsidTr="00C922F3">
        <w:trPr>
          <w:trHeight w:val="320"/>
        </w:trPr>
        <w:tc>
          <w:tcPr>
            <w:tcW w:w="3020" w:type="dxa"/>
            <w:hideMark/>
          </w:tcPr>
          <w:p w14:paraId="14385A69"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实施时间</w:t>
            </w:r>
          </w:p>
        </w:tc>
        <w:tc>
          <w:tcPr>
            <w:tcW w:w="5230" w:type="dxa"/>
            <w:hideMark/>
          </w:tcPr>
          <w:p w14:paraId="50F133E7"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2005年至今</w:t>
            </w:r>
          </w:p>
        </w:tc>
      </w:tr>
      <w:tr w:rsidR="00C922F3" w:rsidRPr="00C922F3" w14:paraId="7665008A" w14:textId="77777777" w:rsidTr="00C922F3">
        <w:trPr>
          <w:trHeight w:val="320"/>
        </w:trPr>
        <w:tc>
          <w:tcPr>
            <w:tcW w:w="3020" w:type="dxa"/>
            <w:hideMark/>
          </w:tcPr>
          <w:p w14:paraId="34B84309"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数据仓库+大数据技术</w:t>
            </w:r>
          </w:p>
        </w:tc>
        <w:tc>
          <w:tcPr>
            <w:tcW w:w="5230" w:type="dxa"/>
            <w:hideMark/>
          </w:tcPr>
          <w:p w14:paraId="1BF08D2F"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数据仓库MPP</w:t>
            </w:r>
          </w:p>
        </w:tc>
      </w:tr>
      <w:tr w:rsidR="00C922F3" w:rsidRPr="00C922F3" w14:paraId="388E916E" w14:textId="77777777" w:rsidTr="00C922F3">
        <w:trPr>
          <w:trHeight w:val="320"/>
        </w:trPr>
        <w:tc>
          <w:tcPr>
            <w:tcW w:w="3020" w:type="dxa"/>
            <w:hideMark/>
          </w:tcPr>
          <w:p w14:paraId="1BD29E61"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数据治理咨询</w:t>
            </w:r>
          </w:p>
        </w:tc>
        <w:tc>
          <w:tcPr>
            <w:tcW w:w="5230" w:type="dxa"/>
            <w:hideMark/>
          </w:tcPr>
          <w:p w14:paraId="7A12A69B"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2008年开始数据治理咨询</w:t>
            </w:r>
          </w:p>
        </w:tc>
      </w:tr>
      <w:tr w:rsidR="00C922F3" w:rsidRPr="00C922F3" w14:paraId="589B5A11" w14:textId="77777777" w:rsidTr="00C922F3">
        <w:trPr>
          <w:trHeight w:val="320"/>
        </w:trPr>
        <w:tc>
          <w:tcPr>
            <w:tcW w:w="3020" w:type="dxa"/>
            <w:hideMark/>
          </w:tcPr>
          <w:p w14:paraId="506DEC05"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系统架构</w:t>
            </w:r>
          </w:p>
        </w:tc>
        <w:tc>
          <w:tcPr>
            <w:tcW w:w="5230" w:type="dxa"/>
            <w:hideMark/>
          </w:tcPr>
          <w:p w14:paraId="24046B76"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EDW双系统架构（2750+6650）</w:t>
            </w:r>
          </w:p>
        </w:tc>
      </w:tr>
      <w:tr w:rsidR="00C922F3" w:rsidRPr="00C922F3" w14:paraId="1829A53C" w14:textId="77777777" w:rsidTr="00C922F3">
        <w:trPr>
          <w:trHeight w:val="960"/>
        </w:trPr>
        <w:tc>
          <w:tcPr>
            <w:tcW w:w="3020" w:type="dxa"/>
            <w:hideMark/>
          </w:tcPr>
          <w:p w14:paraId="5ADB33F6"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主要技术特点</w:t>
            </w:r>
          </w:p>
        </w:tc>
        <w:tc>
          <w:tcPr>
            <w:tcW w:w="5230" w:type="dxa"/>
            <w:hideMark/>
          </w:tcPr>
          <w:p w14:paraId="266552E3"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海量数据存储</w:t>
            </w:r>
            <w:r w:rsidRPr="00C922F3">
              <w:rPr>
                <w:rFonts w:ascii="DengXian" w:eastAsia="DengXian" w:hAnsi="DengXian" w:cs="Times New Roman" w:hint="eastAsia"/>
                <w:color w:val="000000"/>
                <w:kern w:val="0"/>
              </w:rPr>
              <w:br/>
              <w:t>并行计算</w:t>
            </w:r>
            <w:r w:rsidRPr="00C922F3">
              <w:rPr>
                <w:rFonts w:ascii="DengXian" w:eastAsia="DengXian" w:hAnsi="DengXian" w:cs="Times New Roman" w:hint="eastAsia"/>
                <w:color w:val="000000"/>
                <w:kern w:val="0"/>
              </w:rPr>
              <w:br/>
              <w:t>Teradata金融行业数据模型</w:t>
            </w:r>
          </w:p>
        </w:tc>
      </w:tr>
      <w:tr w:rsidR="00C922F3" w:rsidRPr="00C922F3" w14:paraId="338B9CD0" w14:textId="77777777" w:rsidTr="00C922F3">
        <w:trPr>
          <w:trHeight w:val="320"/>
        </w:trPr>
        <w:tc>
          <w:tcPr>
            <w:tcW w:w="3020" w:type="dxa"/>
            <w:hideMark/>
          </w:tcPr>
          <w:p w14:paraId="10B4AF50"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现状</w:t>
            </w:r>
          </w:p>
        </w:tc>
        <w:tc>
          <w:tcPr>
            <w:tcW w:w="5230" w:type="dxa"/>
            <w:hideMark/>
          </w:tcPr>
          <w:p w14:paraId="7EB65298"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持续投产运行中</w:t>
            </w:r>
          </w:p>
        </w:tc>
      </w:tr>
      <w:tr w:rsidR="00C922F3" w:rsidRPr="00C922F3" w14:paraId="311D7B6C" w14:textId="77777777" w:rsidTr="00C922F3">
        <w:trPr>
          <w:trHeight w:val="320"/>
        </w:trPr>
        <w:tc>
          <w:tcPr>
            <w:tcW w:w="3020" w:type="dxa"/>
            <w:hideMark/>
          </w:tcPr>
          <w:p w14:paraId="0E0B9A54"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主要参与人员</w:t>
            </w:r>
          </w:p>
        </w:tc>
        <w:tc>
          <w:tcPr>
            <w:tcW w:w="5230" w:type="dxa"/>
            <w:hideMark/>
          </w:tcPr>
          <w:p w14:paraId="6E2C35EB" w14:textId="33B33640" w:rsidR="00C922F3" w:rsidRPr="00C922F3" w:rsidRDefault="008D5ACE" w:rsidP="00C922F3">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黄某林、赖某聪、徐某</w:t>
            </w:r>
            <w:r w:rsidR="00C922F3" w:rsidRPr="00C922F3">
              <w:rPr>
                <w:rFonts w:ascii="DengXian" w:eastAsia="DengXian" w:hAnsi="DengXian" w:cs="Times New Roman" w:hint="eastAsia"/>
                <w:color w:val="000000"/>
                <w:kern w:val="0"/>
              </w:rPr>
              <w:t>兰等</w:t>
            </w:r>
          </w:p>
        </w:tc>
      </w:tr>
      <w:tr w:rsidR="00C922F3" w:rsidRPr="00C922F3" w14:paraId="02B6C012" w14:textId="77777777" w:rsidTr="00C922F3">
        <w:trPr>
          <w:trHeight w:val="320"/>
        </w:trPr>
        <w:tc>
          <w:tcPr>
            <w:tcW w:w="3020" w:type="dxa"/>
            <w:hideMark/>
          </w:tcPr>
          <w:p w14:paraId="5314AC3C"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经验</w:t>
            </w:r>
          </w:p>
        </w:tc>
        <w:tc>
          <w:tcPr>
            <w:tcW w:w="5230" w:type="dxa"/>
            <w:hideMark/>
          </w:tcPr>
          <w:p w14:paraId="5B205702"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建行新一代仓库体系架构下的实施经验</w:t>
            </w:r>
          </w:p>
        </w:tc>
      </w:tr>
    </w:tbl>
    <w:p w14:paraId="6A7576DF" w14:textId="77777777" w:rsidR="00CA6FA4" w:rsidRPr="00C922F3" w:rsidRDefault="00CA6FA4" w:rsidP="00CA6FA4"/>
    <w:p w14:paraId="52F330C1" w14:textId="6A58B538" w:rsidR="00D46E1A" w:rsidRDefault="00D46E1A" w:rsidP="00A726CF">
      <w:pPr>
        <w:pStyle w:val="4"/>
      </w:pPr>
      <w:r>
        <w:t>项目背景</w:t>
      </w:r>
    </w:p>
    <w:p w14:paraId="56A23F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于2000年底起着手启动全行数据仓库建设。由于中国建设银行行数据仓库建设初期业务需求迫切，为了加速建设步伐，确保周期短、投资小、见效快，中国建设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建设银行带来了巨大效益。</w:t>
      </w:r>
    </w:p>
    <w:p w14:paraId="2966D305"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68BA2BAC"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lastRenderedPageBreak/>
        <w:t>2004年10月份，中国建设银行启动了数据仓库逻辑数据模型客户化建设项目，整个项目建设历时5个月，基本形成了中国建设银行自有知识产权的数据仓库逻辑数据模型。</w:t>
      </w:r>
    </w:p>
    <w:p w14:paraId="492A62EA"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在顺利完成数据仓库逻辑数据模型建设项目后，中国建设银行启动了数据仓库物理平台选型测试的任务。该任务历时8个月，于05年11月顺利完成。物理平台选型测试工作作为中国建设银行数据仓库物理平台产品选型的参考、考察数据仓库产品厂商的技术水平、服务能力和实施经验的任务，为中国建设银行数据仓库物理平台的选型奠定了坚实的基础。</w:t>
      </w:r>
    </w:p>
    <w:p w14:paraId="7A2187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在进行数据仓库商务的同时，为保证后续数据仓库项目的顺利实施，2006年12月，中国建设银行启动了数据仓库体系建设规划研究项目，从架构、功能、规模等方面对数据仓库和数据集市进行规划，以指导后续数据仓库建设工作。</w:t>
      </w:r>
    </w:p>
    <w:p w14:paraId="7354061B"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中国建设银行启动数据仓库源于几个方面的要求：</w:t>
      </w:r>
    </w:p>
    <w:p w14:paraId="797B2088" w14:textId="648A9B42"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来自外部的要求</w:t>
      </w:r>
    </w:p>
    <w:p w14:paraId="039C02D0"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必须符合相关上市规则、条例和会计准则的要求：</w:t>
      </w:r>
    </w:p>
    <w:p w14:paraId="13248D5A" w14:textId="6734006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国内：财政部、证监会、银监会、人民银行的各种法规、准则和特定要求，如1104监管报表、反洗钱报表</w:t>
      </w:r>
    </w:p>
    <w:p w14:paraId="7C4F7A7A" w14:textId="24A26FDE"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香港：香港财务报告准则或国际财务报告准则、公司条例、香港联合交易所的证券上市规则</w:t>
      </w:r>
    </w:p>
    <w:p w14:paraId="101A90C9" w14:textId="7170CE2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公众股东、债券持有人及证券交易所：要求上市公司作大量的信息披露，包括年度报告、中期报告及持续披露（比如重大收购、出售资产事项、关联交易，其他对股价可能产生重大影响的信息）的内容，如关联交易披露。</w:t>
      </w:r>
    </w:p>
    <w:p w14:paraId="6631293D" w14:textId="0D870AC1"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lastRenderedPageBreak/>
        <w:t>来自内部的要求</w:t>
      </w:r>
    </w:p>
    <w:p w14:paraId="0707E82C" w14:textId="77777777"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要求信息管理部门：</w:t>
      </w:r>
    </w:p>
    <w:p w14:paraId="55629FBF" w14:textId="4F2BC72E"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提升对产品创新和客户服务的支持能力</w:t>
      </w:r>
    </w:p>
    <w:p w14:paraId="43975254" w14:textId="5D850700"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提升经营管理决策的支持能力</w:t>
      </w:r>
    </w:p>
    <w:p w14:paraId="1F3E4898" w14:textId="536A7C4A"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提升风险与内控管理的支持能力</w:t>
      </w:r>
    </w:p>
    <w:p w14:paraId="3373AE29" w14:textId="372F154D"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提升制定业务政策、提高管理效率所需数据信息的支持能力</w:t>
      </w:r>
    </w:p>
    <w:p w14:paraId="77ED248C" w14:textId="51CA75B8"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提升企业绩效管理所需要的数据支持能力</w:t>
      </w:r>
    </w:p>
    <w:p w14:paraId="5F9FFDE7" w14:textId="5F1301C3"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提升对最高决策所需要的信息支持能力</w:t>
      </w:r>
    </w:p>
    <w:p w14:paraId="17DC6841" w14:textId="77777777" w:rsidR="00D46E1A" w:rsidRPr="0037659F" w:rsidRDefault="00D46E1A" w:rsidP="0037659F">
      <w:pPr>
        <w:spacing w:line="360" w:lineRule="auto"/>
        <w:ind w:firstLineChars="200" w:firstLine="480"/>
        <w:rPr>
          <w:rFonts w:ascii="SimSun" w:eastAsia="SimSun" w:hAnsi="SimSun"/>
        </w:rPr>
      </w:pPr>
    </w:p>
    <w:p w14:paraId="7D983736"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中国建设银行启动了数据仓库物理平台选型测试的任务。2006年12月，中国建设银行启动了数据仓库体系建设规划研究项目，从架构、功能、规模等方面对数据仓库和数据集市进行规划，以指导后续数据仓库建设工作。</w:t>
      </w:r>
    </w:p>
    <w:p w14:paraId="538B1C42"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2007年4月，中国建设银行数据仓库实施项目启动，到2008年1月正式上线试运行，开发测试工作历时10个月，已经顺利完成投产工作和系统上线。</w:t>
      </w:r>
    </w:p>
    <w:p w14:paraId="1AC803BE" w14:textId="77777777" w:rsidR="00D46E1A" w:rsidRPr="0037659F" w:rsidRDefault="00D46E1A" w:rsidP="0037659F">
      <w:pPr>
        <w:spacing w:line="360" w:lineRule="auto"/>
        <w:ind w:firstLineChars="200" w:firstLine="480"/>
        <w:rPr>
          <w:rFonts w:ascii="SimSun" w:eastAsia="SimSun" w:hAnsi="SimSun"/>
        </w:rPr>
      </w:pPr>
    </w:p>
    <w:p w14:paraId="06445BDB" w14:textId="38A5EB96" w:rsidR="00D46E1A" w:rsidRDefault="00D46E1A" w:rsidP="00A726CF">
      <w:pPr>
        <w:pStyle w:val="4"/>
      </w:pPr>
      <w:r>
        <w:t>项目成果</w:t>
      </w:r>
    </w:p>
    <w:p w14:paraId="07848D25" w14:textId="7F410C19"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一期项目实施成果</w:t>
      </w:r>
    </w:p>
    <w:p w14:paraId="03277AD8" w14:textId="2C177903"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设计并建立企业级基础数据平台基础设施；</w:t>
      </w:r>
    </w:p>
    <w:p w14:paraId="1CA05F00" w14:textId="1B8A4408"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对FS-LDM7.0进行客户化；</w:t>
      </w:r>
    </w:p>
    <w:p w14:paraId="4F695520" w14:textId="22609584"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设计数据管控体系与数据基础数据平台管理模式；</w:t>
      </w:r>
    </w:p>
    <w:p w14:paraId="16F37A1B" w14:textId="7B127255"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建立基础数据平台开发、测试、运行架构；</w:t>
      </w:r>
    </w:p>
    <w:p w14:paraId="15A00A3E" w14:textId="0DB917B9"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lastRenderedPageBreak/>
        <w:t>整合8个源系统，建立了企业级的协议、团体、产品、资产、地域数据信息；</w:t>
      </w:r>
    </w:p>
    <w:p w14:paraId="37B5BB59" w14:textId="031CAA5E"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开发4个应用，1104监管报表、管理决策仪表盘、资产负债信息管理系统数据支持、业务指标库（SMIS）。</w:t>
      </w:r>
    </w:p>
    <w:p w14:paraId="51E12278" w14:textId="77777777" w:rsidR="00D46E1A" w:rsidRPr="00CF115C" w:rsidRDefault="00D46E1A" w:rsidP="00EE4E4F">
      <w:pPr>
        <w:spacing w:line="360" w:lineRule="auto"/>
        <w:ind w:firstLineChars="200" w:firstLine="480"/>
        <w:rPr>
          <w:rFonts w:ascii="SimSun" w:eastAsia="SimSun" w:hAnsi="SimSun"/>
        </w:rPr>
      </w:pPr>
    </w:p>
    <w:p w14:paraId="44F426F7" w14:textId="0ABE407F"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项目建设历程</w:t>
      </w:r>
    </w:p>
    <w:p w14:paraId="6587B59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中国建设银行数据平台项目从2005年正式启动建设，经历了多年建设，已经具有相当的规模。建设历程如下：</w:t>
      </w:r>
    </w:p>
    <w:p w14:paraId="224F0062" w14:textId="61F6F0C5"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2006年9月份完成了一期EDW&amp;MIS系统的建设工作，系统初始配置为8个5250节点，可用数据容量3T</w:t>
      </w:r>
    </w:p>
    <w:p w14:paraId="4BCE79DB" w14:textId="4DD85BFF"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2007年3月完成一期硬件扩容项目，扩容后系统配置升级为6个5450H节点，可用数据容量由3T增加至11T</w:t>
      </w:r>
    </w:p>
    <w:p w14:paraId="4B25A09F" w14:textId="304708E2"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2008年7月完成二期扩容项目，扩容后系统配置升级为（18+1）个5500H节点，可用数据容量增加至110T。</w:t>
      </w:r>
    </w:p>
    <w:p w14:paraId="7D8FDA56" w14:textId="6E2ADC21"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2011年进行三期扩容项目，可用数据容量将增加至250T以上，裸硬盘容量超过900TB。</w:t>
      </w:r>
    </w:p>
    <w:p w14:paraId="12B808A3" w14:textId="45E74F7A"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2013年进行四期扩容项目，可用数据容量将增加至610T以上，裸硬盘容量超过2.2PB。</w:t>
      </w:r>
    </w:p>
    <w:p w14:paraId="392FFE34" w14:textId="77777777" w:rsidR="00D46E1A" w:rsidRPr="00CF115C" w:rsidRDefault="00D46E1A" w:rsidP="00EE4E4F">
      <w:pPr>
        <w:spacing w:line="360" w:lineRule="auto"/>
        <w:ind w:firstLineChars="200" w:firstLine="480"/>
        <w:rPr>
          <w:rFonts w:ascii="SimSun" w:eastAsia="SimSun" w:hAnsi="SimSun"/>
        </w:rPr>
      </w:pPr>
    </w:p>
    <w:p w14:paraId="0137D215" w14:textId="21452522" w:rsidR="00D46E1A" w:rsidRPr="0071746F" w:rsidRDefault="00D46E1A" w:rsidP="0071746F">
      <w:pPr>
        <w:pStyle w:val="a3"/>
        <w:numPr>
          <w:ilvl w:val="0"/>
          <w:numId w:val="5"/>
        </w:numPr>
        <w:spacing w:line="360" w:lineRule="auto"/>
        <w:ind w:firstLineChars="0"/>
        <w:rPr>
          <w:rFonts w:ascii="SimSun" w:eastAsia="SimSun" w:hAnsi="SimSun"/>
          <w:b/>
        </w:rPr>
      </w:pPr>
      <w:r w:rsidRPr="0071746F">
        <w:rPr>
          <w:rFonts w:ascii="SimSun" w:eastAsia="SimSun" w:hAnsi="SimSun"/>
          <w:b/>
        </w:rPr>
        <w:t>案例项目实施效益</w:t>
      </w:r>
    </w:p>
    <w:p w14:paraId="55832427"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经过持续的开发和建设，中国建设银行建立了企业级的数据平台系统，并不断扩展数据服务和应用支持能力，建立、完善了企业级的协议、客户、产品、资产、地址、事件、渠道数据信息，提高了数据的共享度，可为各类分析型应用提</w:t>
      </w:r>
      <w:r w:rsidRPr="00CF115C">
        <w:rPr>
          <w:rFonts w:ascii="SimSun" w:eastAsia="SimSun" w:hAnsi="SimSun"/>
        </w:rPr>
        <w:lastRenderedPageBreak/>
        <w:t>供数据支持。总行信息中心、资产负债管理部、合规部、个人金融部都受益于基础数据平台的数据支持。</w:t>
      </w:r>
    </w:p>
    <w:p w14:paraId="230ED2A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鉴于基础数据平台的建设是一个持续不断的过程，同时基础数据平台还要不间断的支持分析型应用。技术部和信息中心即达成一致并请示行领导同意，未来基础数据平台系统建设通过每年立项，以滚动开发的方式进行。通过滚动开发机制的建立，逐步建立一个相对稳定的基础数据平台管理和应用支持服务团队，不断完善和丰富基础数据平台的内容，推动数据质量的持续改善，实现对应用需求的快速响应。通过项目的实施，初步形成了中国建设银行基础数据平台支持服务团队的雏形。目前已经建立了综合管理、需求管理、数据分析、技术实施、测试、运行维护和数据质量小组，并通过需求管理工单、应用任务分配单、组间协同工单和数据质量跟踪改进工单等方式，保证了基础数据平台的不断完善，满足管理决策需求。</w:t>
      </w:r>
    </w:p>
    <w:p w14:paraId="0AB4E203"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根据2009年所做的估算，若2009年第三期结束时的35个应用采用开放平台替代实现，相应服务器、存储设备和维护费用约9000万元，与仓库的现有设备投资基本相当。</w:t>
      </w:r>
    </w:p>
    <w:p w14:paraId="584F322E" w14:textId="7C816CA6" w:rsidR="00D46E1A" w:rsidRPr="0071746F" w:rsidRDefault="00D46E1A" w:rsidP="0071746F">
      <w:pPr>
        <w:spacing w:line="360" w:lineRule="auto"/>
        <w:rPr>
          <w:rFonts w:ascii="SimSun" w:eastAsia="SimSun" w:hAnsi="SimSun"/>
        </w:rPr>
      </w:pPr>
      <w:r w:rsidRPr="0071746F">
        <w:rPr>
          <w:rFonts w:ascii="SimSun" w:eastAsia="SimSun" w:hAnsi="SimSun"/>
        </w:rPr>
        <w:t>将大数据量应用加工移到数据仓库，间接节约了设备投入：</w:t>
      </w:r>
    </w:p>
    <w:p w14:paraId="7144E52D" w14:textId="79CB6090"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t xml:space="preserve">营运稽核：节省了分行每年约200万的运维成本和约1300万的设备投入。 </w:t>
      </w:r>
    </w:p>
    <w:p w14:paraId="7B18E0B6" w14:textId="19F20266"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t>反洗钱：节省了分行每年约200万的运维成本和约1065万的设备资源。</w:t>
      </w:r>
    </w:p>
    <w:p w14:paraId="04719F94" w14:textId="7CE9BF71"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截止到</w:t>
      </w:r>
      <w:r w:rsidR="00B1126B">
        <w:rPr>
          <w:rFonts w:ascii="SimSun" w:eastAsia="SimSun" w:hAnsi="SimSun" w:hint="eastAsia"/>
        </w:rPr>
        <w:t>目前</w:t>
      </w:r>
      <w:r w:rsidRPr="00CF115C">
        <w:rPr>
          <w:rFonts w:ascii="SimSun" w:eastAsia="SimSun" w:hAnsi="SimSun"/>
        </w:rPr>
        <w:t>，数据仓库系统中的用户数据量为</w:t>
      </w:r>
      <w:r w:rsidR="00B1126B">
        <w:rPr>
          <w:rFonts w:ascii="SimSun" w:eastAsia="SimSun" w:hAnsi="SimSun"/>
        </w:rPr>
        <w:t>700</w:t>
      </w:r>
      <w:r w:rsidRPr="00CF115C">
        <w:rPr>
          <w:rFonts w:ascii="SimSun" w:eastAsia="SimSun" w:hAnsi="SimSun"/>
        </w:rPr>
        <w:t>T，每日从78个源系统抽取数据，日增量数据约600G，数据仓库模型约1292张表，支持下游66个应用。</w:t>
      </w:r>
    </w:p>
    <w:p w14:paraId="02363E36" w14:textId="77777777" w:rsidR="00816BC0" w:rsidRDefault="00816BC0" w:rsidP="00D307AE"/>
    <w:p w14:paraId="7CE48386" w14:textId="1B5D10B3" w:rsidR="00757CA7" w:rsidRDefault="00757CA7" w:rsidP="00D27B81">
      <w:pPr>
        <w:pStyle w:val="3"/>
      </w:pPr>
      <w:r>
        <w:rPr>
          <w:rFonts w:hint="eastAsia"/>
        </w:rPr>
        <w:lastRenderedPageBreak/>
        <w:t>中行信用卡中心</w:t>
      </w:r>
    </w:p>
    <w:tbl>
      <w:tblPr>
        <w:tblStyle w:val="a5"/>
        <w:tblW w:w="8236" w:type="dxa"/>
        <w:tblLook w:val="04A0" w:firstRow="1" w:lastRow="0" w:firstColumn="1" w:lastColumn="0" w:noHBand="0" w:noVBand="1"/>
      </w:tblPr>
      <w:tblGrid>
        <w:gridCol w:w="3020"/>
        <w:gridCol w:w="5216"/>
      </w:tblGrid>
      <w:tr w:rsidR="008470EA" w:rsidRPr="008470EA" w14:paraId="58596549" w14:textId="77777777" w:rsidTr="008470EA">
        <w:trPr>
          <w:trHeight w:val="320"/>
        </w:trPr>
        <w:tc>
          <w:tcPr>
            <w:tcW w:w="3020" w:type="dxa"/>
            <w:hideMark/>
          </w:tcPr>
          <w:p w14:paraId="331E758A"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客户案例名称</w:t>
            </w:r>
          </w:p>
        </w:tc>
        <w:tc>
          <w:tcPr>
            <w:tcW w:w="5216" w:type="dxa"/>
            <w:hideMark/>
          </w:tcPr>
          <w:p w14:paraId="328FF93D"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中行信用卡中心</w:t>
            </w:r>
          </w:p>
        </w:tc>
      </w:tr>
      <w:tr w:rsidR="008470EA" w:rsidRPr="008470EA" w14:paraId="5F3725A4" w14:textId="77777777" w:rsidTr="008470EA">
        <w:trPr>
          <w:trHeight w:val="320"/>
        </w:trPr>
        <w:tc>
          <w:tcPr>
            <w:tcW w:w="3020" w:type="dxa"/>
            <w:hideMark/>
          </w:tcPr>
          <w:p w14:paraId="788F9056"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案例规模</w:t>
            </w:r>
          </w:p>
        </w:tc>
        <w:tc>
          <w:tcPr>
            <w:tcW w:w="5216" w:type="dxa"/>
            <w:hideMark/>
          </w:tcPr>
          <w:p w14:paraId="36A125E2" w14:textId="023F82F7" w:rsidR="008470EA" w:rsidRPr="008C2BD8" w:rsidRDefault="00B855D0" w:rsidP="00634A3C">
            <w:pPr>
              <w:widowControl/>
              <w:rPr>
                <w:rFonts w:ascii="DengXian" w:eastAsia="DengXian" w:hAnsi="DengXian" w:cs="Times New Roman"/>
                <w:bCs/>
                <w:color w:val="000000"/>
                <w:kern w:val="0"/>
              </w:rPr>
            </w:pPr>
            <w:r>
              <w:rPr>
                <w:rFonts w:ascii="DengXian" w:eastAsia="DengXian" w:hAnsi="DengXian" w:cs="Times New Roman" w:hint="eastAsia"/>
                <w:bCs/>
                <w:color w:val="000000"/>
                <w:kern w:val="0"/>
              </w:rPr>
              <w:t>40</w:t>
            </w:r>
            <w:r w:rsidR="008C2BD8" w:rsidRPr="008C2BD8">
              <w:rPr>
                <w:rFonts w:ascii="DengXian" w:eastAsia="DengXian" w:hAnsi="DengXian" w:cs="Times New Roman" w:hint="eastAsia"/>
                <w:bCs/>
                <w:color w:val="000000"/>
                <w:kern w:val="0"/>
              </w:rPr>
              <w:t>T</w:t>
            </w:r>
          </w:p>
        </w:tc>
      </w:tr>
      <w:tr w:rsidR="008470EA" w:rsidRPr="008470EA" w14:paraId="43C28763" w14:textId="77777777" w:rsidTr="008470EA">
        <w:trPr>
          <w:trHeight w:val="320"/>
        </w:trPr>
        <w:tc>
          <w:tcPr>
            <w:tcW w:w="3020" w:type="dxa"/>
            <w:hideMark/>
          </w:tcPr>
          <w:p w14:paraId="61ABFCE9"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实施范围</w:t>
            </w:r>
          </w:p>
        </w:tc>
        <w:tc>
          <w:tcPr>
            <w:tcW w:w="5216" w:type="dxa"/>
            <w:hideMark/>
          </w:tcPr>
          <w:p w14:paraId="1E126BE9"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详见案例说明部份</w:t>
            </w:r>
          </w:p>
        </w:tc>
      </w:tr>
      <w:tr w:rsidR="008470EA" w:rsidRPr="008470EA" w14:paraId="731DD0FB" w14:textId="77777777" w:rsidTr="008470EA">
        <w:trPr>
          <w:trHeight w:val="320"/>
        </w:trPr>
        <w:tc>
          <w:tcPr>
            <w:tcW w:w="3020" w:type="dxa"/>
            <w:hideMark/>
          </w:tcPr>
          <w:p w14:paraId="18D0AE3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实施时间</w:t>
            </w:r>
          </w:p>
        </w:tc>
        <w:tc>
          <w:tcPr>
            <w:tcW w:w="5216" w:type="dxa"/>
            <w:hideMark/>
          </w:tcPr>
          <w:p w14:paraId="18B8583D"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2004年至今</w:t>
            </w:r>
          </w:p>
        </w:tc>
      </w:tr>
      <w:tr w:rsidR="008470EA" w:rsidRPr="008470EA" w14:paraId="62B0456F" w14:textId="77777777" w:rsidTr="008470EA">
        <w:trPr>
          <w:trHeight w:val="320"/>
        </w:trPr>
        <w:tc>
          <w:tcPr>
            <w:tcW w:w="3020" w:type="dxa"/>
            <w:hideMark/>
          </w:tcPr>
          <w:p w14:paraId="59E72F8F"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数据仓库+大数据技术</w:t>
            </w:r>
          </w:p>
        </w:tc>
        <w:tc>
          <w:tcPr>
            <w:tcW w:w="5216" w:type="dxa"/>
            <w:hideMark/>
          </w:tcPr>
          <w:p w14:paraId="15185CE4"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数据仓库MPP</w:t>
            </w:r>
          </w:p>
        </w:tc>
      </w:tr>
      <w:tr w:rsidR="008470EA" w:rsidRPr="008470EA" w14:paraId="0D9541F2" w14:textId="77777777" w:rsidTr="008470EA">
        <w:trPr>
          <w:trHeight w:val="320"/>
        </w:trPr>
        <w:tc>
          <w:tcPr>
            <w:tcW w:w="3020" w:type="dxa"/>
            <w:hideMark/>
          </w:tcPr>
          <w:p w14:paraId="1F648C6B"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数据治理咨询</w:t>
            </w:r>
          </w:p>
        </w:tc>
        <w:tc>
          <w:tcPr>
            <w:tcW w:w="5216" w:type="dxa"/>
            <w:hideMark/>
          </w:tcPr>
          <w:p w14:paraId="6F6B9738"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2012年开始数据治理咨询与实施工作</w:t>
            </w:r>
          </w:p>
        </w:tc>
      </w:tr>
      <w:tr w:rsidR="008470EA" w:rsidRPr="008470EA" w14:paraId="7BF149B6" w14:textId="77777777" w:rsidTr="008470EA">
        <w:trPr>
          <w:trHeight w:val="320"/>
        </w:trPr>
        <w:tc>
          <w:tcPr>
            <w:tcW w:w="3020" w:type="dxa"/>
            <w:hideMark/>
          </w:tcPr>
          <w:p w14:paraId="320FAB7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系统架构</w:t>
            </w:r>
          </w:p>
        </w:tc>
        <w:tc>
          <w:tcPr>
            <w:tcW w:w="5216" w:type="dxa"/>
            <w:hideMark/>
          </w:tcPr>
          <w:p w14:paraId="1E31EA2C" w14:textId="476EB82E" w:rsidR="008470EA" w:rsidRPr="008C2BD8" w:rsidRDefault="008C2BD8" w:rsidP="00634A3C">
            <w:pPr>
              <w:widowControl/>
              <w:rPr>
                <w:rFonts w:ascii="DengXian" w:eastAsia="DengXian" w:hAnsi="DengXian" w:cs="Times New Roman"/>
                <w:bCs/>
                <w:color w:val="000000"/>
                <w:kern w:val="0"/>
              </w:rPr>
            </w:pPr>
            <w:r w:rsidRPr="008C2BD8">
              <w:rPr>
                <w:rFonts w:ascii="DengXian" w:eastAsia="DengXian" w:hAnsi="DengXian" w:cs="Times New Roman" w:hint="eastAsia"/>
                <w:bCs/>
                <w:color w:val="000000"/>
                <w:kern w:val="0"/>
              </w:rPr>
              <w:t>EDW架构</w:t>
            </w:r>
          </w:p>
        </w:tc>
      </w:tr>
      <w:tr w:rsidR="008470EA" w:rsidRPr="008470EA" w14:paraId="01C244D8" w14:textId="77777777" w:rsidTr="008470EA">
        <w:trPr>
          <w:trHeight w:val="320"/>
        </w:trPr>
        <w:tc>
          <w:tcPr>
            <w:tcW w:w="3020" w:type="dxa"/>
            <w:hideMark/>
          </w:tcPr>
          <w:p w14:paraId="72A5C001"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主要技术特点</w:t>
            </w:r>
          </w:p>
        </w:tc>
        <w:tc>
          <w:tcPr>
            <w:tcW w:w="5216" w:type="dxa"/>
            <w:hideMark/>
          </w:tcPr>
          <w:p w14:paraId="5BC3CDFD" w14:textId="79886F84" w:rsidR="008470EA" w:rsidRPr="008470EA" w:rsidRDefault="00617EE3" w:rsidP="00634A3C">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8470EA" w:rsidRPr="008470EA" w14:paraId="14E05841" w14:textId="77777777" w:rsidTr="008470EA">
        <w:trPr>
          <w:trHeight w:val="320"/>
        </w:trPr>
        <w:tc>
          <w:tcPr>
            <w:tcW w:w="3020" w:type="dxa"/>
            <w:hideMark/>
          </w:tcPr>
          <w:p w14:paraId="14D7D575"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现状</w:t>
            </w:r>
          </w:p>
        </w:tc>
        <w:tc>
          <w:tcPr>
            <w:tcW w:w="5216" w:type="dxa"/>
            <w:hideMark/>
          </w:tcPr>
          <w:p w14:paraId="3724ABD2" w14:textId="1D7683B8" w:rsidR="008470EA" w:rsidRPr="008470EA" w:rsidRDefault="008C2BD8" w:rsidP="00F23D3A">
            <w:pPr>
              <w:widowControl/>
              <w:rPr>
                <w:rFonts w:ascii="DengXian" w:eastAsia="DengXian" w:hAnsi="DengXian" w:cs="Times New Roman"/>
                <w:b/>
                <w:bCs/>
                <w:color w:val="000000"/>
                <w:kern w:val="0"/>
              </w:rPr>
            </w:pPr>
            <w:r w:rsidRPr="00C922F3">
              <w:rPr>
                <w:rFonts w:ascii="DengXian" w:eastAsia="DengXian" w:hAnsi="DengXian" w:cs="Times New Roman" w:hint="eastAsia"/>
                <w:color w:val="000000"/>
                <w:kern w:val="0"/>
              </w:rPr>
              <w:t>持续投产运行中</w:t>
            </w:r>
          </w:p>
        </w:tc>
      </w:tr>
      <w:tr w:rsidR="008470EA" w:rsidRPr="008470EA" w14:paraId="1A2C3601" w14:textId="77777777" w:rsidTr="008470EA">
        <w:trPr>
          <w:trHeight w:val="320"/>
        </w:trPr>
        <w:tc>
          <w:tcPr>
            <w:tcW w:w="3020" w:type="dxa"/>
            <w:hideMark/>
          </w:tcPr>
          <w:p w14:paraId="7DA67B9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主要参与人员</w:t>
            </w:r>
          </w:p>
        </w:tc>
        <w:tc>
          <w:tcPr>
            <w:tcW w:w="5216" w:type="dxa"/>
            <w:hideMark/>
          </w:tcPr>
          <w:p w14:paraId="76E06915" w14:textId="4D8CF3AA" w:rsidR="008470EA" w:rsidRPr="00B53E17" w:rsidRDefault="00CE3126" w:rsidP="008C2BD8">
            <w:pPr>
              <w:widowControl/>
              <w:rPr>
                <w:rFonts w:ascii="DengXian" w:eastAsia="DengXian" w:hAnsi="DengXian" w:cs="Times New Roman"/>
                <w:bCs/>
                <w:color w:val="000000"/>
                <w:kern w:val="0"/>
              </w:rPr>
            </w:pPr>
            <w:r w:rsidRPr="00B53E17">
              <w:rPr>
                <w:rFonts w:ascii="DengXian" w:eastAsia="DengXian" w:hAnsi="DengXian" w:cs="Times New Roman" w:hint="eastAsia"/>
                <w:bCs/>
                <w:color w:val="000000"/>
                <w:kern w:val="0"/>
              </w:rPr>
              <w:t>张某健、</w:t>
            </w:r>
            <w:r w:rsidR="006B3D89">
              <w:rPr>
                <w:rFonts w:ascii="DengXian" w:eastAsia="DengXian" w:hAnsi="DengXian" w:cs="Times New Roman" w:hint="eastAsia"/>
                <w:bCs/>
                <w:color w:val="000000"/>
                <w:kern w:val="0"/>
              </w:rPr>
              <w:t>宋某华等</w:t>
            </w:r>
          </w:p>
        </w:tc>
      </w:tr>
      <w:tr w:rsidR="008470EA" w:rsidRPr="008470EA" w14:paraId="76776B47" w14:textId="77777777" w:rsidTr="008470EA">
        <w:trPr>
          <w:trHeight w:val="320"/>
        </w:trPr>
        <w:tc>
          <w:tcPr>
            <w:tcW w:w="3020" w:type="dxa"/>
            <w:hideMark/>
          </w:tcPr>
          <w:p w14:paraId="2D208314"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经验</w:t>
            </w:r>
          </w:p>
        </w:tc>
        <w:tc>
          <w:tcPr>
            <w:tcW w:w="5216" w:type="dxa"/>
            <w:hideMark/>
          </w:tcPr>
          <w:p w14:paraId="53517161" w14:textId="3FCE8A4A" w:rsidR="008470EA" w:rsidRPr="008470EA" w:rsidRDefault="008C2BD8" w:rsidP="008C2BD8">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全国性大型银行业咨询规划与实施经验，对数据源的理解、模型建设以及行业应用的快速构建</w:t>
            </w:r>
          </w:p>
        </w:tc>
      </w:tr>
    </w:tbl>
    <w:p w14:paraId="0EB5668D" w14:textId="77777777" w:rsidR="008470EA" w:rsidRPr="008470EA" w:rsidRDefault="008470EA" w:rsidP="008470EA"/>
    <w:p w14:paraId="22970C31" w14:textId="4C9BA9E6" w:rsidR="003B0842" w:rsidRPr="00272D33" w:rsidRDefault="003B0842" w:rsidP="00A726CF">
      <w:pPr>
        <w:pStyle w:val="4"/>
      </w:pPr>
      <w:r w:rsidRPr="00272D33">
        <w:t>项目背景</w:t>
      </w:r>
    </w:p>
    <w:p w14:paraId="17BB84E0"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中国银行卡中心数据仓库建设项目自2003年启动，成功完成了数据仓库基础信息分析平台的建设，还建设了以Teradata TCRM软件平台为支撑的市场营销子系统及包括客户行为分析子系统在内的七个数据挖掘模型应用。此外，银行卡数据仓库还实施了机构信息管理与维护（管理全辖的机构编码信息及其他一些公用信息）、风险准备金提拨（计提风险准备金）、发卡/收单分润、人行征信数据报送、MIS  Portal等应用。数据仓库系统已经成为银行卡中心业务关键系统之一，对于支撑中国银行卡业务的发展承担越来越重要的职能。</w:t>
      </w:r>
    </w:p>
    <w:p w14:paraId="0FE54D62" w14:textId="769513F9" w:rsidR="003B0842" w:rsidRPr="00F604F6" w:rsidRDefault="003B0842" w:rsidP="00A726CF">
      <w:pPr>
        <w:pStyle w:val="4"/>
      </w:pPr>
      <w:r w:rsidRPr="00F604F6">
        <w:lastRenderedPageBreak/>
        <w:t>项目成果</w:t>
      </w:r>
    </w:p>
    <w:p w14:paraId="6AD6716E" w14:textId="22FB56FA" w:rsidR="003B0842" w:rsidRPr="007F784D" w:rsidRDefault="003B0842" w:rsidP="00E6621B">
      <w:pPr>
        <w:pStyle w:val="a3"/>
        <w:numPr>
          <w:ilvl w:val="0"/>
          <w:numId w:val="64"/>
        </w:numPr>
        <w:spacing w:line="360" w:lineRule="auto"/>
        <w:ind w:firstLineChars="0"/>
        <w:rPr>
          <w:rFonts w:ascii="SimSun" w:eastAsia="SimSun" w:hAnsi="SimSun"/>
          <w:b/>
        </w:rPr>
      </w:pPr>
      <w:r w:rsidRPr="007F784D">
        <w:rPr>
          <w:rFonts w:ascii="SimSun" w:eastAsia="SimSun" w:hAnsi="SimSun"/>
          <w:b/>
        </w:rPr>
        <w:t>系统建设历程</w:t>
      </w:r>
    </w:p>
    <w:p w14:paraId="3FCA7814" w14:textId="007F6661"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中行信用卡中心2004年初完成数据仓库一期的建设，系统初始配置为2个5350节点，可用数据容量600G</w:t>
      </w:r>
    </w:p>
    <w:p w14:paraId="556D7F7D" w14:textId="78D8ED5E"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2006年，系统进行第一次扩容，新增2个5400节点与原有节点共存，可用数据容量增加至3T</w:t>
      </w:r>
    </w:p>
    <w:p w14:paraId="64C0D1A6" w14:textId="7AC42E97"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2009年，系统配置扩展成2个5555H，可用数据容量增加到9T</w:t>
      </w:r>
    </w:p>
    <w:p w14:paraId="5437B514" w14:textId="137A7426"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2013年，系统配置扩展成2个6650H，可用数据容量增加到52T</w:t>
      </w:r>
    </w:p>
    <w:p w14:paraId="782AB00E" w14:textId="77777777" w:rsidR="003B0842" w:rsidRPr="00272D33" w:rsidRDefault="003B0842" w:rsidP="00272D33">
      <w:pPr>
        <w:spacing w:line="360" w:lineRule="auto"/>
        <w:ind w:firstLineChars="200" w:firstLine="480"/>
        <w:rPr>
          <w:rFonts w:ascii="SimSun" w:eastAsia="SimSun" w:hAnsi="SimSun"/>
        </w:rPr>
      </w:pPr>
    </w:p>
    <w:p w14:paraId="18B10997" w14:textId="1F447530" w:rsidR="003B0842" w:rsidRPr="007F784D" w:rsidRDefault="003B0842" w:rsidP="00E6621B">
      <w:pPr>
        <w:pStyle w:val="a3"/>
        <w:numPr>
          <w:ilvl w:val="0"/>
          <w:numId w:val="65"/>
        </w:numPr>
        <w:spacing w:line="360" w:lineRule="auto"/>
        <w:ind w:firstLineChars="0"/>
        <w:rPr>
          <w:rFonts w:ascii="SimSun" w:eastAsia="SimSun" w:hAnsi="SimSun"/>
          <w:b/>
        </w:rPr>
      </w:pPr>
      <w:r w:rsidRPr="007F784D">
        <w:rPr>
          <w:rFonts w:ascii="SimSun" w:eastAsia="SimSun" w:hAnsi="SimSun"/>
          <w:b/>
        </w:rPr>
        <w:t>案例项目实施效益</w:t>
      </w:r>
    </w:p>
    <w:p w14:paraId="5AC9AD1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经过多年的建设，中国银行银行卡中心已建立了完整的银行卡数据整合、业务分析、市场营销与客户服务体系。通过业界最先进的技术和专业的实施，中国银行银行卡中心不仅具备了及时高效、全方位的精细化管理能力，同时具备了完整的、闭环的客户关系管理能力，实现了数据驱动业务、信息带动发展的经营管理水平，构成了一个业务与信息相互促进、营销与服务协同工作、共同支持银行卡业务运营的完整的信息技术体系。</w:t>
      </w:r>
    </w:p>
    <w:p w14:paraId="0603016A" w14:textId="7EEB943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 xml:space="preserve">客户单一视图的建立，支持客户的产品交叉持有分析，对满足信用条件的目标客户进行交叉销售，分析客户的行为习惯，在满足信用条件的情况下进行产品升级，多种产品组合可以巩固客户关系，降低流失率； </w:t>
      </w:r>
    </w:p>
    <w:p w14:paraId="3C59E4BF" w14:textId="72904908"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各种客户信息和交易信息数据导入DW，洞悉客户及客户行为，支持客户细分、客户生命周期管理、为已有客户提供个性化与差异化服务；</w:t>
      </w:r>
    </w:p>
    <w:p w14:paraId="5FA957CA" w14:textId="1D8334B3"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DW整合发卡、交换、财务等各个源系统的数据，为业务管理部门提供更</w:t>
      </w:r>
      <w:r w:rsidRPr="00E6621B">
        <w:rPr>
          <w:rFonts w:ascii="SimSun" w:eastAsia="SimSun" w:hAnsi="SimSun"/>
        </w:rPr>
        <w:lastRenderedPageBreak/>
        <w:t>为及时、准确的MIS报表、KPI等经营管理数据；</w:t>
      </w:r>
    </w:p>
    <w:p w14:paraId="7E99C981" w14:textId="77E919F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基于帐户级的收入、风险、成本计算，支持到分行、销售团队、客户经理的分润与绩效考核，实现基于客户价值的绩效考核和分行分润；</w:t>
      </w:r>
    </w:p>
    <w:p w14:paraId="6CD453FE" w14:textId="7B886BE9"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负面客户信息的整理应用，作为新卡审批和额度核准的参考，降低银行发卡风险；</w:t>
      </w:r>
    </w:p>
    <w:p w14:paraId="28A73A7A" w14:textId="55370F21"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统一规范地满足监管单位（人民银行、外管局等）的监管要求，快速且低成本地实现各级监管机构的监管需求。</w:t>
      </w:r>
    </w:p>
    <w:p w14:paraId="327B0FE5" w14:textId="29B27A4B"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数据仓库作为中国银行信用卡信息平台，广泛使用于中国银行总分行的信息人员，截止2008年5月，总行数据仓库BI用户数达到50个左右，分布在市场、风险、财务、经管等部门，一般BI人员可以看到PUBLIC组的数据，如需看到敏感数据（如身份证号、地址），需要得到超级用户授权。另外，Portal发布报表总数为298个，总行、32分行的Portal用户数达到170，权限管理上，总行用户可看到全行数据，分行用户只能看到分行的数据。</w:t>
      </w:r>
    </w:p>
    <w:p w14:paraId="361D9929"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中国银行银行卡中心数据仓库中，不仅包括了银行卡的数据，还包括了个人金融的全部数据。</w:t>
      </w:r>
    </w:p>
    <w:p w14:paraId="288992F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截至2012年底，中国银行银行卡中心数据仓库实现从近20个源系统的取数；数据仓库应用数量达到了43个，包括如下12类应用：管理信息系统、经营指标快报、客户关系管理、分润和绩效考核、监管报送、数据接口、数据挖掘、灵活查询、公司卡数据分析、收单业务分析应用、运行监控。其中仅管理信息系统的报表数量达到300多张。</w:t>
      </w:r>
    </w:p>
    <w:p w14:paraId="66A2C0BB" w14:textId="77777777" w:rsidR="00D71480" w:rsidRPr="00D71480" w:rsidRDefault="00D71480" w:rsidP="00D71480"/>
    <w:p w14:paraId="39E77DBB" w14:textId="42CA41EB" w:rsidR="00321C36" w:rsidRDefault="00BD431B" w:rsidP="00D27B81">
      <w:pPr>
        <w:pStyle w:val="3"/>
      </w:pPr>
      <w:r>
        <w:rPr>
          <w:rFonts w:hint="eastAsia"/>
        </w:rPr>
        <w:lastRenderedPageBreak/>
        <w:t>上海</w:t>
      </w:r>
      <w:r w:rsidR="00321C36">
        <w:rPr>
          <w:rFonts w:hint="eastAsia"/>
        </w:rPr>
        <w:t>浦</w:t>
      </w:r>
      <w:r>
        <w:rPr>
          <w:rFonts w:hint="eastAsia"/>
        </w:rPr>
        <w:t>东</w:t>
      </w:r>
      <w:r w:rsidR="00321C36">
        <w:rPr>
          <w:rFonts w:hint="eastAsia"/>
        </w:rPr>
        <w:t>发</w:t>
      </w:r>
      <w:r>
        <w:rPr>
          <w:rFonts w:hint="eastAsia"/>
        </w:rPr>
        <w:t>展</w:t>
      </w:r>
      <w:r w:rsidR="00321C36">
        <w:rPr>
          <w:rFonts w:hint="eastAsia"/>
        </w:rPr>
        <w:t>银行案例</w:t>
      </w:r>
    </w:p>
    <w:tbl>
      <w:tblPr>
        <w:tblStyle w:val="a5"/>
        <w:tblW w:w="8356" w:type="dxa"/>
        <w:tblLook w:val="04A0" w:firstRow="1" w:lastRow="0" w:firstColumn="1" w:lastColumn="0" w:noHBand="0" w:noVBand="1"/>
      </w:tblPr>
      <w:tblGrid>
        <w:gridCol w:w="3020"/>
        <w:gridCol w:w="5336"/>
      </w:tblGrid>
      <w:tr w:rsidR="003057FD" w:rsidRPr="003057FD" w14:paraId="314F9EC5" w14:textId="77777777" w:rsidTr="003057FD">
        <w:trPr>
          <w:trHeight w:val="320"/>
        </w:trPr>
        <w:tc>
          <w:tcPr>
            <w:tcW w:w="3020" w:type="dxa"/>
            <w:hideMark/>
          </w:tcPr>
          <w:p w14:paraId="2FFB04AD"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客户案例名称</w:t>
            </w:r>
          </w:p>
        </w:tc>
        <w:tc>
          <w:tcPr>
            <w:tcW w:w="5336" w:type="dxa"/>
            <w:hideMark/>
          </w:tcPr>
          <w:p w14:paraId="4BEF2AF4"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上海浦东发展银行</w:t>
            </w:r>
          </w:p>
        </w:tc>
      </w:tr>
      <w:tr w:rsidR="003057FD" w:rsidRPr="003057FD" w14:paraId="1D4F5CE6" w14:textId="77777777" w:rsidTr="003057FD">
        <w:trPr>
          <w:trHeight w:val="2560"/>
        </w:trPr>
        <w:tc>
          <w:tcPr>
            <w:tcW w:w="3020" w:type="dxa"/>
            <w:hideMark/>
          </w:tcPr>
          <w:p w14:paraId="568AB405"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案例规模</w:t>
            </w:r>
          </w:p>
        </w:tc>
        <w:tc>
          <w:tcPr>
            <w:tcW w:w="5336" w:type="dxa"/>
            <w:hideMark/>
          </w:tcPr>
          <w:p w14:paraId="22291675"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数据仓库已经集成了78个总行源系统、18个总行参数、9个分行参数上传的业务数据；</w:t>
            </w:r>
            <w:r w:rsidRPr="003057FD">
              <w:rPr>
                <w:rFonts w:ascii="DengXian" w:eastAsia="DengXian" w:hAnsi="DengXian" w:cs="Times New Roman" w:hint="eastAsia"/>
                <w:color w:val="000000"/>
                <w:kern w:val="0"/>
              </w:rPr>
              <w:br/>
              <w:t>基于数据仓库已经建设了65个总行应用和27个分行应用，满足了总分行各个部门对业务分析和数据服务的需求。包括监管类应用、分析管理应用、历史数据查询应用、运营系统的数据服务、分行数据分发服务等；</w:t>
            </w:r>
            <w:r w:rsidRPr="003057FD">
              <w:rPr>
                <w:rFonts w:ascii="DengXian" w:eastAsia="DengXian" w:hAnsi="DengXian" w:cs="Times New Roman" w:hint="eastAsia"/>
                <w:color w:val="000000"/>
                <w:kern w:val="0"/>
              </w:rPr>
              <w:br/>
              <w:t>数据容量规模147TB；</w:t>
            </w:r>
          </w:p>
        </w:tc>
      </w:tr>
      <w:tr w:rsidR="003057FD" w:rsidRPr="003057FD" w14:paraId="5CD073FD" w14:textId="77777777" w:rsidTr="003057FD">
        <w:trPr>
          <w:trHeight w:val="320"/>
        </w:trPr>
        <w:tc>
          <w:tcPr>
            <w:tcW w:w="3020" w:type="dxa"/>
            <w:hideMark/>
          </w:tcPr>
          <w:p w14:paraId="08ABA798"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实施范围</w:t>
            </w:r>
          </w:p>
        </w:tc>
        <w:tc>
          <w:tcPr>
            <w:tcW w:w="5336" w:type="dxa"/>
            <w:hideMark/>
          </w:tcPr>
          <w:p w14:paraId="3C4922FF"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详见案例说明部份</w:t>
            </w:r>
          </w:p>
        </w:tc>
      </w:tr>
      <w:tr w:rsidR="003057FD" w:rsidRPr="003057FD" w14:paraId="16D869BD" w14:textId="77777777" w:rsidTr="003057FD">
        <w:trPr>
          <w:trHeight w:val="320"/>
        </w:trPr>
        <w:tc>
          <w:tcPr>
            <w:tcW w:w="3020" w:type="dxa"/>
            <w:hideMark/>
          </w:tcPr>
          <w:p w14:paraId="43FEAB91"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实施时间</w:t>
            </w:r>
          </w:p>
        </w:tc>
        <w:tc>
          <w:tcPr>
            <w:tcW w:w="5336" w:type="dxa"/>
            <w:hideMark/>
          </w:tcPr>
          <w:p w14:paraId="1C08C0C8"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2007年至今</w:t>
            </w:r>
          </w:p>
        </w:tc>
      </w:tr>
      <w:tr w:rsidR="003057FD" w:rsidRPr="003057FD" w14:paraId="2B5DE1C7" w14:textId="77777777" w:rsidTr="003057FD">
        <w:trPr>
          <w:trHeight w:val="320"/>
        </w:trPr>
        <w:tc>
          <w:tcPr>
            <w:tcW w:w="3020" w:type="dxa"/>
            <w:hideMark/>
          </w:tcPr>
          <w:p w14:paraId="075D2A2A"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数据仓库+大数据技术</w:t>
            </w:r>
          </w:p>
        </w:tc>
        <w:tc>
          <w:tcPr>
            <w:tcW w:w="5336" w:type="dxa"/>
            <w:hideMark/>
          </w:tcPr>
          <w:p w14:paraId="1C275112"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数据仓库、Aster、DataLab</w:t>
            </w:r>
          </w:p>
        </w:tc>
      </w:tr>
      <w:tr w:rsidR="003057FD" w:rsidRPr="003057FD" w14:paraId="21E332A0" w14:textId="77777777" w:rsidTr="003057FD">
        <w:trPr>
          <w:trHeight w:val="320"/>
        </w:trPr>
        <w:tc>
          <w:tcPr>
            <w:tcW w:w="3020" w:type="dxa"/>
            <w:hideMark/>
          </w:tcPr>
          <w:p w14:paraId="4BAB58A6"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数据治理咨询</w:t>
            </w:r>
          </w:p>
        </w:tc>
        <w:tc>
          <w:tcPr>
            <w:tcW w:w="5336" w:type="dxa"/>
            <w:hideMark/>
          </w:tcPr>
          <w:p w14:paraId="0774AB7B"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2013年进行数据架构及治理咨询</w:t>
            </w:r>
          </w:p>
        </w:tc>
      </w:tr>
      <w:tr w:rsidR="003057FD" w:rsidRPr="003057FD" w14:paraId="2B7BC211" w14:textId="77777777" w:rsidTr="003057FD">
        <w:trPr>
          <w:trHeight w:val="320"/>
        </w:trPr>
        <w:tc>
          <w:tcPr>
            <w:tcW w:w="3020" w:type="dxa"/>
            <w:hideMark/>
          </w:tcPr>
          <w:p w14:paraId="2419ECA8"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系统架构</w:t>
            </w:r>
          </w:p>
        </w:tc>
        <w:tc>
          <w:tcPr>
            <w:tcW w:w="5336" w:type="dxa"/>
            <w:hideMark/>
          </w:tcPr>
          <w:p w14:paraId="1198BC48"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逻辑数据仓库混搭架构：EDW+Aster+DataLab</w:t>
            </w:r>
          </w:p>
        </w:tc>
      </w:tr>
      <w:tr w:rsidR="003057FD" w:rsidRPr="003057FD" w14:paraId="60891748" w14:textId="77777777" w:rsidTr="003057FD">
        <w:trPr>
          <w:trHeight w:val="1600"/>
        </w:trPr>
        <w:tc>
          <w:tcPr>
            <w:tcW w:w="3020" w:type="dxa"/>
            <w:hideMark/>
          </w:tcPr>
          <w:p w14:paraId="45D0CA96"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主要技术特点</w:t>
            </w:r>
          </w:p>
        </w:tc>
        <w:tc>
          <w:tcPr>
            <w:tcW w:w="5336" w:type="dxa"/>
            <w:hideMark/>
          </w:tcPr>
          <w:p w14:paraId="75F8B01C"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数据仓库整体规划与咨询；</w:t>
            </w:r>
            <w:r w:rsidRPr="003057FD">
              <w:rPr>
                <w:rFonts w:ascii="DengXian" w:eastAsia="DengXian" w:hAnsi="DengXian" w:cs="Times New Roman" w:hint="eastAsia"/>
                <w:color w:val="000000"/>
                <w:kern w:val="0"/>
              </w:rPr>
              <w:br/>
              <w:t>数据仓库成熟度评估</w:t>
            </w:r>
            <w:r w:rsidRPr="003057FD">
              <w:rPr>
                <w:rFonts w:ascii="DengXian" w:eastAsia="DengXian" w:hAnsi="DengXian" w:cs="Times New Roman" w:hint="eastAsia"/>
                <w:color w:val="000000"/>
                <w:kern w:val="0"/>
              </w:rPr>
              <w:br/>
              <w:t>海量数据存储</w:t>
            </w:r>
            <w:r w:rsidRPr="003057FD">
              <w:rPr>
                <w:rFonts w:ascii="DengXian" w:eastAsia="DengXian" w:hAnsi="DengXian" w:cs="Times New Roman" w:hint="eastAsia"/>
                <w:color w:val="000000"/>
                <w:kern w:val="0"/>
              </w:rPr>
              <w:br/>
              <w:t>并行计算</w:t>
            </w:r>
            <w:r w:rsidRPr="003057FD">
              <w:rPr>
                <w:rFonts w:ascii="DengXian" w:eastAsia="DengXian" w:hAnsi="DengXian" w:cs="Times New Roman" w:hint="eastAsia"/>
                <w:color w:val="000000"/>
                <w:kern w:val="0"/>
              </w:rPr>
              <w:br/>
              <w:t>Teradata金融行业数据模型</w:t>
            </w:r>
          </w:p>
        </w:tc>
      </w:tr>
      <w:tr w:rsidR="003057FD" w:rsidRPr="003057FD" w14:paraId="36FDF35B" w14:textId="77777777" w:rsidTr="003057FD">
        <w:trPr>
          <w:trHeight w:val="960"/>
        </w:trPr>
        <w:tc>
          <w:tcPr>
            <w:tcW w:w="3020" w:type="dxa"/>
            <w:hideMark/>
          </w:tcPr>
          <w:p w14:paraId="064F21C4"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现状</w:t>
            </w:r>
          </w:p>
        </w:tc>
        <w:tc>
          <w:tcPr>
            <w:tcW w:w="5336" w:type="dxa"/>
            <w:hideMark/>
          </w:tcPr>
          <w:p w14:paraId="24CF124E"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持续运维运行中；</w:t>
            </w:r>
            <w:r w:rsidRPr="003057FD">
              <w:rPr>
                <w:rFonts w:ascii="DengXian" w:eastAsia="DengXian" w:hAnsi="DengXian" w:cs="Times New Roman" w:hint="eastAsia"/>
                <w:color w:val="000000"/>
                <w:kern w:val="0"/>
              </w:rPr>
              <w:br/>
              <w:t>配合进行新一代数据仓库建设；数据仓库优化，以及进行CoD扩容规划</w:t>
            </w:r>
          </w:p>
        </w:tc>
      </w:tr>
      <w:tr w:rsidR="003057FD" w:rsidRPr="003057FD" w14:paraId="016C8FAC" w14:textId="77777777" w:rsidTr="003057FD">
        <w:trPr>
          <w:trHeight w:val="960"/>
        </w:trPr>
        <w:tc>
          <w:tcPr>
            <w:tcW w:w="3020" w:type="dxa"/>
            <w:hideMark/>
          </w:tcPr>
          <w:p w14:paraId="476DCCAA"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主要参与人员</w:t>
            </w:r>
          </w:p>
        </w:tc>
        <w:tc>
          <w:tcPr>
            <w:tcW w:w="5336" w:type="dxa"/>
            <w:hideMark/>
          </w:tcPr>
          <w:p w14:paraId="5A517118" w14:textId="05048A03"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PM</w:t>
            </w:r>
            <w:r w:rsidR="00081721">
              <w:rPr>
                <w:rFonts w:ascii="DengXian" w:eastAsia="DengXian" w:hAnsi="DengXian" w:cs="Times New Roman" w:hint="eastAsia"/>
                <w:color w:val="000000"/>
                <w:kern w:val="0"/>
              </w:rPr>
              <w:t>：汪某</w:t>
            </w:r>
            <w:r w:rsidRPr="003057FD">
              <w:rPr>
                <w:rFonts w:ascii="DengXian" w:eastAsia="DengXian" w:hAnsi="DengXian" w:cs="Times New Roman" w:hint="eastAsia"/>
                <w:color w:val="000000"/>
                <w:kern w:val="0"/>
              </w:rPr>
              <w:t>俊，</w:t>
            </w:r>
            <w:r w:rsidRPr="003057FD">
              <w:rPr>
                <w:rFonts w:ascii="DengXian" w:eastAsia="DengXian" w:hAnsi="DengXian" w:cs="Times New Roman" w:hint="eastAsia"/>
                <w:color w:val="000000"/>
                <w:kern w:val="0"/>
              </w:rPr>
              <w:br/>
              <w:t>模型师：梅</w:t>
            </w:r>
            <w:r w:rsidR="00081721">
              <w:rPr>
                <w:rFonts w:ascii="DengXian" w:eastAsia="DengXian" w:hAnsi="DengXian" w:cs="Times New Roman" w:hint="eastAsia"/>
                <w:color w:val="000000"/>
                <w:kern w:val="0"/>
              </w:rPr>
              <w:t>某</w:t>
            </w:r>
            <w:r w:rsidRPr="003057FD">
              <w:rPr>
                <w:rFonts w:ascii="DengXian" w:eastAsia="DengXian" w:hAnsi="DengXian" w:cs="Times New Roman" w:hint="eastAsia"/>
                <w:color w:val="000000"/>
                <w:kern w:val="0"/>
              </w:rPr>
              <w:t>燕</w:t>
            </w:r>
            <w:r w:rsidRPr="003057FD">
              <w:rPr>
                <w:rFonts w:ascii="DengXian" w:eastAsia="DengXian" w:hAnsi="DengXian" w:cs="Times New Roman" w:hint="eastAsia"/>
                <w:color w:val="000000"/>
                <w:kern w:val="0"/>
              </w:rPr>
              <w:br/>
            </w:r>
            <w:r w:rsidR="00081721">
              <w:rPr>
                <w:rFonts w:ascii="DengXian" w:eastAsia="DengXian" w:hAnsi="DengXian" w:cs="Times New Roman" w:hint="eastAsia"/>
                <w:color w:val="000000"/>
                <w:kern w:val="0"/>
              </w:rPr>
              <w:t>架构师：孙某</w:t>
            </w:r>
            <w:r w:rsidRPr="003057FD">
              <w:rPr>
                <w:rFonts w:ascii="DengXian" w:eastAsia="DengXian" w:hAnsi="DengXian" w:cs="Times New Roman" w:hint="eastAsia"/>
                <w:color w:val="000000"/>
                <w:kern w:val="0"/>
              </w:rPr>
              <w:t>兵等</w:t>
            </w:r>
          </w:p>
        </w:tc>
      </w:tr>
      <w:tr w:rsidR="003057FD" w:rsidRPr="003057FD" w14:paraId="3CE7D874" w14:textId="77777777" w:rsidTr="003057FD">
        <w:trPr>
          <w:trHeight w:val="640"/>
        </w:trPr>
        <w:tc>
          <w:tcPr>
            <w:tcW w:w="3020" w:type="dxa"/>
            <w:hideMark/>
          </w:tcPr>
          <w:p w14:paraId="3CD066D1"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经验</w:t>
            </w:r>
          </w:p>
        </w:tc>
        <w:tc>
          <w:tcPr>
            <w:tcW w:w="5336" w:type="dxa"/>
            <w:hideMark/>
          </w:tcPr>
          <w:p w14:paraId="220535A6"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6EE30DBA" w14:textId="77777777" w:rsidR="007E06C5" w:rsidRPr="003057FD" w:rsidRDefault="007E06C5" w:rsidP="007E06C5"/>
    <w:p w14:paraId="5649D274" w14:textId="6FE3BEFF" w:rsidR="006B161A" w:rsidRPr="006B161A" w:rsidRDefault="006B161A" w:rsidP="00A726CF">
      <w:pPr>
        <w:pStyle w:val="4"/>
      </w:pPr>
      <w:r w:rsidRPr="006B161A">
        <w:lastRenderedPageBreak/>
        <w:t>客户简介</w:t>
      </w:r>
    </w:p>
    <w:p w14:paraId="691B8BF9" w14:textId="1FC0B832"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上海浦东发展银行是 1992 年 8 月 28 日经中国人民银行批准设立、于 1993 年 1 月 9 日正式开业的股份制商业银行，总行设在上海。</w:t>
      </w:r>
    </w:p>
    <w:p w14:paraId="60D5B582" w14:textId="1F3871CD"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经中国人民银行、中国证监会正式批准，上海浦东发展银行于 1999 年获准公开发行Ａ股股票，并在上海证券交易所正式挂牌上市（股票交易代码： 600000 ），这是中国银行业改革的一项重大举措。注册资本金达 39.15亿元，良好的业绩和诚信经营的声誉使浦发银行业已成为中国证券市场中一家备受关注和尊敬的上市公司。</w:t>
      </w:r>
    </w:p>
    <w:p w14:paraId="01A12535" w14:textId="48561A58"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主营业务主要包括：吸收公众存款、发放短期、中期和长期贷款、办理结算、办理票据贴现、发行金融债券、代理发行、代理兑付、承销政府债券、买卖政府债券、同业拆借、提供信用证服务及担保;代理收付款项及代理保险业务；提供保管箱服务。外汇存款；外汇贷款；外汇汇款；外汇兑换；国际结算；同业外汇拆借；外汇票据的承兑和贴现；外汇借款；外汇担保；结汇、售汇；买卖和代理买卖股票以外的外币有价证券；代客外汇买卖；资信调查、咨询、见证业务；人民币和外币信用卡业务；离岸金融业务；经中国人民银行批准的其他业务。</w:t>
      </w:r>
    </w:p>
    <w:p w14:paraId="1E1D01BA" w14:textId="23A69EB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根据2007年核心资本排名，公司2008年7月获评英国《银行家》杂志全球1000强银行排名第176位，比前年提前了15位排名；2008年6月公司被英国《金融时报》评为全球市值500强企业第422位。公司还被国际评级研究机构 RepuTex（崇德）评为“中国十佳可持续发展企业”，被中国扶贫基金会评选为“2008中国民生行动先锋”。在中国信息协会、中国服务贸易协会联合主办的2007-2008中国最佳客户服务评选中，公司95528客户服务中心荣获“2007-2008中国最佳客户服务中心奖”。公司在《经济观察报》主办的“2007年度中国最佳</w:t>
      </w:r>
      <w:r w:rsidRPr="006B161A">
        <w:rPr>
          <w:rFonts w:ascii="SimSun" w:eastAsia="SimSun" w:hAnsi="SimSun"/>
        </w:rPr>
        <w:lastRenderedPageBreak/>
        <w:t xml:space="preserve">银行评选”中荣膺“2007最佳企业伙伴银行”奖项。由中国《金融时报》主办的“2008中国最佳金融机构排行榜”中荣膺“最佳风险控制银行”和“最具成长性银行”；由《首席财务官》杂志社主办“2008年度中国CFO最信赖的银行评选”中荣获“最佳公司金融品牌奖”、“最佳投行业务奖”和“最佳贸易金融奖”。2008年12月，被《21世纪经济报道》的“2008年亚洲银行竞争力排名”中名列综合竞争力15强。  </w:t>
      </w:r>
    </w:p>
    <w:p w14:paraId="59D7FB23" w14:textId="701A74C3"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公司自开业以来，经营规模不断扩大，网点连年增加，经营效益持续提高。 截至2008年末，公司已在全国49个城市开设了32家分行，机构网点总数增至491家。2008年底，公司总资产为13094.25亿元，本外币一般贷款余额为6975.65亿元，本外币一般存款余额为9472.94亿元，2008年公司实现税后利润125.16亿元。</w:t>
      </w:r>
    </w:p>
    <w:p w14:paraId="4DCA4664" w14:textId="56CB63E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目前浦发银行拥有个人和公司客户数约2000万，帐户数约4500万。</w:t>
      </w:r>
    </w:p>
    <w:p w14:paraId="63FB5639" w14:textId="2D323765" w:rsidR="006B161A" w:rsidRPr="006B161A" w:rsidRDefault="006B161A" w:rsidP="00A726CF">
      <w:pPr>
        <w:pStyle w:val="4"/>
      </w:pPr>
      <w:r w:rsidRPr="006B161A">
        <w:t>项目背景与发展历程</w:t>
      </w:r>
    </w:p>
    <w:p w14:paraId="4B551D05"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ACF8149" w14:textId="62236829"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Teradata EDW解决方案与项目实施方法论验证，项目管理能力与初步应用验证</w:t>
      </w:r>
    </w:p>
    <w:p w14:paraId="6F80A3CA"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数据仓库首期 与EDA项目（2006.3 – 2007.3）</w:t>
      </w:r>
    </w:p>
    <w:p w14:paraId="392F02BB" w14:textId="21DACE27"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企业级数据仓库平台搭建，完成CIM、1104等应用项目</w:t>
      </w:r>
    </w:p>
    <w:p w14:paraId="359D7D9B"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数据仓库运维及应用推进（2007.4 – 2008.3）</w:t>
      </w:r>
    </w:p>
    <w:p w14:paraId="239F85AC" w14:textId="75E8779A"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EDW运行维护，实施包括东方卡、总账指标、支付结算报表等专题应用</w:t>
      </w:r>
    </w:p>
    <w:p w14:paraId="189B5F31"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全行应用推广（2008. 4 - ）</w:t>
      </w:r>
    </w:p>
    <w:p w14:paraId="27FC40BF" w14:textId="1B9FA535"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lastRenderedPageBreak/>
        <w:t>EDW运行维护，分行应用推广</w:t>
      </w:r>
    </w:p>
    <w:p w14:paraId="134CA440" w14:textId="307D3374" w:rsidR="006B161A" w:rsidRPr="006B161A" w:rsidRDefault="006B161A" w:rsidP="00A726CF">
      <w:pPr>
        <w:pStyle w:val="4"/>
      </w:pPr>
      <w:r w:rsidRPr="006B161A">
        <w:t>项目实施成果</w:t>
      </w:r>
    </w:p>
    <w:p w14:paraId="7E45DBF3" w14:textId="021E526E" w:rsidR="006B161A" w:rsidRP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913FC07" w14:textId="50262FC7"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卡业务分析：</w:t>
      </w:r>
    </w:p>
    <w:p w14:paraId="6EB87108" w14:textId="6E56883C"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东方卡发卡情况统计表</w:t>
      </w:r>
    </w:p>
    <w:p w14:paraId="34D52D9A" w14:textId="08B54782"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东方卡存款结构统计表</w:t>
      </w:r>
    </w:p>
    <w:p w14:paraId="714343C9" w14:textId="0F7F3AC2"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公司业务</w:t>
      </w:r>
      <w:r w:rsidRPr="0062134E">
        <w:rPr>
          <w:rFonts w:ascii="SimSun" w:eastAsia="SimSun" w:hAnsi="SimSun"/>
        </w:rPr>
        <w:tab/>
        <w:t>：</w:t>
      </w:r>
    </w:p>
    <w:p w14:paraId="3C8C63DD" w14:textId="29A2B90B"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公司业务产品分类统计查询</w:t>
      </w:r>
    </w:p>
    <w:p w14:paraId="70DFFA36" w14:textId="62A19A02"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公司业务客户分析模型</w:t>
      </w:r>
    </w:p>
    <w:p w14:paraId="5B8EDD28" w14:textId="700CF5CE"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财务分析：</w:t>
      </w:r>
    </w:p>
    <w:p w14:paraId="12C724F8" w14:textId="7C7BEC16"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流动性比例监测表</w:t>
      </w:r>
    </w:p>
    <w:p w14:paraId="7CE204F9" w14:textId="3C3EC224"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风险分析：</w:t>
      </w:r>
    </w:p>
    <w:p w14:paraId="05E5BE38" w14:textId="0118F820"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不良贷款金额及不良贷款率查询</w:t>
      </w:r>
    </w:p>
    <w:p w14:paraId="59BF2443" w14:textId="7F4DF160"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反洗钱：</w:t>
      </w:r>
    </w:p>
    <w:p w14:paraId="14DF07D8" w14:textId="4D9A6A24"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人民币个人客户分散转入集中转出可疑交易</w:t>
      </w:r>
    </w:p>
    <w:p w14:paraId="4B3C935A" w14:textId="37E6C125"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人民币个人客户集中转入分散转出可疑交易</w:t>
      </w:r>
    </w:p>
    <w:p w14:paraId="4A18E1A9" w14:textId="77777777" w:rsidR="00962C06"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人民币公司客户分散转入集中转出可疑交易</w:t>
      </w:r>
    </w:p>
    <w:p w14:paraId="57A37EE0" w14:textId="3795EB49"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人民币公司客户集中转入分散转出可疑交易</w:t>
      </w:r>
    </w:p>
    <w:p w14:paraId="36474273" w14:textId="18BA119D"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外币个人客户分散汇入集中汇出可疑交易</w:t>
      </w:r>
    </w:p>
    <w:p w14:paraId="52201472" w14:textId="354274D9" w:rsidR="002238E9"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外币个人客户集中汇入分散汇出可疑交易</w:t>
      </w:r>
    </w:p>
    <w:p w14:paraId="1CE4A5C8" w14:textId="77777777" w:rsidR="00962C06"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数据仓库首期与EDA项目（2006.3 – 2007.3）</w:t>
      </w:r>
    </w:p>
    <w:p w14:paraId="1EE93850" w14:textId="0AB8A96C" w:rsidR="006B161A" w:rsidRPr="00962C06" w:rsidRDefault="006B161A" w:rsidP="002F6FF5">
      <w:pPr>
        <w:pStyle w:val="a3"/>
        <w:numPr>
          <w:ilvl w:val="0"/>
          <w:numId w:val="22"/>
        </w:numPr>
        <w:spacing w:line="360" w:lineRule="auto"/>
        <w:ind w:firstLineChars="0"/>
        <w:rPr>
          <w:rFonts w:ascii="SimSun" w:eastAsia="SimSun" w:hAnsi="SimSun"/>
        </w:rPr>
      </w:pPr>
      <w:r w:rsidRPr="00962C06">
        <w:rPr>
          <w:rFonts w:ascii="SimSun" w:eastAsia="SimSun" w:hAnsi="SimSun"/>
        </w:rPr>
        <w:lastRenderedPageBreak/>
        <w:t>系统层面</w:t>
      </w:r>
    </w:p>
    <w:p w14:paraId="74221C77" w14:textId="7697B6C6"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完成项目范围内的数据加载，建立统一的、共享的数据仓库平台；</w:t>
      </w:r>
    </w:p>
    <w:p w14:paraId="5BAB0567" w14:textId="28547CAE"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完成DW Automation对第三方工具（DataStage）的统一任务调度与监控管理；</w:t>
      </w:r>
    </w:p>
    <w:p w14:paraId="4AFB2A24" w14:textId="4C3FEA83"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完成系统监控到HP OpenView的集成；</w:t>
      </w:r>
    </w:p>
    <w:p w14:paraId="208C8C3C" w14:textId="4E5BCDDA"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技术层面</w:t>
      </w:r>
    </w:p>
    <w:p w14:paraId="4AEC9584" w14:textId="4B14927C"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建立具有先进性、灵活性和可扩展性的企业级数据仓库的总体架构；</w:t>
      </w:r>
    </w:p>
    <w:p w14:paraId="7130B9DF" w14:textId="77FFA7DF"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建立一套完善的ETL体系，完成数据的抽取、加载与转换。</w:t>
      </w:r>
    </w:p>
    <w:p w14:paraId="7557A6CE" w14:textId="56C38A1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应用层面</w:t>
      </w:r>
    </w:p>
    <w:p w14:paraId="3EA72459" w14:textId="1947F38A"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完成CIM应用系统的实施；</w:t>
      </w:r>
    </w:p>
    <w:p w14:paraId="2D2A3962" w14:textId="7856BB7D"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POC当前已验证的应用成果转产；</w:t>
      </w:r>
    </w:p>
    <w:p w14:paraId="47E83047" w14:textId="326399C1"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完成1104银监会监管报表报送。</w:t>
      </w:r>
    </w:p>
    <w:p w14:paraId="3190FF2B" w14:textId="2BC69387"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管理层面</w:t>
      </w:r>
    </w:p>
    <w:p w14:paraId="23954E88" w14:textId="77777777" w:rsidR="0064329D"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通过Teradata数据仓库系统管理手段完善系统管理；</w:t>
      </w:r>
    </w:p>
    <w:p w14:paraId="024A857D" w14:textId="31F2742D" w:rsidR="006B161A"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借助于数据仓库项目建设和维护方法论，完善项目不同阶段的管理。</w:t>
      </w:r>
    </w:p>
    <w:p w14:paraId="7FEFBF35" w14:textId="7C1669F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规划层面（EDA）</w:t>
      </w:r>
    </w:p>
    <w:p w14:paraId="2B875A4E"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在当前EDW平台基础之上建立有效的数据管理框架，建立有效的管理组织架构，制定应用发展规划，制定IT长远规划，重点解决以下几个方面的问题：</w:t>
      </w:r>
    </w:p>
    <w:p w14:paraId="02A02B18" w14:textId="7CA6BB2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数据管理框架</w:t>
      </w:r>
    </w:p>
    <w:p w14:paraId="55A1F981" w14:textId="2366D0F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管理组织架构 </w:t>
      </w:r>
    </w:p>
    <w:p w14:paraId="41EDB623" w14:textId="3A6B48B5"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IT长远规划 </w:t>
      </w:r>
    </w:p>
    <w:p w14:paraId="57713940" w14:textId="1F94CD2D"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应用发展规划</w:t>
      </w:r>
    </w:p>
    <w:p w14:paraId="2DAE329A" w14:textId="57773E3A"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lastRenderedPageBreak/>
        <w:t>数据仓库运维及应用推进（2007.4 – 2008.3）</w:t>
      </w:r>
    </w:p>
    <w:p w14:paraId="0ED81C6F" w14:textId="5E9B56FA"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数据仓库运维</w:t>
      </w:r>
    </w:p>
    <w:p w14:paraId="13C783AD" w14:textId="409DC622"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数据仓库生产环境和开发测试环境的日常维护管理（DBA）</w:t>
      </w:r>
    </w:p>
    <w:p w14:paraId="681343E9" w14:textId="1C7A5FD8"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ETL系统的日常维护支持</w:t>
      </w:r>
    </w:p>
    <w:p w14:paraId="46212719" w14:textId="1DBBB1CB"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现有数据仓库应用系统的日常维护支持</w:t>
      </w:r>
    </w:p>
    <w:p w14:paraId="00E5C1AD" w14:textId="44A087CC"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源业务系统变化引起的数据仓库变更</w:t>
      </w:r>
    </w:p>
    <w:p w14:paraId="0943CA4A" w14:textId="5D8668C9"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基于数据仓库的数据请求支持</w:t>
      </w:r>
    </w:p>
    <w:p w14:paraId="08B43475" w14:textId="086ED26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基于数据仓库的应用开发支持</w:t>
      </w:r>
    </w:p>
    <w:p w14:paraId="044D14A2" w14:textId="1E8A2B5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 xml:space="preserve">其它浦发银行数据仓库维护团队负责人根据实际需求的安排所开展的与数据仓库运行维护紧密相关的工作 </w:t>
      </w:r>
    </w:p>
    <w:p w14:paraId="1C1D3573" w14:textId="54F54A79"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应用推进</w:t>
      </w:r>
    </w:p>
    <w:p w14:paraId="27984D84" w14:textId="4ADD22A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面向报表开发的应用数据复用层的规划设计及实现；</w:t>
      </w:r>
    </w:p>
    <w:p w14:paraId="18E27CC9" w14:textId="7EDDF375"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报表应用数据集市的设计与开发；</w:t>
      </w:r>
    </w:p>
    <w:p w14:paraId="43D9F337" w14:textId="23D1BBA1"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前端报表展现的设计与开发，从而构建一套基于浦发银行数据仓库平台，面向全行的全新报表应用体系；</w:t>
      </w:r>
    </w:p>
    <w:p w14:paraId="1B544C0D" w14:textId="260FE453"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形成基于数据仓库平台的符合EDA规范的应用开发规范和流程（包括需求、开发、变更、数据质量流程和文档体系）以及配套的InfoUser、PowerUser、AppUser的用户体系；</w:t>
      </w:r>
    </w:p>
    <w:p w14:paraId="0BF66066" w14:textId="055ABB3E"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实现东方卡/代发、支付结算、总帐指标体系等主题分析应用。</w:t>
      </w:r>
    </w:p>
    <w:p w14:paraId="05DCDC16" w14:textId="162B74B4"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全行应用推广（2008. 4 - ）</w:t>
      </w:r>
    </w:p>
    <w:p w14:paraId="04F3DFDC" w14:textId="10948A12"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数据仓库应用全行范围推广，开放数据中间层给分行用户，同时协助开发基于数据仓库的各类分行应用，如分行绩效考核、ATM使用统计分析</w:t>
      </w:r>
      <w:r w:rsidRPr="002F6FF5">
        <w:rPr>
          <w:rFonts w:ascii="SimSun" w:eastAsia="SimSun" w:hAnsi="SimSun"/>
        </w:rPr>
        <w:lastRenderedPageBreak/>
        <w:t>等。</w:t>
      </w:r>
    </w:p>
    <w:p w14:paraId="1ADFA050" w14:textId="2D818D1D"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全面建设对公客户关系管理系统和零售客户关系管理系统；</w:t>
      </w:r>
    </w:p>
    <w:p w14:paraId="1015E90B" w14:textId="5E0F4A54"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全面支持内评、风险加权资产等风险管理相关的项目；</w:t>
      </w:r>
    </w:p>
    <w:p w14:paraId="339A0584" w14:textId="0017A688" w:rsidR="006B161A" w:rsidRPr="006B161A" w:rsidRDefault="006B161A" w:rsidP="00A726CF">
      <w:pPr>
        <w:pStyle w:val="4"/>
      </w:pPr>
      <w:r w:rsidRPr="006B161A">
        <w:t>实施效益</w:t>
      </w:r>
    </w:p>
    <w:p w14:paraId="36D26D7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浦发银行EDW自2006.12.1日投产运行以来，已经能够对以下应用提供数据支持。</w:t>
      </w:r>
    </w:p>
    <w:p w14:paraId="41BE909A" w14:textId="7986917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浦发银行1104项目</w:t>
      </w:r>
    </w:p>
    <w:p w14:paraId="46BE2F06" w14:textId="3A888935"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反洗钱</w:t>
      </w:r>
    </w:p>
    <w:p w14:paraId="091ED32C" w14:textId="2304889A"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人行集中金融统计信息系统</w:t>
      </w:r>
    </w:p>
    <w:p w14:paraId="7E97F83A" w14:textId="7FF94752"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个人理财与对公OCRM</w:t>
      </w:r>
    </w:p>
    <w:p w14:paraId="271AC095" w14:textId="19320AA7"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综合对账单</w:t>
      </w:r>
    </w:p>
    <w:p w14:paraId="485AE32E" w14:textId="2FCF77D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对公客户关系管理系统</w:t>
      </w:r>
    </w:p>
    <w:p w14:paraId="61CA2763" w14:textId="45365943"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零售客户关系管理系统</w:t>
      </w:r>
    </w:p>
    <w:p w14:paraId="2355EC57" w14:textId="510B4278"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内部评级和风险加强资产项目</w:t>
      </w:r>
    </w:p>
    <w:p w14:paraId="3258843F" w14:textId="3801DB59"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其他（运营监测、审计、分行绩效等）</w:t>
      </w:r>
    </w:p>
    <w:p w14:paraId="08D6390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数据仓库还陆续支持了一些紧急灵活查询分析需求，包括地震赈灾分析、重庆分行贷款逾期分析、个人房贷断供分析、伪造卡交易信息分析、轻松理财卡和借记卡年费定价分析等工作，在为日常的业务运营和决策提供了高质量的数据和高效率的支撑。</w:t>
      </w:r>
    </w:p>
    <w:p w14:paraId="1D56C113"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在数据仓库之上的分析应用开展地如火如荼之时，浦发银行的业务也在井然有序的发展，在这一年中成功推出了资产证券化业务、第三方存管业务、利多多</w:t>
      </w:r>
      <w:r w:rsidRPr="006B161A">
        <w:rPr>
          <w:rFonts w:ascii="SimSun" w:eastAsia="SimSun" w:hAnsi="SimSun"/>
        </w:rPr>
        <w:lastRenderedPageBreak/>
        <w:t>业务等等。为跟上业务发展的步伐、及时地支持新业务应用分析、有效地积淀历史数据，数据仓库这一年中成功地进行了多次有效地扩展，将新业务也纳入到数据仓库之中，顺利解决了应用分析及时性的问题。数据仓库为客观准确地掌握业务发展状况提供有力的后盾。</w:t>
      </w:r>
    </w:p>
    <w:p w14:paraId="2439AF3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2008年以来，浦发银行为充分发挥数据仓库的巨大优势和蕴含的业务价值，决定在全行范围内进行推广应用，包括在一定程度上开放数据仓库对全行的模型和数据支持。基于数据仓库的新的应用开发项目如内评、分行绩效考核、客户关系管理等也在如火如荼的展开。</w:t>
      </w:r>
    </w:p>
    <w:p w14:paraId="5403F5D2"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为保证浦发银行不断发展的经营分析和决策需求，公司和浦发的业务也在不断发展，围绕数据仓库基础平台和数据仓库管理信息系统的服务团队也不断成长，目前，团队（含合作伙伴）规模已经达到35人，服务内容包括数据仓库基础平台项目和3个应用建设项目，项目都采用Teradata总包的模式。</w:t>
      </w:r>
    </w:p>
    <w:p w14:paraId="02D139C0" w14:textId="77777777" w:rsidR="0075018D" w:rsidRPr="0075018D" w:rsidRDefault="0075018D" w:rsidP="0075018D"/>
    <w:p w14:paraId="2BF826CB" w14:textId="2C8C2738" w:rsidR="00156469" w:rsidRDefault="00156469" w:rsidP="00D27B81">
      <w:pPr>
        <w:pStyle w:val="3"/>
      </w:pPr>
      <w:r>
        <w:rPr>
          <w:rFonts w:hint="eastAsia"/>
        </w:rPr>
        <w:t>交通银行案例</w:t>
      </w:r>
    </w:p>
    <w:tbl>
      <w:tblPr>
        <w:tblStyle w:val="a5"/>
        <w:tblW w:w="8250" w:type="dxa"/>
        <w:tblLook w:val="04A0" w:firstRow="1" w:lastRow="0" w:firstColumn="1" w:lastColumn="0" w:noHBand="0" w:noVBand="1"/>
      </w:tblPr>
      <w:tblGrid>
        <w:gridCol w:w="3020"/>
        <w:gridCol w:w="5230"/>
      </w:tblGrid>
      <w:tr w:rsidR="006321FE" w:rsidRPr="006321FE" w14:paraId="0FDABA54" w14:textId="77777777" w:rsidTr="006321FE">
        <w:trPr>
          <w:trHeight w:val="320"/>
        </w:trPr>
        <w:tc>
          <w:tcPr>
            <w:tcW w:w="3020" w:type="dxa"/>
            <w:hideMark/>
          </w:tcPr>
          <w:p w14:paraId="49539C2E"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客户案例名称</w:t>
            </w:r>
          </w:p>
        </w:tc>
        <w:tc>
          <w:tcPr>
            <w:tcW w:w="5230" w:type="dxa"/>
            <w:hideMark/>
          </w:tcPr>
          <w:p w14:paraId="279B6768"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交通银行</w:t>
            </w:r>
          </w:p>
        </w:tc>
      </w:tr>
      <w:tr w:rsidR="006321FE" w:rsidRPr="006321FE" w14:paraId="37D1B150" w14:textId="77777777" w:rsidTr="006321FE">
        <w:trPr>
          <w:trHeight w:val="960"/>
        </w:trPr>
        <w:tc>
          <w:tcPr>
            <w:tcW w:w="3020" w:type="dxa"/>
            <w:hideMark/>
          </w:tcPr>
          <w:p w14:paraId="552AEF2C"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案例规模</w:t>
            </w:r>
          </w:p>
        </w:tc>
        <w:tc>
          <w:tcPr>
            <w:tcW w:w="5230" w:type="dxa"/>
            <w:hideMark/>
          </w:tcPr>
          <w:p w14:paraId="6B264FD6"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客户化10个主题、859个实体；为77个业务应用提供数据支持；</w:t>
            </w:r>
            <w:r w:rsidRPr="006321FE">
              <w:rPr>
                <w:rFonts w:ascii="DengXian" w:eastAsia="DengXian" w:hAnsi="DengXian" w:cs="Times New Roman" w:hint="eastAsia"/>
                <w:color w:val="000000"/>
                <w:kern w:val="0"/>
              </w:rPr>
              <w:br/>
              <w:t>数据规模约200TB；</w:t>
            </w:r>
          </w:p>
        </w:tc>
      </w:tr>
      <w:tr w:rsidR="006321FE" w:rsidRPr="006321FE" w14:paraId="08C57919" w14:textId="77777777" w:rsidTr="006321FE">
        <w:trPr>
          <w:trHeight w:val="320"/>
        </w:trPr>
        <w:tc>
          <w:tcPr>
            <w:tcW w:w="3020" w:type="dxa"/>
            <w:hideMark/>
          </w:tcPr>
          <w:p w14:paraId="028C2B8C"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实施范围</w:t>
            </w:r>
          </w:p>
        </w:tc>
        <w:tc>
          <w:tcPr>
            <w:tcW w:w="5230" w:type="dxa"/>
            <w:hideMark/>
          </w:tcPr>
          <w:p w14:paraId="566F5966"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详见案例说明部份</w:t>
            </w:r>
          </w:p>
        </w:tc>
      </w:tr>
      <w:tr w:rsidR="006321FE" w:rsidRPr="006321FE" w14:paraId="48A87AC0" w14:textId="77777777" w:rsidTr="006321FE">
        <w:trPr>
          <w:trHeight w:val="320"/>
        </w:trPr>
        <w:tc>
          <w:tcPr>
            <w:tcW w:w="3020" w:type="dxa"/>
            <w:hideMark/>
          </w:tcPr>
          <w:p w14:paraId="1AC372CD"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实施时间</w:t>
            </w:r>
          </w:p>
        </w:tc>
        <w:tc>
          <w:tcPr>
            <w:tcW w:w="5230" w:type="dxa"/>
            <w:hideMark/>
          </w:tcPr>
          <w:p w14:paraId="5717D739"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2006年至今</w:t>
            </w:r>
          </w:p>
        </w:tc>
      </w:tr>
      <w:tr w:rsidR="006321FE" w:rsidRPr="006321FE" w14:paraId="426D0C5C" w14:textId="77777777" w:rsidTr="006321FE">
        <w:trPr>
          <w:trHeight w:val="320"/>
        </w:trPr>
        <w:tc>
          <w:tcPr>
            <w:tcW w:w="3020" w:type="dxa"/>
            <w:hideMark/>
          </w:tcPr>
          <w:p w14:paraId="0279F7D0"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数据仓库+大数据技术</w:t>
            </w:r>
          </w:p>
        </w:tc>
        <w:tc>
          <w:tcPr>
            <w:tcW w:w="5230" w:type="dxa"/>
            <w:hideMark/>
          </w:tcPr>
          <w:p w14:paraId="1C2494CC"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数据仓库、Aster、Hadoop</w:t>
            </w:r>
          </w:p>
        </w:tc>
      </w:tr>
      <w:tr w:rsidR="006321FE" w:rsidRPr="006321FE" w14:paraId="78E62F8A" w14:textId="77777777" w:rsidTr="006321FE">
        <w:trPr>
          <w:trHeight w:val="320"/>
        </w:trPr>
        <w:tc>
          <w:tcPr>
            <w:tcW w:w="3020" w:type="dxa"/>
            <w:hideMark/>
          </w:tcPr>
          <w:p w14:paraId="6C800361"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数据治理咨询</w:t>
            </w:r>
          </w:p>
        </w:tc>
        <w:tc>
          <w:tcPr>
            <w:tcW w:w="5230" w:type="dxa"/>
            <w:hideMark/>
          </w:tcPr>
          <w:p w14:paraId="060E97E7"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2012年数据标准和精准营销咨询</w:t>
            </w:r>
          </w:p>
        </w:tc>
      </w:tr>
      <w:tr w:rsidR="006321FE" w:rsidRPr="006321FE" w14:paraId="631F2A16" w14:textId="77777777" w:rsidTr="006321FE">
        <w:trPr>
          <w:trHeight w:val="320"/>
        </w:trPr>
        <w:tc>
          <w:tcPr>
            <w:tcW w:w="3020" w:type="dxa"/>
            <w:hideMark/>
          </w:tcPr>
          <w:p w14:paraId="31BAAAEF"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系统架构</w:t>
            </w:r>
          </w:p>
        </w:tc>
        <w:tc>
          <w:tcPr>
            <w:tcW w:w="5230" w:type="dxa"/>
            <w:hideMark/>
          </w:tcPr>
          <w:p w14:paraId="613C5895"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数据仓库双系统</w:t>
            </w:r>
          </w:p>
        </w:tc>
      </w:tr>
      <w:tr w:rsidR="006321FE" w:rsidRPr="006321FE" w14:paraId="3C3FF499" w14:textId="77777777" w:rsidTr="006321FE">
        <w:trPr>
          <w:trHeight w:val="1600"/>
        </w:trPr>
        <w:tc>
          <w:tcPr>
            <w:tcW w:w="3020" w:type="dxa"/>
            <w:hideMark/>
          </w:tcPr>
          <w:p w14:paraId="3D9E85A7"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lastRenderedPageBreak/>
              <w:t>主要技术特点</w:t>
            </w:r>
          </w:p>
        </w:tc>
        <w:tc>
          <w:tcPr>
            <w:tcW w:w="5230" w:type="dxa"/>
            <w:hideMark/>
          </w:tcPr>
          <w:p w14:paraId="057A3495"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数据仓库整体规划与咨询；</w:t>
            </w:r>
            <w:r w:rsidRPr="006321FE">
              <w:rPr>
                <w:rFonts w:ascii="DengXian" w:eastAsia="DengXian" w:hAnsi="DengXian" w:cs="Times New Roman" w:hint="eastAsia"/>
                <w:color w:val="000000"/>
                <w:kern w:val="0"/>
              </w:rPr>
              <w:br/>
              <w:t>数据仓库成熟度评估</w:t>
            </w:r>
            <w:r w:rsidRPr="006321FE">
              <w:rPr>
                <w:rFonts w:ascii="DengXian" w:eastAsia="DengXian" w:hAnsi="DengXian" w:cs="Times New Roman" w:hint="eastAsia"/>
                <w:color w:val="000000"/>
                <w:kern w:val="0"/>
              </w:rPr>
              <w:br/>
              <w:t>海量数据存储</w:t>
            </w:r>
            <w:r w:rsidRPr="006321FE">
              <w:rPr>
                <w:rFonts w:ascii="DengXian" w:eastAsia="DengXian" w:hAnsi="DengXian" w:cs="Times New Roman" w:hint="eastAsia"/>
                <w:color w:val="000000"/>
                <w:kern w:val="0"/>
              </w:rPr>
              <w:br/>
              <w:t>并行计算</w:t>
            </w:r>
            <w:r w:rsidRPr="006321FE">
              <w:rPr>
                <w:rFonts w:ascii="DengXian" w:eastAsia="DengXian" w:hAnsi="DengXian" w:cs="Times New Roman" w:hint="eastAsia"/>
                <w:color w:val="000000"/>
                <w:kern w:val="0"/>
              </w:rPr>
              <w:br/>
              <w:t>Teradata金融行业数据模型</w:t>
            </w:r>
          </w:p>
        </w:tc>
      </w:tr>
      <w:tr w:rsidR="006321FE" w:rsidRPr="006321FE" w14:paraId="74048608" w14:textId="77777777" w:rsidTr="006321FE">
        <w:trPr>
          <w:trHeight w:val="640"/>
        </w:trPr>
        <w:tc>
          <w:tcPr>
            <w:tcW w:w="3020" w:type="dxa"/>
            <w:hideMark/>
          </w:tcPr>
          <w:p w14:paraId="7C975B75"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现状</w:t>
            </w:r>
          </w:p>
        </w:tc>
        <w:tc>
          <w:tcPr>
            <w:tcW w:w="5230" w:type="dxa"/>
            <w:hideMark/>
          </w:tcPr>
          <w:p w14:paraId="559C9B74"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持续运维运行中；</w:t>
            </w:r>
            <w:r w:rsidRPr="006321FE">
              <w:rPr>
                <w:rFonts w:ascii="DengXian" w:eastAsia="DengXian" w:hAnsi="DengXian" w:cs="Times New Roman" w:hint="eastAsia"/>
                <w:color w:val="000000"/>
                <w:kern w:val="0"/>
              </w:rPr>
              <w:br/>
              <w:t>配合进行新一代数据仓库建设；</w:t>
            </w:r>
          </w:p>
        </w:tc>
      </w:tr>
      <w:tr w:rsidR="006321FE" w:rsidRPr="006321FE" w14:paraId="1E0C5D32" w14:textId="77777777" w:rsidTr="006321FE">
        <w:trPr>
          <w:trHeight w:val="960"/>
        </w:trPr>
        <w:tc>
          <w:tcPr>
            <w:tcW w:w="3020" w:type="dxa"/>
            <w:hideMark/>
          </w:tcPr>
          <w:p w14:paraId="6C96D963"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主要参与人员</w:t>
            </w:r>
          </w:p>
        </w:tc>
        <w:tc>
          <w:tcPr>
            <w:tcW w:w="5230" w:type="dxa"/>
            <w:hideMark/>
          </w:tcPr>
          <w:p w14:paraId="721EAE29" w14:textId="5C8698A2"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PM</w:t>
            </w:r>
            <w:r w:rsidR="006530FD">
              <w:rPr>
                <w:rFonts w:ascii="DengXian" w:eastAsia="DengXian" w:hAnsi="DengXian" w:cs="Times New Roman" w:hint="eastAsia"/>
                <w:color w:val="000000"/>
                <w:kern w:val="0"/>
              </w:rPr>
              <w:t>：佘某</w:t>
            </w:r>
            <w:r w:rsidRPr="006321FE">
              <w:rPr>
                <w:rFonts w:ascii="DengXian" w:eastAsia="DengXian" w:hAnsi="DengXian" w:cs="Times New Roman" w:hint="eastAsia"/>
                <w:color w:val="000000"/>
                <w:kern w:val="0"/>
              </w:rPr>
              <w:t>斌</w:t>
            </w:r>
            <w:r w:rsidRPr="006321FE">
              <w:rPr>
                <w:rFonts w:ascii="DengXian" w:eastAsia="DengXian" w:hAnsi="DengXian" w:cs="Times New Roman" w:hint="eastAsia"/>
                <w:color w:val="000000"/>
                <w:kern w:val="0"/>
              </w:rPr>
              <w:br/>
            </w:r>
            <w:r w:rsidR="006530FD">
              <w:rPr>
                <w:rFonts w:ascii="DengXian" w:eastAsia="DengXian" w:hAnsi="DengXian" w:cs="Times New Roman" w:hint="eastAsia"/>
                <w:color w:val="000000"/>
                <w:kern w:val="0"/>
              </w:rPr>
              <w:t>模型师：高某</w:t>
            </w:r>
            <w:r w:rsidRPr="006321FE">
              <w:rPr>
                <w:rFonts w:ascii="DengXian" w:eastAsia="DengXian" w:hAnsi="DengXian" w:cs="Times New Roman" w:hint="eastAsia"/>
                <w:color w:val="000000"/>
                <w:kern w:val="0"/>
              </w:rPr>
              <w:t>华</w:t>
            </w:r>
            <w:r w:rsidRPr="006321FE">
              <w:rPr>
                <w:rFonts w:ascii="DengXian" w:eastAsia="DengXian" w:hAnsi="DengXian" w:cs="Times New Roman" w:hint="eastAsia"/>
                <w:color w:val="000000"/>
                <w:kern w:val="0"/>
              </w:rPr>
              <w:br/>
            </w:r>
            <w:r w:rsidR="006530FD">
              <w:rPr>
                <w:rFonts w:ascii="DengXian" w:eastAsia="DengXian" w:hAnsi="DengXian" w:cs="Times New Roman" w:hint="eastAsia"/>
                <w:color w:val="000000"/>
                <w:kern w:val="0"/>
              </w:rPr>
              <w:t>架构师：谢某</w:t>
            </w:r>
            <w:r w:rsidRPr="006321FE">
              <w:rPr>
                <w:rFonts w:ascii="DengXian" w:eastAsia="DengXian" w:hAnsi="DengXian" w:cs="Times New Roman" w:hint="eastAsia"/>
                <w:color w:val="000000"/>
                <w:kern w:val="0"/>
              </w:rPr>
              <w:t>群等</w:t>
            </w:r>
          </w:p>
        </w:tc>
      </w:tr>
      <w:tr w:rsidR="006321FE" w:rsidRPr="006321FE" w14:paraId="1FD0BAA9" w14:textId="77777777" w:rsidTr="006321FE">
        <w:trPr>
          <w:trHeight w:val="640"/>
        </w:trPr>
        <w:tc>
          <w:tcPr>
            <w:tcW w:w="3020" w:type="dxa"/>
            <w:hideMark/>
          </w:tcPr>
          <w:p w14:paraId="5B601C35"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经验</w:t>
            </w:r>
          </w:p>
        </w:tc>
        <w:tc>
          <w:tcPr>
            <w:tcW w:w="5230" w:type="dxa"/>
            <w:hideMark/>
          </w:tcPr>
          <w:p w14:paraId="1126FD51"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43C1A094" w14:textId="77777777" w:rsidR="006321FE" w:rsidRPr="006321FE" w:rsidRDefault="006321FE" w:rsidP="006321FE"/>
    <w:p w14:paraId="17C95B06" w14:textId="55B61654" w:rsidR="00156469" w:rsidRDefault="00156469" w:rsidP="00A726CF">
      <w:pPr>
        <w:pStyle w:val="4"/>
      </w:pPr>
      <w:r>
        <w:rPr>
          <w:rFonts w:hint="eastAsia"/>
        </w:rPr>
        <w:t>客户简介</w:t>
      </w:r>
    </w:p>
    <w:p w14:paraId="03A5B8C6"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全称为“零售客户信息管理与精准营销项目”。该项目由交通银行总行个人金融业务部为主办部门，零售板块、科技板块等相关部门共同参与的全行性的营销管理项目。通过该项目的实施，建立交通银行零售客户的全方位视图，全面实现营销决策科学化、营销管理流程化、客户营销精确化。</w:t>
      </w:r>
    </w:p>
    <w:p w14:paraId="07AE3C81" w14:textId="3AE945F2"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交通银行精准营销项目目标是建立银行零售客户的全方位视图，全面实现营销决策科学化、营销管理流程化、客户营销精确化 ，推荐适合产品和服务以满足客户需求，最终提升营销效率和效益，实现“以客户为中心”的战略转型，打造最佳“财富管理银行”。</w:t>
      </w:r>
    </w:p>
    <w:p w14:paraId="4253D9A9"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交行精准营销项目的发展历程如下：</w:t>
      </w:r>
    </w:p>
    <w:p w14:paraId="25D1F619" w14:textId="4A6DDE2D" w:rsidR="00F13FCC" w:rsidRPr="00F13FCC" w:rsidRDefault="004A56EB" w:rsidP="00F13FCC">
      <w:pPr>
        <w:spacing w:line="360" w:lineRule="auto"/>
        <w:ind w:firstLineChars="200" w:firstLine="480"/>
        <w:rPr>
          <w:rFonts w:ascii="SimSun" w:eastAsia="SimSun" w:hAnsi="SimSun"/>
        </w:rPr>
      </w:pPr>
      <w:r>
        <w:rPr>
          <w:noProof/>
        </w:rPr>
        <w:lastRenderedPageBreak/>
        <w:drawing>
          <wp:inline distT="0" distB="0" distL="0" distR="0" wp14:anchorId="73F12F7F" wp14:editId="6A4B2E2F">
            <wp:extent cx="5270500" cy="125662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256624"/>
                    </a:xfrm>
                    <a:prstGeom prst="rect">
                      <a:avLst/>
                    </a:prstGeom>
                    <a:noFill/>
                    <a:ln>
                      <a:noFill/>
                    </a:ln>
                  </pic:spPr>
                </pic:pic>
              </a:graphicData>
            </a:graphic>
          </wp:inline>
        </w:drawing>
      </w:r>
    </w:p>
    <w:p w14:paraId="02DADE6C"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交行精准营销项目主要围绕以下四大能力进行建设：</w:t>
      </w:r>
    </w:p>
    <w:p w14:paraId="219397B3" w14:textId="5F62DB1E"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客户信息管理能力：包括个人客户数据集市建设，客户信息整合与质量提升咨询。</w:t>
      </w:r>
    </w:p>
    <w:p w14:paraId="362F65ED" w14:textId="4B7ED0EF"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客户深入洞察能力：包括客户细分咨询，业务分析数量模型咨询。</w:t>
      </w:r>
    </w:p>
    <w:p w14:paraId="536612E8" w14:textId="49BBD8C8"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营销活动管理能力：包括事件式营销分析和流程导入试点，营销活动和过程管理咨询。</w:t>
      </w:r>
    </w:p>
    <w:p w14:paraId="45837433" w14:textId="7FF1965C" w:rsidR="00156469"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渠道整合管理能力：包括CRM系统建设咨询。</w:t>
      </w:r>
    </w:p>
    <w:p w14:paraId="7CF0DDD8" w14:textId="0D40FF21" w:rsidR="00A464AD" w:rsidRDefault="00A464AD" w:rsidP="00A726CF">
      <w:pPr>
        <w:pStyle w:val="4"/>
      </w:pPr>
      <w:r>
        <w:rPr>
          <w:rFonts w:hint="eastAsia"/>
        </w:rPr>
        <w:t>项目成果</w:t>
      </w:r>
    </w:p>
    <w:p w14:paraId="7110AA46" w14:textId="77777777" w:rsidR="00C402A4" w:rsidRPr="00C402A4" w:rsidRDefault="00C402A4" w:rsidP="00C402A4">
      <w:pPr>
        <w:spacing w:line="360" w:lineRule="auto"/>
        <w:ind w:firstLineChars="200" w:firstLine="480"/>
        <w:rPr>
          <w:rFonts w:ascii="SimSun" w:eastAsia="SimSun" w:hAnsi="SimSun"/>
        </w:rPr>
      </w:pPr>
      <w:r w:rsidRPr="00C402A4">
        <w:rPr>
          <w:rFonts w:ascii="SimSun" w:eastAsia="SimSun" w:hAnsi="SimSun"/>
        </w:rPr>
        <w:t>通过分析客户交易数据，筛选 “存款大幅波动”和“新增代发客户”中高营销成功率的客户名单，同时整合卡中心、核心、零贷、电银、基金各系统联系信息，通过OCRM推送实时自动发送给前线客户经理跟进营销，实现了客户经理由熟客营销向生客营销的转变，极大提高营销效率。</w:t>
      </w:r>
    </w:p>
    <w:p w14:paraId="2761410F" w14:textId="357BA01F"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在营销试点的应用当中，通过整合多个系统的联系方式，客户经理的营销接触率平均达到80%以上，外呼中心的试点名单接通率提升了1倍。</w:t>
      </w:r>
    </w:p>
    <w:p w14:paraId="59099937" w14:textId="42AE0CA0"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项目在开展客户信息整合等基础工作的同时，也注重业务的同步实践，确保早出成果。在上海分行率先进行的营销试点取得了16.8%的成功率，比对照组提高了56%。</w:t>
      </w:r>
    </w:p>
    <w:p w14:paraId="76879177" w14:textId="3E7458CA"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在营销试点的过程中，除了营销理念和方法有很大转变之外，项目组也</w:t>
      </w:r>
      <w:r w:rsidRPr="00C376A7">
        <w:rPr>
          <w:rFonts w:ascii="SimSun" w:eastAsia="SimSun" w:hAnsi="SimSun"/>
        </w:rPr>
        <w:lastRenderedPageBreak/>
        <w:t>很重视对营销流程的自动化支持，以提高工作效率。从项目启动以来，对OCRM系统进行了3次40个功能项的新增/改造。</w:t>
      </w:r>
    </w:p>
    <w:p w14:paraId="28D8A4CC" w14:textId="77777777" w:rsidR="00156469" w:rsidRPr="00156469" w:rsidRDefault="00156469" w:rsidP="00156469"/>
    <w:p w14:paraId="60B16513" w14:textId="76C6F14F" w:rsidR="0069788C" w:rsidRDefault="0069788C" w:rsidP="00D27B81">
      <w:pPr>
        <w:pStyle w:val="3"/>
        <w:rPr>
          <w:rFonts w:ascii="Times New Roman" w:eastAsiaTheme="minorEastAsia" w:hAnsi="Times New Roman" w:cs="Times New Roman"/>
          <w:b w:val="0"/>
          <w:bCs/>
          <w:iCs/>
          <w:szCs w:val="28"/>
        </w:rPr>
      </w:pPr>
      <w:r w:rsidRPr="00690548">
        <w:rPr>
          <w:rFonts w:ascii="Times New Roman" w:eastAsiaTheme="minorEastAsia" w:hAnsi="Times New Roman" w:cs="Times New Roman" w:hint="eastAsia"/>
          <w:b w:val="0"/>
          <w:bCs/>
          <w:iCs/>
          <w:szCs w:val="28"/>
        </w:rPr>
        <w:t>中信银行案例</w:t>
      </w:r>
    </w:p>
    <w:tbl>
      <w:tblPr>
        <w:tblStyle w:val="a5"/>
        <w:tblW w:w="8250" w:type="dxa"/>
        <w:tblLook w:val="04A0" w:firstRow="1" w:lastRow="0" w:firstColumn="1" w:lastColumn="0" w:noHBand="0" w:noVBand="1"/>
      </w:tblPr>
      <w:tblGrid>
        <w:gridCol w:w="3020"/>
        <w:gridCol w:w="5230"/>
      </w:tblGrid>
      <w:tr w:rsidR="00B45F5B" w:rsidRPr="00B45F5B" w14:paraId="40B1102B" w14:textId="77777777" w:rsidTr="00B45F5B">
        <w:trPr>
          <w:trHeight w:val="320"/>
        </w:trPr>
        <w:tc>
          <w:tcPr>
            <w:tcW w:w="3020" w:type="dxa"/>
            <w:hideMark/>
          </w:tcPr>
          <w:p w14:paraId="19EEE647"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客户案例名称</w:t>
            </w:r>
          </w:p>
        </w:tc>
        <w:tc>
          <w:tcPr>
            <w:tcW w:w="5230" w:type="dxa"/>
            <w:hideMark/>
          </w:tcPr>
          <w:p w14:paraId="7D04EACF"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中信银行</w:t>
            </w:r>
          </w:p>
        </w:tc>
      </w:tr>
      <w:tr w:rsidR="00B45F5B" w:rsidRPr="00B45F5B" w14:paraId="57308056" w14:textId="77777777" w:rsidTr="00B45F5B">
        <w:trPr>
          <w:trHeight w:val="640"/>
        </w:trPr>
        <w:tc>
          <w:tcPr>
            <w:tcW w:w="3020" w:type="dxa"/>
            <w:hideMark/>
          </w:tcPr>
          <w:p w14:paraId="63C61CF5"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案例规模</w:t>
            </w:r>
          </w:p>
        </w:tc>
        <w:tc>
          <w:tcPr>
            <w:tcW w:w="5230" w:type="dxa"/>
            <w:hideMark/>
          </w:tcPr>
          <w:p w14:paraId="4251CCF4"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截止2016.12，共纳入107个源系统数据，支持12个仓内集市，52个仓外应用系统，数据规模99T</w:t>
            </w:r>
          </w:p>
        </w:tc>
      </w:tr>
      <w:tr w:rsidR="00B45F5B" w:rsidRPr="00B45F5B" w14:paraId="001F4374" w14:textId="77777777" w:rsidTr="00B45F5B">
        <w:trPr>
          <w:trHeight w:val="320"/>
        </w:trPr>
        <w:tc>
          <w:tcPr>
            <w:tcW w:w="3020" w:type="dxa"/>
            <w:hideMark/>
          </w:tcPr>
          <w:p w14:paraId="7AB838F5"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实施范围</w:t>
            </w:r>
          </w:p>
        </w:tc>
        <w:tc>
          <w:tcPr>
            <w:tcW w:w="5230" w:type="dxa"/>
            <w:hideMark/>
          </w:tcPr>
          <w:p w14:paraId="086E076B"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详见案例说明部份</w:t>
            </w:r>
          </w:p>
        </w:tc>
      </w:tr>
      <w:tr w:rsidR="00B45F5B" w:rsidRPr="00B45F5B" w14:paraId="1561EC2F" w14:textId="77777777" w:rsidTr="00B45F5B">
        <w:trPr>
          <w:trHeight w:val="320"/>
        </w:trPr>
        <w:tc>
          <w:tcPr>
            <w:tcW w:w="3020" w:type="dxa"/>
            <w:hideMark/>
          </w:tcPr>
          <w:p w14:paraId="4A6B79BA"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实施时间</w:t>
            </w:r>
          </w:p>
        </w:tc>
        <w:tc>
          <w:tcPr>
            <w:tcW w:w="5230" w:type="dxa"/>
            <w:hideMark/>
          </w:tcPr>
          <w:p w14:paraId="1829C471"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2014.04至今</w:t>
            </w:r>
          </w:p>
        </w:tc>
      </w:tr>
      <w:tr w:rsidR="00B45F5B" w:rsidRPr="00B45F5B" w14:paraId="0F1B6ED7" w14:textId="77777777" w:rsidTr="00B45F5B">
        <w:trPr>
          <w:trHeight w:val="320"/>
        </w:trPr>
        <w:tc>
          <w:tcPr>
            <w:tcW w:w="3020" w:type="dxa"/>
            <w:hideMark/>
          </w:tcPr>
          <w:p w14:paraId="68AE8556"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数据仓库+大数据技术</w:t>
            </w:r>
          </w:p>
        </w:tc>
        <w:tc>
          <w:tcPr>
            <w:tcW w:w="5230" w:type="dxa"/>
            <w:hideMark/>
          </w:tcPr>
          <w:p w14:paraId="0A3E3246"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数据仓库MPP、Aster</w:t>
            </w:r>
          </w:p>
        </w:tc>
      </w:tr>
      <w:tr w:rsidR="00B45F5B" w:rsidRPr="00B45F5B" w14:paraId="3B3E9811" w14:textId="77777777" w:rsidTr="00B45F5B">
        <w:trPr>
          <w:trHeight w:val="320"/>
        </w:trPr>
        <w:tc>
          <w:tcPr>
            <w:tcW w:w="3020" w:type="dxa"/>
            <w:hideMark/>
          </w:tcPr>
          <w:p w14:paraId="2A77E58E"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数据治理咨询</w:t>
            </w:r>
          </w:p>
        </w:tc>
        <w:tc>
          <w:tcPr>
            <w:tcW w:w="5230" w:type="dxa"/>
            <w:hideMark/>
          </w:tcPr>
          <w:p w14:paraId="54AE3BF2"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2011年开始数据治理咨询与实施工作</w:t>
            </w:r>
          </w:p>
        </w:tc>
      </w:tr>
      <w:tr w:rsidR="00B45F5B" w:rsidRPr="00B45F5B" w14:paraId="5D7311FC" w14:textId="77777777" w:rsidTr="00B45F5B">
        <w:trPr>
          <w:trHeight w:val="320"/>
        </w:trPr>
        <w:tc>
          <w:tcPr>
            <w:tcW w:w="3020" w:type="dxa"/>
            <w:hideMark/>
          </w:tcPr>
          <w:p w14:paraId="6B5CA641"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系统架构</w:t>
            </w:r>
          </w:p>
        </w:tc>
        <w:tc>
          <w:tcPr>
            <w:tcW w:w="5230" w:type="dxa"/>
            <w:hideMark/>
          </w:tcPr>
          <w:p w14:paraId="5C6302E6"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EDW数据架构</w:t>
            </w:r>
          </w:p>
        </w:tc>
      </w:tr>
      <w:tr w:rsidR="00B45F5B" w:rsidRPr="00B45F5B" w14:paraId="4CCDEE6A" w14:textId="77777777" w:rsidTr="00B45F5B">
        <w:trPr>
          <w:trHeight w:val="1280"/>
        </w:trPr>
        <w:tc>
          <w:tcPr>
            <w:tcW w:w="3020" w:type="dxa"/>
            <w:hideMark/>
          </w:tcPr>
          <w:p w14:paraId="2285E7FC"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主要技术特点</w:t>
            </w:r>
          </w:p>
        </w:tc>
        <w:tc>
          <w:tcPr>
            <w:tcW w:w="5230" w:type="dxa"/>
            <w:hideMark/>
          </w:tcPr>
          <w:p w14:paraId="0621768F"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数据仓库整体规划与咨询</w:t>
            </w:r>
            <w:r w:rsidRPr="00B45F5B">
              <w:rPr>
                <w:rFonts w:ascii="DengXian" w:eastAsia="DengXian" w:hAnsi="DengXian" w:cs="Times New Roman" w:hint="eastAsia"/>
                <w:color w:val="000000"/>
                <w:kern w:val="0"/>
              </w:rPr>
              <w:br/>
              <w:t>海量数据存储</w:t>
            </w:r>
            <w:r w:rsidRPr="00B45F5B">
              <w:rPr>
                <w:rFonts w:ascii="DengXian" w:eastAsia="DengXian" w:hAnsi="DengXian" w:cs="Times New Roman" w:hint="eastAsia"/>
                <w:color w:val="000000"/>
                <w:kern w:val="0"/>
              </w:rPr>
              <w:br/>
              <w:t>并行计算</w:t>
            </w:r>
            <w:r w:rsidRPr="00B45F5B">
              <w:rPr>
                <w:rFonts w:ascii="DengXian" w:eastAsia="DengXian" w:hAnsi="DengXian" w:cs="Times New Roman" w:hint="eastAsia"/>
                <w:color w:val="000000"/>
                <w:kern w:val="0"/>
              </w:rPr>
              <w:br/>
              <w:t>Teradata金融行业数据模型</w:t>
            </w:r>
          </w:p>
        </w:tc>
      </w:tr>
      <w:tr w:rsidR="00B45F5B" w:rsidRPr="00B45F5B" w14:paraId="7BEC42B3" w14:textId="77777777" w:rsidTr="00B45F5B">
        <w:trPr>
          <w:trHeight w:val="320"/>
        </w:trPr>
        <w:tc>
          <w:tcPr>
            <w:tcW w:w="3020" w:type="dxa"/>
            <w:hideMark/>
          </w:tcPr>
          <w:p w14:paraId="134047A1"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现状</w:t>
            </w:r>
          </w:p>
        </w:tc>
        <w:tc>
          <w:tcPr>
            <w:tcW w:w="5230" w:type="dxa"/>
            <w:hideMark/>
          </w:tcPr>
          <w:p w14:paraId="2408AD47"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持续投产运行中</w:t>
            </w:r>
          </w:p>
        </w:tc>
      </w:tr>
      <w:tr w:rsidR="00B45F5B" w:rsidRPr="00B45F5B" w14:paraId="77B426D3" w14:textId="77777777" w:rsidTr="00B45F5B">
        <w:trPr>
          <w:trHeight w:val="1280"/>
        </w:trPr>
        <w:tc>
          <w:tcPr>
            <w:tcW w:w="3020" w:type="dxa"/>
            <w:hideMark/>
          </w:tcPr>
          <w:p w14:paraId="31C7B8ED"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主要参与人员</w:t>
            </w:r>
          </w:p>
        </w:tc>
        <w:tc>
          <w:tcPr>
            <w:tcW w:w="5230" w:type="dxa"/>
            <w:hideMark/>
          </w:tcPr>
          <w:p w14:paraId="560E2527" w14:textId="0CB2048B"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项目经理：丁</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博</w:t>
            </w:r>
            <w:r w:rsidRPr="00B45F5B">
              <w:rPr>
                <w:rFonts w:ascii="DengXian" w:eastAsia="DengXian" w:hAnsi="DengXian" w:cs="Times New Roman" w:hint="eastAsia"/>
                <w:color w:val="000000"/>
                <w:kern w:val="0"/>
              </w:rPr>
              <w:br/>
            </w:r>
            <w:r w:rsidR="009F335B">
              <w:rPr>
                <w:rFonts w:ascii="DengXian" w:eastAsia="DengXian" w:hAnsi="DengXian" w:cs="Times New Roman" w:hint="eastAsia"/>
                <w:color w:val="000000"/>
                <w:kern w:val="0"/>
              </w:rPr>
              <w:t>业务专家：殷某</w:t>
            </w:r>
            <w:r w:rsidRPr="00B45F5B">
              <w:rPr>
                <w:rFonts w:ascii="DengXian" w:eastAsia="DengXian" w:hAnsi="DengXian" w:cs="Times New Roman" w:hint="eastAsia"/>
                <w:color w:val="000000"/>
                <w:kern w:val="0"/>
              </w:rPr>
              <w:t>辉</w:t>
            </w:r>
            <w:r w:rsidRPr="00B45F5B">
              <w:rPr>
                <w:rFonts w:ascii="DengXian" w:eastAsia="DengXian" w:hAnsi="DengXian" w:cs="Times New Roman" w:hint="eastAsia"/>
                <w:color w:val="000000"/>
                <w:kern w:val="0"/>
              </w:rPr>
              <w:br/>
              <w:t>模型师：高</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莉</w:t>
            </w:r>
            <w:r w:rsidRPr="00B45F5B">
              <w:rPr>
                <w:rFonts w:ascii="DengXian" w:eastAsia="DengXian" w:hAnsi="DengXian" w:cs="Times New Roman" w:hint="eastAsia"/>
                <w:color w:val="000000"/>
                <w:kern w:val="0"/>
              </w:rPr>
              <w:br/>
              <w:t>架构师：曹</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科</w:t>
            </w:r>
          </w:p>
        </w:tc>
      </w:tr>
      <w:tr w:rsidR="00B45F5B" w:rsidRPr="00B45F5B" w14:paraId="02E854DB" w14:textId="77777777" w:rsidTr="00B45F5B">
        <w:trPr>
          <w:trHeight w:val="1280"/>
        </w:trPr>
        <w:tc>
          <w:tcPr>
            <w:tcW w:w="3020" w:type="dxa"/>
            <w:hideMark/>
          </w:tcPr>
          <w:p w14:paraId="55426ECD"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经验</w:t>
            </w:r>
          </w:p>
        </w:tc>
        <w:tc>
          <w:tcPr>
            <w:tcW w:w="5230" w:type="dxa"/>
            <w:hideMark/>
          </w:tcPr>
          <w:p w14:paraId="70A19BF1"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金融行业咨询规划与实施经验，对金融行业源系统的理解、模型的建设以及行业应用的快速构建，以及项目实施过程中遇到的各种问题是如何处理的，促进提升项目的实施质量</w:t>
            </w:r>
          </w:p>
        </w:tc>
      </w:tr>
    </w:tbl>
    <w:p w14:paraId="689CB626" w14:textId="77777777" w:rsidR="00B45F5B" w:rsidRPr="00B45F5B" w:rsidRDefault="00B45F5B" w:rsidP="00B45F5B"/>
    <w:p w14:paraId="72AC60EE" w14:textId="641EB76A" w:rsidR="008F64F2" w:rsidRPr="00690548" w:rsidRDefault="008F64F2" w:rsidP="00A726CF">
      <w:pPr>
        <w:pStyle w:val="4"/>
      </w:pPr>
      <w:r w:rsidRPr="00690548">
        <w:t>项目背景</w:t>
      </w:r>
    </w:p>
    <w:p w14:paraId="5A0F7D06"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中信银行在2014年1月，综合内外部因素，结合新核心“1＋2＋9”系统工</w:t>
      </w:r>
      <w:r w:rsidRPr="001975AA">
        <w:rPr>
          <w:rFonts w:ascii="SimSun" w:eastAsia="SimSun" w:hAnsi="SimSun"/>
        </w:rPr>
        <w:lastRenderedPageBreak/>
        <w:t>程的良好契机，启动了基础性、战略性的企业级数据中心建设项目，旨在推动数据共享和分析应用，促进数据标准化和数据质量治理，在数据架构、数据管控和相关应用领域达到同业平均水平。</w:t>
      </w:r>
    </w:p>
    <w:p w14:paraId="1F3C450B"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2014年4月，中信银行宣布采用Teradata数据仓库平台作为该行企业级数据中心平台的主系统。</w:t>
      </w:r>
    </w:p>
    <w:p w14:paraId="6631861E" w14:textId="096F375A" w:rsidR="008F64F2" w:rsidRPr="00690548" w:rsidRDefault="008F64F2" w:rsidP="00A726CF">
      <w:pPr>
        <w:pStyle w:val="4"/>
      </w:pPr>
      <w:r w:rsidRPr="00690548">
        <w:t>项目成果</w:t>
      </w:r>
    </w:p>
    <w:p w14:paraId="14F325E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项目主要目标为：</w:t>
      </w:r>
    </w:p>
    <w:p w14:paraId="4F021C88"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1、搭建全行统一、共享的数据集成平台，采用统一模型策略，实现对基础明细数据的整合，对通用共性指标的加工，同时实现数据标准化和数据质量检查。</w:t>
      </w:r>
    </w:p>
    <w:p w14:paraId="1F0D72C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2、数据集成平台规划为统计报表、监管报送、客户分析、管理会计、绩效考核、风险管理等管理分析型应用提供数据支持服务，并逐步有序对管理分析型系统进行整合。</w:t>
      </w:r>
    </w:p>
    <w:p w14:paraId="102873FD" w14:textId="0EF82480" w:rsidR="0069788C" w:rsidRPr="001975AA" w:rsidRDefault="008F64F2" w:rsidP="001975AA">
      <w:pPr>
        <w:spacing w:line="360" w:lineRule="auto"/>
        <w:ind w:firstLineChars="200" w:firstLine="480"/>
        <w:rPr>
          <w:rFonts w:ascii="SimSun" w:eastAsia="SimSun" w:hAnsi="SimSun"/>
        </w:rPr>
      </w:pPr>
      <w:r w:rsidRPr="001975AA">
        <w:rPr>
          <w:rFonts w:ascii="SimSun" w:eastAsia="SimSun" w:hAnsi="SimSun"/>
        </w:rPr>
        <w:t>3、基于数据集成平台搭建即席查询环境，为总分行管理分析类用户提供即席查询服务，满足灵活多变、临时性、一次性的分析需求。</w:t>
      </w:r>
    </w:p>
    <w:p w14:paraId="7AF6589E" w14:textId="77777777" w:rsidR="0069788C" w:rsidRPr="0069788C" w:rsidRDefault="0069788C" w:rsidP="0069788C"/>
    <w:p w14:paraId="27BB06BC" w14:textId="77777777" w:rsidR="00D9494C" w:rsidRDefault="00D9494C" w:rsidP="00D27B81">
      <w:pPr>
        <w:pStyle w:val="3"/>
      </w:pPr>
      <w:r>
        <w:rPr>
          <w:rFonts w:hint="eastAsia"/>
        </w:rPr>
        <w:t>兴业银行案例</w:t>
      </w:r>
    </w:p>
    <w:tbl>
      <w:tblPr>
        <w:tblStyle w:val="a5"/>
        <w:tblW w:w="8250" w:type="dxa"/>
        <w:tblLook w:val="04A0" w:firstRow="1" w:lastRow="0" w:firstColumn="1" w:lastColumn="0" w:noHBand="0" w:noVBand="1"/>
      </w:tblPr>
      <w:tblGrid>
        <w:gridCol w:w="3020"/>
        <w:gridCol w:w="5230"/>
      </w:tblGrid>
      <w:tr w:rsidR="00A9557C" w:rsidRPr="00A9557C" w14:paraId="16B17913" w14:textId="77777777" w:rsidTr="00A9557C">
        <w:trPr>
          <w:trHeight w:val="320"/>
        </w:trPr>
        <w:tc>
          <w:tcPr>
            <w:tcW w:w="3020" w:type="dxa"/>
            <w:hideMark/>
          </w:tcPr>
          <w:p w14:paraId="234B1D57"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客户案例名称</w:t>
            </w:r>
          </w:p>
        </w:tc>
        <w:tc>
          <w:tcPr>
            <w:tcW w:w="5230" w:type="dxa"/>
            <w:hideMark/>
          </w:tcPr>
          <w:p w14:paraId="13B15FB6"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兴业银行</w:t>
            </w:r>
          </w:p>
        </w:tc>
      </w:tr>
      <w:tr w:rsidR="00A9557C" w:rsidRPr="00A9557C" w14:paraId="2740B10A" w14:textId="77777777" w:rsidTr="00A9557C">
        <w:trPr>
          <w:trHeight w:val="640"/>
        </w:trPr>
        <w:tc>
          <w:tcPr>
            <w:tcW w:w="3020" w:type="dxa"/>
            <w:hideMark/>
          </w:tcPr>
          <w:p w14:paraId="317E8AF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案例规模</w:t>
            </w:r>
          </w:p>
        </w:tc>
        <w:tc>
          <w:tcPr>
            <w:tcW w:w="5230" w:type="dxa"/>
            <w:hideMark/>
          </w:tcPr>
          <w:p w14:paraId="5EA6275B"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接入13个源系统，客户化10个主题，3651个实体；数据规模约70TB</w:t>
            </w:r>
          </w:p>
        </w:tc>
      </w:tr>
      <w:tr w:rsidR="00A9557C" w:rsidRPr="00A9557C" w14:paraId="5A8C6BE7" w14:textId="77777777" w:rsidTr="00A9557C">
        <w:trPr>
          <w:trHeight w:val="320"/>
        </w:trPr>
        <w:tc>
          <w:tcPr>
            <w:tcW w:w="3020" w:type="dxa"/>
            <w:hideMark/>
          </w:tcPr>
          <w:p w14:paraId="77D4A472"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实施范围</w:t>
            </w:r>
          </w:p>
        </w:tc>
        <w:tc>
          <w:tcPr>
            <w:tcW w:w="5230" w:type="dxa"/>
            <w:hideMark/>
          </w:tcPr>
          <w:p w14:paraId="33B5A51F"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详见案例说明部份</w:t>
            </w:r>
          </w:p>
        </w:tc>
      </w:tr>
      <w:tr w:rsidR="00A9557C" w:rsidRPr="00A9557C" w14:paraId="373C30C1" w14:textId="77777777" w:rsidTr="00A9557C">
        <w:trPr>
          <w:trHeight w:val="320"/>
        </w:trPr>
        <w:tc>
          <w:tcPr>
            <w:tcW w:w="3020" w:type="dxa"/>
            <w:hideMark/>
          </w:tcPr>
          <w:p w14:paraId="58146E5C"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实施时间</w:t>
            </w:r>
          </w:p>
        </w:tc>
        <w:tc>
          <w:tcPr>
            <w:tcW w:w="5230" w:type="dxa"/>
            <w:hideMark/>
          </w:tcPr>
          <w:p w14:paraId="22DA996A"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2005年至今</w:t>
            </w:r>
          </w:p>
        </w:tc>
      </w:tr>
      <w:tr w:rsidR="00A9557C" w:rsidRPr="00A9557C" w14:paraId="27971223" w14:textId="77777777" w:rsidTr="00A9557C">
        <w:trPr>
          <w:trHeight w:val="320"/>
        </w:trPr>
        <w:tc>
          <w:tcPr>
            <w:tcW w:w="3020" w:type="dxa"/>
            <w:hideMark/>
          </w:tcPr>
          <w:p w14:paraId="1B272D43"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数据仓库+大数据技术</w:t>
            </w:r>
          </w:p>
        </w:tc>
        <w:tc>
          <w:tcPr>
            <w:tcW w:w="5230" w:type="dxa"/>
            <w:hideMark/>
          </w:tcPr>
          <w:p w14:paraId="49003250"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数据仓库MPP</w:t>
            </w:r>
          </w:p>
        </w:tc>
      </w:tr>
      <w:tr w:rsidR="00A9557C" w:rsidRPr="00A9557C" w14:paraId="1DC9C6C0" w14:textId="77777777" w:rsidTr="00A9557C">
        <w:trPr>
          <w:trHeight w:val="320"/>
        </w:trPr>
        <w:tc>
          <w:tcPr>
            <w:tcW w:w="3020" w:type="dxa"/>
            <w:hideMark/>
          </w:tcPr>
          <w:p w14:paraId="699F91D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数据治理咨询</w:t>
            </w:r>
          </w:p>
        </w:tc>
        <w:tc>
          <w:tcPr>
            <w:tcW w:w="5230" w:type="dxa"/>
            <w:hideMark/>
          </w:tcPr>
          <w:p w14:paraId="29AAF019"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2011年数据标准咨询</w:t>
            </w:r>
          </w:p>
        </w:tc>
      </w:tr>
      <w:tr w:rsidR="00A9557C" w:rsidRPr="00A9557C" w14:paraId="5AF57254" w14:textId="77777777" w:rsidTr="00A9557C">
        <w:trPr>
          <w:trHeight w:val="320"/>
        </w:trPr>
        <w:tc>
          <w:tcPr>
            <w:tcW w:w="3020" w:type="dxa"/>
            <w:hideMark/>
          </w:tcPr>
          <w:p w14:paraId="60DA7B2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lastRenderedPageBreak/>
              <w:t>系统架构</w:t>
            </w:r>
          </w:p>
        </w:tc>
        <w:tc>
          <w:tcPr>
            <w:tcW w:w="5230" w:type="dxa"/>
            <w:hideMark/>
          </w:tcPr>
          <w:p w14:paraId="38B38B58"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数据仓库系统</w:t>
            </w:r>
          </w:p>
        </w:tc>
      </w:tr>
      <w:tr w:rsidR="00A9557C" w:rsidRPr="00A9557C" w14:paraId="0909A2D1" w14:textId="77777777" w:rsidTr="00A9557C">
        <w:trPr>
          <w:trHeight w:val="1600"/>
        </w:trPr>
        <w:tc>
          <w:tcPr>
            <w:tcW w:w="3020" w:type="dxa"/>
            <w:hideMark/>
          </w:tcPr>
          <w:p w14:paraId="152FE5AC"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主要技术特点</w:t>
            </w:r>
          </w:p>
        </w:tc>
        <w:tc>
          <w:tcPr>
            <w:tcW w:w="5230" w:type="dxa"/>
            <w:hideMark/>
          </w:tcPr>
          <w:p w14:paraId="698AB333"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数据仓库整体规划与咨询；</w:t>
            </w:r>
            <w:r w:rsidRPr="00A9557C">
              <w:rPr>
                <w:rFonts w:ascii="DengXian" w:eastAsia="DengXian" w:hAnsi="DengXian" w:cs="Times New Roman" w:hint="eastAsia"/>
                <w:color w:val="000000"/>
                <w:kern w:val="0"/>
              </w:rPr>
              <w:br/>
              <w:t>精准营销咨询；</w:t>
            </w:r>
            <w:r w:rsidRPr="00A9557C">
              <w:rPr>
                <w:rFonts w:ascii="DengXian" w:eastAsia="DengXian" w:hAnsi="DengXian" w:cs="Times New Roman" w:hint="eastAsia"/>
                <w:color w:val="000000"/>
                <w:kern w:val="0"/>
              </w:rPr>
              <w:br/>
              <w:t>海量数据存储</w:t>
            </w:r>
            <w:r w:rsidRPr="00A9557C">
              <w:rPr>
                <w:rFonts w:ascii="DengXian" w:eastAsia="DengXian" w:hAnsi="DengXian" w:cs="Times New Roman" w:hint="eastAsia"/>
                <w:color w:val="000000"/>
                <w:kern w:val="0"/>
              </w:rPr>
              <w:br/>
              <w:t>并行计算</w:t>
            </w:r>
            <w:r w:rsidRPr="00A9557C">
              <w:rPr>
                <w:rFonts w:ascii="DengXian" w:eastAsia="DengXian" w:hAnsi="DengXian" w:cs="Times New Roman" w:hint="eastAsia"/>
                <w:color w:val="000000"/>
                <w:kern w:val="0"/>
              </w:rPr>
              <w:br/>
              <w:t>Teradata金融行业数据模型</w:t>
            </w:r>
          </w:p>
        </w:tc>
      </w:tr>
      <w:tr w:rsidR="00A9557C" w:rsidRPr="00A9557C" w14:paraId="582F661F" w14:textId="77777777" w:rsidTr="00A9557C">
        <w:trPr>
          <w:trHeight w:val="320"/>
        </w:trPr>
        <w:tc>
          <w:tcPr>
            <w:tcW w:w="3020" w:type="dxa"/>
            <w:hideMark/>
          </w:tcPr>
          <w:p w14:paraId="51B7E5FF"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现状</w:t>
            </w:r>
          </w:p>
        </w:tc>
        <w:tc>
          <w:tcPr>
            <w:tcW w:w="5230" w:type="dxa"/>
            <w:hideMark/>
          </w:tcPr>
          <w:p w14:paraId="16FF38B6"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持续运维运行中；</w:t>
            </w:r>
          </w:p>
        </w:tc>
      </w:tr>
      <w:tr w:rsidR="00A9557C" w:rsidRPr="00A9557C" w14:paraId="6ECE6B20" w14:textId="77777777" w:rsidTr="00A9557C">
        <w:trPr>
          <w:trHeight w:val="960"/>
        </w:trPr>
        <w:tc>
          <w:tcPr>
            <w:tcW w:w="3020" w:type="dxa"/>
            <w:hideMark/>
          </w:tcPr>
          <w:p w14:paraId="2D6DA275"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主要参与人员</w:t>
            </w:r>
          </w:p>
        </w:tc>
        <w:tc>
          <w:tcPr>
            <w:tcW w:w="5230" w:type="dxa"/>
            <w:hideMark/>
          </w:tcPr>
          <w:p w14:paraId="61FE2B42" w14:textId="294F5DF4"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PM：李</w:t>
            </w:r>
            <w:r w:rsidR="00B008A5">
              <w:rPr>
                <w:rFonts w:ascii="DengXian" w:eastAsia="DengXian" w:hAnsi="DengXian" w:cs="Times New Roman" w:hint="eastAsia"/>
                <w:color w:val="000000"/>
                <w:kern w:val="0"/>
              </w:rPr>
              <w:t>某</w:t>
            </w:r>
            <w:r w:rsidRPr="00A9557C">
              <w:rPr>
                <w:rFonts w:ascii="DengXian" w:eastAsia="DengXian" w:hAnsi="DengXian" w:cs="Times New Roman" w:hint="eastAsia"/>
                <w:color w:val="000000"/>
                <w:kern w:val="0"/>
              </w:rPr>
              <w:t>杰</w:t>
            </w:r>
            <w:r w:rsidRPr="00A9557C">
              <w:rPr>
                <w:rFonts w:ascii="DengXian" w:eastAsia="DengXian" w:hAnsi="DengXian" w:cs="Times New Roman" w:hint="eastAsia"/>
                <w:color w:val="000000"/>
                <w:kern w:val="0"/>
              </w:rPr>
              <w:br/>
              <w:t>模型师：刘</w:t>
            </w:r>
            <w:r w:rsidR="00B008A5">
              <w:rPr>
                <w:rFonts w:ascii="DengXian" w:eastAsia="DengXian" w:hAnsi="DengXian" w:cs="Times New Roman" w:hint="eastAsia"/>
                <w:color w:val="000000"/>
                <w:kern w:val="0"/>
              </w:rPr>
              <w:t>某</w:t>
            </w:r>
            <w:r w:rsidRPr="00A9557C">
              <w:rPr>
                <w:rFonts w:ascii="DengXian" w:eastAsia="DengXian" w:hAnsi="DengXian" w:cs="Times New Roman" w:hint="eastAsia"/>
                <w:color w:val="000000"/>
                <w:kern w:val="0"/>
              </w:rPr>
              <w:t>茜</w:t>
            </w:r>
            <w:r w:rsidRPr="00A9557C">
              <w:rPr>
                <w:rFonts w:ascii="DengXian" w:eastAsia="DengXian" w:hAnsi="DengXian" w:cs="Times New Roman" w:hint="eastAsia"/>
                <w:color w:val="000000"/>
                <w:kern w:val="0"/>
              </w:rPr>
              <w:br/>
            </w:r>
            <w:r w:rsidR="00B008A5">
              <w:rPr>
                <w:rFonts w:ascii="DengXian" w:eastAsia="DengXian" w:hAnsi="DengXian" w:cs="Times New Roman" w:hint="eastAsia"/>
                <w:color w:val="000000"/>
                <w:kern w:val="0"/>
              </w:rPr>
              <w:t>架构师：谢某</w:t>
            </w:r>
            <w:r w:rsidRPr="00A9557C">
              <w:rPr>
                <w:rFonts w:ascii="DengXian" w:eastAsia="DengXian" w:hAnsi="DengXian" w:cs="Times New Roman" w:hint="eastAsia"/>
                <w:color w:val="000000"/>
                <w:kern w:val="0"/>
              </w:rPr>
              <w:t>群等</w:t>
            </w:r>
          </w:p>
        </w:tc>
      </w:tr>
      <w:tr w:rsidR="00A9557C" w:rsidRPr="00A9557C" w14:paraId="7AEE0A5A" w14:textId="77777777" w:rsidTr="00A9557C">
        <w:trPr>
          <w:trHeight w:val="640"/>
        </w:trPr>
        <w:tc>
          <w:tcPr>
            <w:tcW w:w="3020" w:type="dxa"/>
            <w:hideMark/>
          </w:tcPr>
          <w:p w14:paraId="7FF096E5"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经验</w:t>
            </w:r>
          </w:p>
        </w:tc>
        <w:tc>
          <w:tcPr>
            <w:tcW w:w="5230" w:type="dxa"/>
            <w:hideMark/>
          </w:tcPr>
          <w:p w14:paraId="4BD9BB2A"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3197FCF6" w14:textId="77777777" w:rsidR="00A9557C" w:rsidRPr="00A9557C" w:rsidRDefault="00A9557C" w:rsidP="00A9557C"/>
    <w:p w14:paraId="0635FC66" w14:textId="02B4E868" w:rsidR="00DC6735" w:rsidRPr="00F7783D" w:rsidRDefault="00DC6735" w:rsidP="00A726CF">
      <w:pPr>
        <w:pStyle w:val="4"/>
      </w:pPr>
      <w:r w:rsidRPr="00F7783D">
        <w:t>客户简介</w:t>
      </w:r>
    </w:p>
    <w:p w14:paraId="60207EA3" w14:textId="48C3A5EA"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 xml:space="preserve">兴业银行成立于 1988 年 8 月，是经国务院、中国人民银行批准成立的首批股份制商业银行之一，总行设在福建省福州市。 </w:t>
      </w:r>
    </w:p>
    <w:p w14:paraId="59A72C26" w14:textId="14C0E990"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本行经营范围包括：存款、贷款；国内外结算；票据承兑与贴现；发行金融债券；代理发行、代理兑付、承销政府债券；买卖政府债券、金融债券；同业拆借；买卖、代理买卖外汇；银行卡业务；信用证服务及担保；代理收付款项及代理保险业务；保管箱服务；结售汇业务；短期融资券承销、基金托管、金融衍生产品交易等及其他经国务院银行业监督管理机构批准的业务。</w:t>
      </w:r>
    </w:p>
    <w:p w14:paraId="7D558E16" w14:textId="47CCEDD6"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截至2009年9月末，兴业银行资产总额为12663.12亿元，股东权益为558.48亿元，不良贷款比率为0.61%。今年1至9月累计实现税后利润95.72亿元。根据英国《银行家》杂志2009年7月发布的全球银行1000强排名，兴业银行按总资产排名列第108位，按一级资本排名117位。 根据美国《福布斯》发布的2009全球上市公司2000强排名，兴业银行综合排名第389位，在307家上</w:t>
      </w:r>
      <w:r w:rsidRPr="00F7783D">
        <w:rPr>
          <w:rFonts w:ascii="SimSun" w:eastAsia="SimSun" w:hAnsi="SimSun"/>
        </w:rPr>
        <w:lastRenderedPageBreak/>
        <w:t>榜的全球银行中排名第62位。</w:t>
      </w:r>
    </w:p>
    <w:p w14:paraId="5638CB7D" w14:textId="1BCD113F"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已在全国主要城市设立了 41家分行、 480 多家分支机构，在上海、北京设立了资金营运中心、零售银行管理总部、信用卡中心、资产托管部、大型客户业务部、投资银行部、期货金融部、可持续金融中心等总行经营性机构，建立了网上银行“兴业在线”、电话银行“95561”和手机银行“无线兴业”，与全球1000多家银行建立了代理关系。</w:t>
      </w:r>
    </w:p>
    <w:p w14:paraId="5BE37105" w14:textId="564CDA1A" w:rsidR="00DC6735" w:rsidRPr="00F7783D" w:rsidRDefault="00DC6735" w:rsidP="00A726CF">
      <w:pPr>
        <w:pStyle w:val="4"/>
      </w:pPr>
      <w:r w:rsidRPr="00F7783D">
        <w:t>项目背景与发展历程</w:t>
      </w:r>
    </w:p>
    <w:p w14:paraId="3F73BB43" w14:textId="773305C5"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兴业银行企业级数据仓库（首期）项目的目标是：</w:t>
      </w:r>
    </w:p>
    <w:p w14:paraId="55E3C923" w14:textId="336669CB"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客户化完成兴业银行企业级数据仓库逻辑数据模型，形成全行客户、产品、机构、渠道等主题的基础数据标准规范</w:t>
      </w:r>
    </w:p>
    <w:p w14:paraId="1EA82EB7" w14:textId="6D2E2CD9"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完成数据仓库硬软件平台建设，并物理化客户相关主题数据模型</w:t>
      </w:r>
    </w:p>
    <w:p w14:paraId="3514E4A5" w14:textId="2D81EF27"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完成客户相关主题模型的行内业务数据加载</w:t>
      </w:r>
    </w:p>
    <w:p w14:paraId="7D945053" w14:textId="070808CD"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项目进展情况</w:t>
      </w:r>
    </w:p>
    <w:p w14:paraId="3DDA7DC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企业级数据仓库项目建设项目一期工作已经完成。集成以下企业业务系统信息。</w:t>
      </w:r>
    </w:p>
    <w:p w14:paraId="02193935" w14:textId="4329F38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本外币核心业务系统</w:t>
      </w:r>
    </w:p>
    <w:p w14:paraId="1CB452EA" w14:textId="3B71887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中间业务平台</w:t>
      </w:r>
    </w:p>
    <w:p w14:paraId="4CDD9860" w14:textId="0D8E37EC"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信用卡系统</w:t>
      </w:r>
    </w:p>
    <w:p w14:paraId="6C2B82A6" w14:textId="24040CA9"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个人外汇实盘买卖系统</w:t>
      </w:r>
    </w:p>
    <w:p w14:paraId="02110D00" w14:textId="77777777" w:rsidR="00DC502A"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银证平台</w:t>
      </w:r>
    </w:p>
    <w:p w14:paraId="1FD03B39" w14:textId="632C7C6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开放式基金代销系统</w:t>
      </w:r>
    </w:p>
    <w:p w14:paraId="127CC0E4" w14:textId="3CAE9A7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lastRenderedPageBreak/>
        <w:t>商业汇票系统</w:t>
      </w:r>
    </w:p>
    <w:p w14:paraId="5700B3BB" w14:textId="1167FC61"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信贷管理系统</w:t>
      </w:r>
    </w:p>
    <w:p w14:paraId="50FC0305" w14:textId="5D49DD78"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财务管理系统</w:t>
      </w:r>
    </w:p>
    <w:p w14:paraId="6F0CBAD8" w14:textId="75C2225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个人信贷系统</w:t>
      </w:r>
    </w:p>
    <w:p w14:paraId="5668DD1D" w14:textId="33ABD346"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营销服务系统</w:t>
      </w:r>
    </w:p>
    <w:p w14:paraId="0FF78A10"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目前EDW系统处在运行维护阶段，除了新增源系统，配合源业务系统作模型的调整外，系统也开始着手在仓库平台上搭建一些应用系统，比较重要的是反洗钱系统和营销客户二期系统。其中营销二期系统涉及几乎所有的对私客户系统和数据，原有的营销一期系统的资产负债数据的计算、客户评级都完全转移到仓库中计算，同时还负责二期新的模拟利润的数据的计算，使仓库成为了对私客户数据的真正的权威数据。</w:t>
      </w:r>
    </w:p>
    <w:p w14:paraId="26784A33" w14:textId="463CE559"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2009年事件式营销项目(EBM)</w:t>
      </w:r>
    </w:p>
    <w:p w14:paraId="6FC35DD1"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2009年，Teradata为兴业银行提供了事件式营销咨询和试点工作，先后在4家分行开展了20多个事件的设计、开发和营销推广工作，在营销执行中，获得了远高于传统营销的营销效果。未来将在全行全面推广事件式营销。</w:t>
      </w:r>
    </w:p>
    <w:p w14:paraId="34F30C38" w14:textId="7BB0BE50"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2013年建设IDA</w:t>
      </w:r>
    </w:p>
    <w:p w14:paraId="6B288C6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项目的总体目标是构建兴业银行企业级自助取数平台，满足业务部门对数据要求的自主性、时效性、灵活性，方便业务部门随时随心地获取到所需要的各类业务数据，支持精细化管理中对数据探索的需求。</w:t>
      </w:r>
    </w:p>
    <w:p w14:paraId="0D9EE68C" w14:textId="0F1EE3D6"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2015年</w:t>
      </w:r>
    </w:p>
    <w:p w14:paraId="23FF330C" w14:textId="15094A14" w:rsidR="00DC6735" w:rsidRPr="00F7783D" w:rsidRDefault="00DC6735" w:rsidP="00A726CF">
      <w:pPr>
        <w:pStyle w:val="4"/>
      </w:pPr>
      <w:r w:rsidRPr="00F7783D">
        <w:lastRenderedPageBreak/>
        <w:t>项目实施成果</w:t>
      </w:r>
    </w:p>
    <w:p w14:paraId="105610F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通过企业级数据仓库一期系统的建设，达到了以下成果：</w:t>
      </w:r>
    </w:p>
    <w:p w14:paraId="50D51FF4" w14:textId="40A554B4"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业务层面</w:t>
      </w:r>
    </w:p>
    <w:p w14:paraId="1B37C02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通过金融逻辑数据模型客户化建立业务数据单一视图，建立起一套《兴业银行基础业务数据定义规范》</w:t>
      </w:r>
    </w:p>
    <w:p w14:paraId="44D2D927" w14:textId="39ED38C2"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系统层面</w:t>
      </w:r>
    </w:p>
    <w:p w14:paraId="67E1903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完成规定的行内业务系统的数据加载，建立统一的、共享的基础数据平台</w:t>
      </w:r>
    </w:p>
    <w:p w14:paraId="5366B97E" w14:textId="15336498"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技术层面</w:t>
      </w:r>
    </w:p>
    <w:p w14:paraId="26E6E7F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建立具有先进性、灵活性和可扩展性的企业级数据仓库的总体结构</w:t>
      </w:r>
    </w:p>
    <w:p w14:paraId="035EF79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建立一套完善的ETL体系完成数据抽取、清洗、加载与转换</w:t>
      </w:r>
    </w:p>
    <w:p w14:paraId="6D4CCFB7"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提供源业务系统数据的暂存和访问接口</w:t>
      </w:r>
    </w:p>
    <w:p w14:paraId="36C98F5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提供面向应用和数据集市的数据访问接口</w:t>
      </w:r>
    </w:p>
    <w:p w14:paraId="6D8D2A83" w14:textId="4D728BCF"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管理层面</w:t>
      </w:r>
    </w:p>
    <w:p w14:paraId="5BA4D3FB"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通过系统管理和元数据管理等手段完善系统管理。</w:t>
      </w:r>
    </w:p>
    <w:p w14:paraId="2B873F22" w14:textId="58474C82" w:rsidR="00451808" w:rsidRPr="00F7783D" w:rsidRDefault="00DC6735" w:rsidP="00D9067F">
      <w:pPr>
        <w:spacing w:line="360" w:lineRule="auto"/>
        <w:ind w:firstLineChars="200" w:firstLine="480"/>
        <w:rPr>
          <w:rFonts w:ascii="SimSun" w:eastAsia="SimSun" w:hAnsi="SimSun"/>
        </w:rPr>
      </w:pPr>
      <w:r w:rsidRPr="00F7783D">
        <w:rPr>
          <w:rFonts w:ascii="SimSun" w:eastAsia="SimSun" w:hAnsi="SimSun"/>
        </w:rPr>
        <w:t>借助于数据仓库项目建设和维护方法论，建立起EDW长期发展的管理架构和运作流程。</w:t>
      </w:r>
    </w:p>
    <w:p w14:paraId="3473B328" w14:textId="77777777" w:rsidR="00C46079" w:rsidRPr="00D9067F" w:rsidRDefault="00C46079"/>
    <w:p w14:paraId="3540C35D" w14:textId="56E8D59A" w:rsidR="00D9494C" w:rsidRDefault="00D9494C" w:rsidP="00D27B81">
      <w:pPr>
        <w:pStyle w:val="3"/>
      </w:pPr>
      <w:r>
        <w:rPr>
          <w:rFonts w:hint="eastAsia"/>
        </w:rPr>
        <w:t>光大银行案例</w:t>
      </w:r>
    </w:p>
    <w:tbl>
      <w:tblPr>
        <w:tblStyle w:val="a5"/>
        <w:tblW w:w="8250" w:type="dxa"/>
        <w:tblLook w:val="04A0" w:firstRow="1" w:lastRow="0" w:firstColumn="1" w:lastColumn="0" w:noHBand="0" w:noVBand="1"/>
      </w:tblPr>
      <w:tblGrid>
        <w:gridCol w:w="3020"/>
        <w:gridCol w:w="5230"/>
      </w:tblGrid>
      <w:tr w:rsidR="006050BA" w:rsidRPr="006050BA" w14:paraId="6947975A" w14:textId="77777777" w:rsidTr="006050BA">
        <w:trPr>
          <w:trHeight w:val="320"/>
        </w:trPr>
        <w:tc>
          <w:tcPr>
            <w:tcW w:w="3020" w:type="dxa"/>
            <w:hideMark/>
          </w:tcPr>
          <w:p w14:paraId="54CE357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客户案例名称</w:t>
            </w:r>
          </w:p>
        </w:tc>
        <w:tc>
          <w:tcPr>
            <w:tcW w:w="5230" w:type="dxa"/>
            <w:hideMark/>
          </w:tcPr>
          <w:p w14:paraId="05E625DF"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光大银行</w:t>
            </w:r>
          </w:p>
        </w:tc>
      </w:tr>
      <w:tr w:rsidR="006050BA" w:rsidRPr="006050BA" w14:paraId="4700967B" w14:textId="77777777" w:rsidTr="006050BA">
        <w:trPr>
          <w:trHeight w:val="320"/>
        </w:trPr>
        <w:tc>
          <w:tcPr>
            <w:tcW w:w="3020" w:type="dxa"/>
            <w:hideMark/>
          </w:tcPr>
          <w:p w14:paraId="7A865280"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案例规模</w:t>
            </w:r>
          </w:p>
        </w:tc>
        <w:tc>
          <w:tcPr>
            <w:tcW w:w="5230" w:type="dxa"/>
            <w:hideMark/>
          </w:tcPr>
          <w:p w14:paraId="0E17ED8B"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70个源系统，34个应用，EDW数据量120T</w:t>
            </w:r>
          </w:p>
        </w:tc>
      </w:tr>
      <w:tr w:rsidR="006050BA" w:rsidRPr="006050BA" w14:paraId="42720C27" w14:textId="77777777" w:rsidTr="006050BA">
        <w:trPr>
          <w:trHeight w:val="320"/>
        </w:trPr>
        <w:tc>
          <w:tcPr>
            <w:tcW w:w="3020" w:type="dxa"/>
            <w:hideMark/>
          </w:tcPr>
          <w:p w14:paraId="7C99D43B"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实施范围</w:t>
            </w:r>
          </w:p>
        </w:tc>
        <w:tc>
          <w:tcPr>
            <w:tcW w:w="5230" w:type="dxa"/>
            <w:hideMark/>
          </w:tcPr>
          <w:p w14:paraId="346FDCB0"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详见案例说明部份</w:t>
            </w:r>
          </w:p>
        </w:tc>
      </w:tr>
      <w:tr w:rsidR="006050BA" w:rsidRPr="006050BA" w14:paraId="5EFD4B24" w14:textId="77777777" w:rsidTr="006050BA">
        <w:trPr>
          <w:trHeight w:val="320"/>
        </w:trPr>
        <w:tc>
          <w:tcPr>
            <w:tcW w:w="3020" w:type="dxa"/>
            <w:hideMark/>
          </w:tcPr>
          <w:p w14:paraId="2C490132"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实施时间</w:t>
            </w:r>
          </w:p>
        </w:tc>
        <w:tc>
          <w:tcPr>
            <w:tcW w:w="5230" w:type="dxa"/>
            <w:hideMark/>
          </w:tcPr>
          <w:p w14:paraId="07BFAA84"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2006年至今</w:t>
            </w:r>
          </w:p>
        </w:tc>
      </w:tr>
      <w:tr w:rsidR="006050BA" w:rsidRPr="006050BA" w14:paraId="2E54B3DB" w14:textId="77777777" w:rsidTr="006050BA">
        <w:trPr>
          <w:trHeight w:val="320"/>
        </w:trPr>
        <w:tc>
          <w:tcPr>
            <w:tcW w:w="3020" w:type="dxa"/>
            <w:hideMark/>
          </w:tcPr>
          <w:p w14:paraId="36387EF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数据仓库+大数据技术</w:t>
            </w:r>
          </w:p>
        </w:tc>
        <w:tc>
          <w:tcPr>
            <w:tcW w:w="5230" w:type="dxa"/>
            <w:hideMark/>
          </w:tcPr>
          <w:p w14:paraId="306BB03C"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Teradata MPP、Greenplum、Hadoop</w:t>
            </w:r>
          </w:p>
        </w:tc>
      </w:tr>
      <w:tr w:rsidR="006050BA" w:rsidRPr="006050BA" w14:paraId="4272C442" w14:textId="77777777" w:rsidTr="006050BA">
        <w:trPr>
          <w:trHeight w:val="320"/>
        </w:trPr>
        <w:tc>
          <w:tcPr>
            <w:tcW w:w="3020" w:type="dxa"/>
            <w:hideMark/>
          </w:tcPr>
          <w:p w14:paraId="0284AC0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lastRenderedPageBreak/>
              <w:t>数据治理咨询</w:t>
            </w:r>
          </w:p>
        </w:tc>
        <w:tc>
          <w:tcPr>
            <w:tcW w:w="5230" w:type="dxa"/>
            <w:hideMark/>
          </w:tcPr>
          <w:p w14:paraId="36C86FB8"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2008年开始数据治理咨询与实施工作</w:t>
            </w:r>
          </w:p>
        </w:tc>
      </w:tr>
      <w:tr w:rsidR="006050BA" w:rsidRPr="006050BA" w14:paraId="0108CAD3" w14:textId="77777777" w:rsidTr="006050BA">
        <w:trPr>
          <w:trHeight w:val="320"/>
        </w:trPr>
        <w:tc>
          <w:tcPr>
            <w:tcW w:w="3020" w:type="dxa"/>
            <w:hideMark/>
          </w:tcPr>
          <w:p w14:paraId="47DFDD5C"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系统架构</w:t>
            </w:r>
          </w:p>
        </w:tc>
        <w:tc>
          <w:tcPr>
            <w:tcW w:w="5230" w:type="dxa"/>
            <w:hideMark/>
          </w:tcPr>
          <w:p w14:paraId="723BF3E7" w14:textId="5256028B" w:rsidR="006050BA" w:rsidRPr="00F23D3A" w:rsidRDefault="00F23D3A" w:rsidP="00F23D3A">
            <w:pPr>
              <w:widowControl/>
              <w:rPr>
                <w:rFonts w:ascii="DengXian" w:eastAsia="DengXian" w:hAnsi="DengXian" w:cs="Times New Roman"/>
                <w:bCs/>
                <w:color w:val="000000"/>
                <w:kern w:val="0"/>
              </w:rPr>
            </w:pPr>
            <w:r w:rsidRPr="00F23D3A">
              <w:rPr>
                <w:rFonts w:ascii="DengXian" w:eastAsia="DengXian" w:hAnsi="DengXian" w:cs="Times New Roman" w:hint="eastAsia"/>
                <w:bCs/>
                <w:color w:val="000000"/>
                <w:kern w:val="0"/>
              </w:rPr>
              <w:t>EDW架构、UDA架构</w:t>
            </w:r>
          </w:p>
        </w:tc>
      </w:tr>
      <w:tr w:rsidR="006050BA" w:rsidRPr="006050BA" w14:paraId="15450180" w14:textId="77777777" w:rsidTr="006050BA">
        <w:trPr>
          <w:trHeight w:val="640"/>
        </w:trPr>
        <w:tc>
          <w:tcPr>
            <w:tcW w:w="3020" w:type="dxa"/>
            <w:hideMark/>
          </w:tcPr>
          <w:p w14:paraId="4959B554"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主要技术特点</w:t>
            </w:r>
          </w:p>
        </w:tc>
        <w:tc>
          <w:tcPr>
            <w:tcW w:w="5230" w:type="dxa"/>
            <w:hideMark/>
          </w:tcPr>
          <w:p w14:paraId="118E2598"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数据仓库整体规划与咨询；</w:t>
            </w:r>
            <w:r w:rsidRPr="006050BA">
              <w:rPr>
                <w:rFonts w:ascii="DengXian" w:eastAsia="DengXian" w:hAnsi="DengXian" w:cs="Times New Roman" w:hint="eastAsia"/>
                <w:color w:val="000000"/>
                <w:kern w:val="0"/>
              </w:rPr>
              <w:br/>
              <w:t>Teradata金融行业数据模型</w:t>
            </w:r>
          </w:p>
        </w:tc>
      </w:tr>
      <w:tr w:rsidR="006050BA" w:rsidRPr="006050BA" w14:paraId="741E1114" w14:textId="77777777" w:rsidTr="006050BA">
        <w:trPr>
          <w:trHeight w:val="320"/>
        </w:trPr>
        <w:tc>
          <w:tcPr>
            <w:tcW w:w="3020" w:type="dxa"/>
            <w:hideMark/>
          </w:tcPr>
          <w:p w14:paraId="135757B5"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现状</w:t>
            </w:r>
          </w:p>
        </w:tc>
        <w:tc>
          <w:tcPr>
            <w:tcW w:w="5230" w:type="dxa"/>
            <w:hideMark/>
          </w:tcPr>
          <w:p w14:paraId="18CC63D1"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持续投产运行中</w:t>
            </w:r>
          </w:p>
        </w:tc>
      </w:tr>
      <w:tr w:rsidR="006050BA" w:rsidRPr="006050BA" w14:paraId="7324D950" w14:textId="77777777" w:rsidTr="006050BA">
        <w:trPr>
          <w:trHeight w:val="320"/>
        </w:trPr>
        <w:tc>
          <w:tcPr>
            <w:tcW w:w="3020" w:type="dxa"/>
            <w:hideMark/>
          </w:tcPr>
          <w:p w14:paraId="40822965"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主要参与人员</w:t>
            </w:r>
          </w:p>
        </w:tc>
        <w:tc>
          <w:tcPr>
            <w:tcW w:w="5230" w:type="dxa"/>
            <w:hideMark/>
          </w:tcPr>
          <w:p w14:paraId="5C7AEEB7" w14:textId="00205926" w:rsidR="006050BA" w:rsidRPr="006050BA" w:rsidRDefault="0017147C" w:rsidP="006050BA">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王某华、邓某庚、陈某</w:t>
            </w:r>
            <w:r w:rsidR="006050BA" w:rsidRPr="006050BA">
              <w:rPr>
                <w:rFonts w:ascii="DengXian" w:eastAsia="DengXian" w:hAnsi="DengXian" w:cs="Times New Roman" w:hint="eastAsia"/>
                <w:color w:val="000000"/>
                <w:kern w:val="0"/>
              </w:rPr>
              <w:t>燕等</w:t>
            </w:r>
          </w:p>
        </w:tc>
      </w:tr>
      <w:tr w:rsidR="006050BA" w:rsidRPr="006050BA" w14:paraId="54FB178B" w14:textId="77777777" w:rsidTr="006050BA">
        <w:trPr>
          <w:trHeight w:val="640"/>
        </w:trPr>
        <w:tc>
          <w:tcPr>
            <w:tcW w:w="3020" w:type="dxa"/>
            <w:hideMark/>
          </w:tcPr>
          <w:p w14:paraId="67B1D569"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经验</w:t>
            </w:r>
          </w:p>
        </w:tc>
        <w:tc>
          <w:tcPr>
            <w:tcW w:w="5230" w:type="dxa"/>
            <w:hideMark/>
          </w:tcPr>
          <w:p w14:paraId="2C550705"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基于TADD的银行业数据仓库开发经验，对银行数据的理解以及模型建设。</w:t>
            </w:r>
          </w:p>
        </w:tc>
      </w:tr>
    </w:tbl>
    <w:p w14:paraId="4096F250" w14:textId="77777777" w:rsidR="006050BA" w:rsidRPr="006050BA" w:rsidRDefault="006050BA" w:rsidP="006050BA"/>
    <w:p w14:paraId="09187253" w14:textId="6710A7C6" w:rsidR="003B43F3" w:rsidRPr="003B43F3" w:rsidRDefault="003B43F3" w:rsidP="00A726CF">
      <w:pPr>
        <w:pStyle w:val="4"/>
      </w:pPr>
      <w:r w:rsidRPr="003B43F3">
        <w:t>客户简介</w:t>
      </w:r>
    </w:p>
    <w:p w14:paraId="09E6A0F7"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中国光大银行成立于1992年8月，1997年1月完成股份制改造，成为国内第一家国有控股并有国际金融组织参股的全国性股份制商业银行。多年来,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14:paraId="40EF9C22" w14:textId="77777777" w:rsidR="003B43F3" w:rsidRPr="003B43F3" w:rsidRDefault="003B43F3" w:rsidP="003B43F3">
      <w:pPr>
        <w:spacing w:line="360" w:lineRule="auto"/>
        <w:ind w:firstLineChars="200" w:firstLine="480"/>
        <w:rPr>
          <w:rFonts w:ascii="SimSun" w:eastAsia="SimSun" w:hAnsi="SimSun"/>
        </w:rPr>
      </w:pPr>
    </w:p>
    <w:p w14:paraId="4345A336" w14:textId="482AB321" w:rsidR="003B43F3" w:rsidRPr="003B43F3" w:rsidRDefault="003B43F3" w:rsidP="00A726CF">
      <w:pPr>
        <w:pStyle w:val="4"/>
      </w:pPr>
      <w:r w:rsidRPr="003B43F3">
        <w:t>项目背景与发展历程</w:t>
      </w:r>
    </w:p>
    <w:p w14:paraId="619326CE"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目前，光大银行IT建设正处于从数据大集中阶段向应用集成和金融创新阶段的过渡。当前，光大银行信息化的重点基本上围绕着核心业务系统的建设和改造、渠道整合技术的提升以及各种管理系统的建设而展开。2008年，如何集成各应用系统，加快渠道系统与银行核心业务系统、后台管理系统的连接，如何遵从“以账户为中心”向“以客户为中心”转化的趋势，打造适应银行未来发展的信</w:t>
      </w:r>
      <w:r w:rsidRPr="003B43F3">
        <w:rPr>
          <w:rFonts w:ascii="SimSun" w:eastAsia="SimSun" w:hAnsi="SimSun"/>
        </w:rPr>
        <w:lastRenderedPageBreak/>
        <w:t>息系统，如何加快信息系统的开发节奏，统一系统的数据规范——这些都已成为新一轮银行信息化建设所必须面对的重点课题。</w:t>
      </w:r>
    </w:p>
    <w:p w14:paraId="6544A50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EDW项目的本质在于数据管理与数据应用的有效整合。为了在高速增长期内实现高利润率和最大化股东价值，光大银行从2006年起加快了信息智能化建设的步伐，构建全行统一的基础数据平台，即企业级的数据仓库系统，作为全行信息化建设的基础。企业级数据仓库系统的建设是一个持续不断的过程。在项目一、二期，重点建设光大银行企业级逻辑数据模型，并在此基础上整合光大银行核心业务系统和十多个外围交易处理系统的数据，建成全行的基础数据平台，为光大银行的决策支持和管理信息系统以及监管报表系统提供数据支持。在本期中不断地扩充数据源并扩展逻辑数据模型，增强和完善基础数据平台的数据支持能力。</w:t>
      </w:r>
    </w:p>
    <w:p w14:paraId="157B9825"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管理的角度来看，数据仓库系统实现了全行账户、客户、交易数据及大部分历史数据的集中统一存放和管理，从宏观上避免了数据的冗余存放、重复抽取和处理，无论在系统运行效率还是总体投资方面都可以为光大银行带来巨大的经济效益。</w:t>
      </w:r>
    </w:p>
    <w:p w14:paraId="4188896D"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应用的角度来看，基础数据平台在前期支持了众多分析应用与管理应用的基础上，本期将继续为资产负债管理与市场风险管理以及新会计准则系统等重大里程碑式全行级应用系统提供持续的数据支持。另外作为统一的全行级别数据提供平台，屏蔽源业务系统的重大升级改造，将分析性应用系统受到的影响减至最少。同时，本期基础数据平台项目将继续支持各个业务部门提出的随机业务查询， 为各项业务的持续发展提供信息支持。</w:t>
      </w:r>
    </w:p>
    <w:p w14:paraId="2E0CE71A" w14:textId="530DEE31" w:rsidR="003B43F3" w:rsidRPr="003B43F3" w:rsidRDefault="003B43F3" w:rsidP="00A726CF">
      <w:pPr>
        <w:pStyle w:val="4"/>
      </w:pPr>
      <w:r w:rsidRPr="003B43F3">
        <w:lastRenderedPageBreak/>
        <w:t>项目实施成果</w:t>
      </w:r>
    </w:p>
    <w:p w14:paraId="400A9561" w14:textId="74A53508"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纳入数据仓库的源系统范围：</w:t>
      </w:r>
    </w:p>
    <w:p w14:paraId="71118845" w14:textId="1F556517"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票据系统</w:t>
      </w:r>
    </w:p>
    <w:p w14:paraId="48A5BDB2" w14:textId="2A13F8E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CALL CENTER</w:t>
      </w:r>
    </w:p>
    <w:p w14:paraId="196B2E9B" w14:textId="5B416BB5"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网银</w:t>
      </w:r>
    </w:p>
    <w:p w14:paraId="3FE7BB16" w14:textId="77CDEB8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第三方存管</w:t>
      </w:r>
    </w:p>
    <w:p w14:paraId="38011F79" w14:textId="31D0E033"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信用卡</w:t>
      </w:r>
    </w:p>
    <w:p w14:paraId="1E212EB0" w14:textId="3535D5A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管理会计</w:t>
      </w:r>
    </w:p>
    <w:p w14:paraId="7A08E595" w14:textId="6D531CD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核心</w:t>
      </w:r>
    </w:p>
    <w:p w14:paraId="425C888E" w14:textId="28858F5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信贷风险管理系统</w:t>
      </w:r>
    </w:p>
    <w:p w14:paraId="72EF7A23" w14:textId="26D9ABF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个贷系统</w:t>
      </w:r>
    </w:p>
    <w:p w14:paraId="682D86A6" w14:textId="07A7F48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国结系统</w:t>
      </w:r>
    </w:p>
    <w:p w14:paraId="35938AE9" w14:textId="515BF2C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保理系统</w:t>
      </w:r>
    </w:p>
    <w:p w14:paraId="7844E91A" w14:textId="4F7D5DB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总行大前置系统</w:t>
      </w:r>
    </w:p>
    <w:p w14:paraId="06AF9032" w14:textId="1780E96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银证通系统</w:t>
      </w:r>
    </w:p>
    <w:p w14:paraId="183B8A7C" w14:textId="47870FE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个人外汇买卖</w:t>
      </w:r>
    </w:p>
    <w:p w14:paraId="3F3C72FD" w14:textId="782A742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理财产品销售</w:t>
      </w:r>
    </w:p>
    <w:p w14:paraId="0D1439BE" w14:textId="136A119B"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理财产品登记</w:t>
      </w:r>
    </w:p>
    <w:p w14:paraId="5BF7DBBA" w14:textId="67321D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电子支付</w:t>
      </w:r>
    </w:p>
    <w:p w14:paraId="4EB56721" w14:textId="08B31D4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手机银行</w:t>
      </w:r>
    </w:p>
    <w:p w14:paraId="204240CC" w14:textId="3D4F7C5D"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信用卡授信监控</w:t>
      </w:r>
    </w:p>
    <w:p w14:paraId="28BC837D" w14:textId="2D62C5A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信用卡审批</w:t>
      </w:r>
    </w:p>
    <w:p w14:paraId="630D20C9" w14:textId="7FC58C74"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lastRenderedPageBreak/>
        <w:t>数据仓库支持的应用系统：</w:t>
      </w:r>
    </w:p>
    <w:p w14:paraId="09AF98B6" w14:textId="72B58B45"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信用卡中心-业务决策支持系统</w:t>
      </w:r>
    </w:p>
    <w:p w14:paraId="308241DB" w14:textId="39ACDCA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对公操作型CRM系统</w:t>
      </w:r>
    </w:p>
    <w:p w14:paraId="102529D5" w14:textId="37993BB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内部评级法</w:t>
      </w:r>
    </w:p>
    <w:p w14:paraId="7CC2777D" w14:textId="0C95E2C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零售操作型/分析型CRM系统</w:t>
      </w:r>
    </w:p>
    <w:p w14:paraId="4B6EEF92" w14:textId="6D28F42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电子渠道BI应用项目</w:t>
      </w:r>
    </w:p>
    <w:p w14:paraId="79E982EF" w14:textId="572C826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国结统计分析系统</w:t>
      </w:r>
    </w:p>
    <w:p w14:paraId="0E51154C" w14:textId="619335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银监会-1104非现场稽核系统</w:t>
      </w:r>
    </w:p>
    <w:p w14:paraId="57AAAB7F" w14:textId="6788D21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反洗钱监测上报系统</w:t>
      </w:r>
    </w:p>
    <w:p w14:paraId="49820B64" w14:textId="06F1768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人民银行-金融统计大集中系统</w:t>
      </w:r>
    </w:p>
    <w:p w14:paraId="1CFBD685" w14:textId="785D0AA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人民银行-支付结算报表系统</w:t>
      </w:r>
    </w:p>
    <w:p w14:paraId="046161F8" w14:textId="246DD0C7"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人民银行-国际收支申报系统</w:t>
      </w:r>
    </w:p>
    <w:p w14:paraId="26F81CAB" w14:textId="23EF39B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管理会计系统（SAP）数据接口</w:t>
      </w:r>
    </w:p>
    <w:p w14:paraId="1770A118" w14:textId="2B86BA2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资产负债管理系统（ALM）数据接口</w:t>
      </w:r>
    </w:p>
    <w:p w14:paraId="56E0C872" w14:textId="6AA0A111"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关键指标KPI系统</w:t>
      </w:r>
    </w:p>
    <w:p w14:paraId="08769622" w14:textId="59AF4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汇总层模型设计与实施 （共37张表，本期继续进行中）</w:t>
      </w:r>
    </w:p>
    <w:p w14:paraId="486A4C3A" w14:textId="7835508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基础数据平台元数据实施</w:t>
      </w:r>
    </w:p>
    <w:p w14:paraId="30FB178D" w14:textId="305F742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数据仓库管理办法编写</w:t>
      </w:r>
    </w:p>
    <w:p w14:paraId="2BC344D4" w14:textId="58F7FB05"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数据仓库ROI分析报告</w:t>
      </w:r>
    </w:p>
    <w:p w14:paraId="5CA9F81E" w14:textId="29BE7548" w:rsidR="0052021D" w:rsidRDefault="00310A58" w:rsidP="006A34B5">
      <w:pPr>
        <w:pStyle w:val="a3"/>
        <w:numPr>
          <w:ilvl w:val="0"/>
          <w:numId w:val="39"/>
        </w:numPr>
        <w:spacing w:line="360" w:lineRule="auto"/>
        <w:ind w:firstLineChars="0"/>
        <w:rPr>
          <w:rFonts w:ascii="SimSun" w:eastAsia="SimSun" w:hAnsi="SimSun"/>
        </w:rPr>
      </w:pPr>
      <w:r w:rsidRPr="00310A58">
        <w:rPr>
          <w:rFonts w:ascii="SimSun" w:eastAsia="SimSun" w:hAnsi="SimSun"/>
        </w:rPr>
        <w:t>信息平台规划编写</w:t>
      </w:r>
    </w:p>
    <w:p w14:paraId="0AA60335" w14:textId="77777777" w:rsidR="0052021D" w:rsidRPr="0052021D" w:rsidRDefault="0052021D" w:rsidP="0052021D">
      <w:pPr>
        <w:spacing w:line="360" w:lineRule="auto"/>
        <w:rPr>
          <w:rFonts w:ascii="SimSun" w:eastAsia="SimSun" w:hAnsi="SimSun"/>
        </w:rPr>
      </w:pPr>
    </w:p>
    <w:p w14:paraId="06F9F673" w14:textId="0BD72B5A" w:rsidR="00A969C3" w:rsidRDefault="00A969C3" w:rsidP="00D27B81">
      <w:pPr>
        <w:pStyle w:val="3"/>
      </w:pPr>
      <w:r>
        <w:rPr>
          <w:rFonts w:hint="eastAsia"/>
        </w:rPr>
        <w:lastRenderedPageBreak/>
        <w:t>民生银行案例</w:t>
      </w:r>
    </w:p>
    <w:tbl>
      <w:tblPr>
        <w:tblStyle w:val="a5"/>
        <w:tblW w:w="8285" w:type="dxa"/>
        <w:tblLook w:val="04A0" w:firstRow="1" w:lastRow="0" w:firstColumn="1" w:lastColumn="0" w:noHBand="0" w:noVBand="1"/>
      </w:tblPr>
      <w:tblGrid>
        <w:gridCol w:w="3020"/>
        <w:gridCol w:w="5265"/>
      </w:tblGrid>
      <w:tr w:rsidR="000B44D3" w:rsidRPr="000B44D3" w14:paraId="21EB6B96" w14:textId="77777777" w:rsidTr="000B44D3">
        <w:trPr>
          <w:trHeight w:val="320"/>
        </w:trPr>
        <w:tc>
          <w:tcPr>
            <w:tcW w:w="3020" w:type="dxa"/>
            <w:hideMark/>
          </w:tcPr>
          <w:p w14:paraId="032A614A"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客户案例名称</w:t>
            </w:r>
          </w:p>
        </w:tc>
        <w:tc>
          <w:tcPr>
            <w:tcW w:w="5265" w:type="dxa"/>
            <w:hideMark/>
          </w:tcPr>
          <w:p w14:paraId="0BE316B9"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民生银行</w:t>
            </w:r>
          </w:p>
        </w:tc>
      </w:tr>
      <w:tr w:rsidR="000B44D3" w:rsidRPr="000B44D3" w14:paraId="659856AB" w14:textId="77777777" w:rsidTr="000B44D3">
        <w:trPr>
          <w:trHeight w:val="320"/>
        </w:trPr>
        <w:tc>
          <w:tcPr>
            <w:tcW w:w="3020" w:type="dxa"/>
            <w:hideMark/>
          </w:tcPr>
          <w:p w14:paraId="5F8B22B0"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案例规模</w:t>
            </w:r>
          </w:p>
        </w:tc>
        <w:tc>
          <w:tcPr>
            <w:tcW w:w="5265" w:type="dxa"/>
            <w:hideMark/>
          </w:tcPr>
          <w:p w14:paraId="77BE9649" w14:textId="618DFD81" w:rsidR="000B44D3" w:rsidRPr="000B44D3" w:rsidRDefault="00F23D3A" w:rsidP="00A972DB">
            <w:pPr>
              <w:widowControl/>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数据量</w:t>
            </w:r>
            <w:r>
              <w:rPr>
                <w:rFonts w:ascii="DengXian" w:eastAsia="DengXian" w:hAnsi="DengXian" w:cs="Times New Roman" w:hint="eastAsia"/>
                <w:color w:val="000000"/>
                <w:kern w:val="0"/>
              </w:rPr>
              <w:t>16</w:t>
            </w:r>
            <w:r w:rsidRPr="006050BA">
              <w:rPr>
                <w:rFonts w:ascii="DengXian" w:eastAsia="DengXian" w:hAnsi="DengXian" w:cs="Times New Roman" w:hint="eastAsia"/>
                <w:color w:val="000000"/>
                <w:kern w:val="0"/>
              </w:rPr>
              <w:t>0T</w:t>
            </w:r>
          </w:p>
        </w:tc>
      </w:tr>
      <w:tr w:rsidR="000B44D3" w:rsidRPr="000B44D3" w14:paraId="10FF2FE9" w14:textId="77777777" w:rsidTr="000B44D3">
        <w:trPr>
          <w:trHeight w:val="320"/>
        </w:trPr>
        <w:tc>
          <w:tcPr>
            <w:tcW w:w="3020" w:type="dxa"/>
            <w:hideMark/>
          </w:tcPr>
          <w:p w14:paraId="2041CA8B"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实施范围</w:t>
            </w:r>
          </w:p>
        </w:tc>
        <w:tc>
          <w:tcPr>
            <w:tcW w:w="5265" w:type="dxa"/>
            <w:hideMark/>
          </w:tcPr>
          <w:p w14:paraId="170409F8"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详见案例说明部份</w:t>
            </w:r>
          </w:p>
        </w:tc>
      </w:tr>
      <w:tr w:rsidR="000B44D3" w:rsidRPr="000B44D3" w14:paraId="1F90BC8C" w14:textId="77777777" w:rsidTr="000B44D3">
        <w:trPr>
          <w:trHeight w:val="320"/>
        </w:trPr>
        <w:tc>
          <w:tcPr>
            <w:tcW w:w="3020" w:type="dxa"/>
            <w:hideMark/>
          </w:tcPr>
          <w:p w14:paraId="28DDB5B1"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实施时间</w:t>
            </w:r>
          </w:p>
        </w:tc>
        <w:tc>
          <w:tcPr>
            <w:tcW w:w="5265" w:type="dxa"/>
            <w:hideMark/>
          </w:tcPr>
          <w:p w14:paraId="5C901C0B"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2003年至今</w:t>
            </w:r>
          </w:p>
        </w:tc>
      </w:tr>
      <w:tr w:rsidR="000B44D3" w:rsidRPr="000B44D3" w14:paraId="031BA400" w14:textId="77777777" w:rsidTr="000B44D3">
        <w:trPr>
          <w:trHeight w:val="320"/>
        </w:trPr>
        <w:tc>
          <w:tcPr>
            <w:tcW w:w="3020" w:type="dxa"/>
            <w:hideMark/>
          </w:tcPr>
          <w:p w14:paraId="0E9E0594"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数据仓库+大数据技术</w:t>
            </w:r>
          </w:p>
        </w:tc>
        <w:tc>
          <w:tcPr>
            <w:tcW w:w="5265" w:type="dxa"/>
            <w:hideMark/>
          </w:tcPr>
          <w:p w14:paraId="5F48B383"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数据仓库MPP</w:t>
            </w:r>
          </w:p>
        </w:tc>
      </w:tr>
      <w:tr w:rsidR="000B44D3" w:rsidRPr="000B44D3" w14:paraId="51D32997" w14:textId="77777777" w:rsidTr="000B44D3">
        <w:trPr>
          <w:trHeight w:val="320"/>
        </w:trPr>
        <w:tc>
          <w:tcPr>
            <w:tcW w:w="3020" w:type="dxa"/>
            <w:hideMark/>
          </w:tcPr>
          <w:p w14:paraId="566F4DB2"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数据治理咨询</w:t>
            </w:r>
          </w:p>
        </w:tc>
        <w:tc>
          <w:tcPr>
            <w:tcW w:w="5265" w:type="dxa"/>
            <w:hideMark/>
          </w:tcPr>
          <w:p w14:paraId="07047A44"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无</w:t>
            </w:r>
          </w:p>
        </w:tc>
      </w:tr>
      <w:tr w:rsidR="000B44D3" w:rsidRPr="000B44D3" w14:paraId="17769870" w14:textId="77777777" w:rsidTr="000B44D3">
        <w:trPr>
          <w:trHeight w:val="320"/>
        </w:trPr>
        <w:tc>
          <w:tcPr>
            <w:tcW w:w="3020" w:type="dxa"/>
            <w:hideMark/>
          </w:tcPr>
          <w:p w14:paraId="2CEF6A1C"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系统架构</w:t>
            </w:r>
          </w:p>
        </w:tc>
        <w:tc>
          <w:tcPr>
            <w:tcW w:w="5265" w:type="dxa"/>
            <w:hideMark/>
          </w:tcPr>
          <w:p w14:paraId="77C68F5B" w14:textId="49BEDE6D" w:rsidR="000B44D3" w:rsidRPr="000B44D3" w:rsidRDefault="00F23D3A" w:rsidP="00A972DB">
            <w:pPr>
              <w:widowControl/>
              <w:rPr>
                <w:rFonts w:ascii="DengXian" w:eastAsia="DengXian" w:hAnsi="DengXian" w:cs="Times New Roman"/>
                <w:b/>
                <w:bCs/>
                <w:color w:val="000000"/>
                <w:kern w:val="0"/>
              </w:rPr>
            </w:pPr>
            <w:r w:rsidRPr="00F23D3A">
              <w:rPr>
                <w:rFonts w:ascii="DengXian" w:eastAsia="DengXian" w:hAnsi="DengXian" w:cs="Times New Roman" w:hint="eastAsia"/>
                <w:bCs/>
                <w:color w:val="000000"/>
                <w:kern w:val="0"/>
              </w:rPr>
              <w:t>EDW</w:t>
            </w:r>
            <w:r w:rsidR="007743FB">
              <w:rPr>
                <w:rFonts w:ascii="DengXian" w:eastAsia="DengXian" w:hAnsi="DengXian" w:cs="Times New Roman" w:hint="eastAsia"/>
                <w:bCs/>
                <w:color w:val="000000"/>
                <w:kern w:val="0"/>
              </w:rPr>
              <w:t>架构</w:t>
            </w:r>
            <w:bookmarkStart w:id="0" w:name="_GoBack"/>
            <w:bookmarkEnd w:id="0"/>
          </w:p>
        </w:tc>
      </w:tr>
      <w:tr w:rsidR="00F23D3A" w:rsidRPr="000B44D3" w14:paraId="4DC098CA" w14:textId="77777777" w:rsidTr="000B44D3">
        <w:trPr>
          <w:trHeight w:val="320"/>
        </w:trPr>
        <w:tc>
          <w:tcPr>
            <w:tcW w:w="3020" w:type="dxa"/>
            <w:hideMark/>
          </w:tcPr>
          <w:p w14:paraId="3BC2B643"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主要技术特点</w:t>
            </w:r>
          </w:p>
        </w:tc>
        <w:tc>
          <w:tcPr>
            <w:tcW w:w="5265" w:type="dxa"/>
            <w:hideMark/>
          </w:tcPr>
          <w:p w14:paraId="37D6FD4F" w14:textId="4A889B33" w:rsidR="00F23D3A" w:rsidRPr="000B44D3" w:rsidRDefault="00F23D3A" w:rsidP="00A972DB">
            <w:pPr>
              <w:widowControl/>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数据仓库整体规划与咨询；</w:t>
            </w:r>
            <w:r w:rsidRPr="006050BA">
              <w:rPr>
                <w:rFonts w:ascii="DengXian" w:eastAsia="DengXian" w:hAnsi="DengXian" w:cs="Times New Roman" w:hint="eastAsia"/>
                <w:color w:val="000000"/>
                <w:kern w:val="0"/>
              </w:rPr>
              <w:br/>
              <w:t>Teradata金融行业数据模型</w:t>
            </w:r>
          </w:p>
        </w:tc>
      </w:tr>
      <w:tr w:rsidR="00F23D3A" w:rsidRPr="000B44D3" w14:paraId="36A6E958" w14:textId="77777777" w:rsidTr="000B44D3">
        <w:trPr>
          <w:trHeight w:val="320"/>
        </w:trPr>
        <w:tc>
          <w:tcPr>
            <w:tcW w:w="3020" w:type="dxa"/>
            <w:hideMark/>
          </w:tcPr>
          <w:p w14:paraId="70B25618"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现状</w:t>
            </w:r>
          </w:p>
        </w:tc>
        <w:tc>
          <w:tcPr>
            <w:tcW w:w="5265" w:type="dxa"/>
            <w:hideMark/>
          </w:tcPr>
          <w:p w14:paraId="049DD953" w14:textId="75B6DC46" w:rsidR="00F23D3A" w:rsidRPr="000B44D3" w:rsidRDefault="00F23D3A" w:rsidP="00F23D3A">
            <w:pPr>
              <w:widowControl/>
              <w:jc w:val="left"/>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持续投产运行中</w:t>
            </w:r>
          </w:p>
        </w:tc>
      </w:tr>
      <w:tr w:rsidR="00F23D3A" w:rsidRPr="000B44D3" w14:paraId="3190F562" w14:textId="77777777" w:rsidTr="000B44D3">
        <w:trPr>
          <w:trHeight w:val="320"/>
        </w:trPr>
        <w:tc>
          <w:tcPr>
            <w:tcW w:w="3020" w:type="dxa"/>
            <w:hideMark/>
          </w:tcPr>
          <w:p w14:paraId="3C52A48B"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主要参与人员</w:t>
            </w:r>
          </w:p>
        </w:tc>
        <w:tc>
          <w:tcPr>
            <w:tcW w:w="5265" w:type="dxa"/>
            <w:hideMark/>
          </w:tcPr>
          <w:p w14:paraId="497F3E97" w14:textId="032D6717" w:rsidR="00F23D3A" w:rsidRPr="000B44D3" w:rsidRDefault="00F23D3A" w:rsidP="00F23D3A">
            <w:pPr>
              <w:widowControl/>
              <w:jc w:val="left"/>
              <w:rPr>
                <w:rFonts w:ascii="DengXian" w:eastAsia="DengXian" w:hAnsi="DengXian" w:cs="Times New Roman"/>
                <w:b/>
                <w:bCs/>
                <w:color w:val="000000"/>
                <w:kern w:val="0"/>
              </w:rPr>
            </w:pPr>
            <w:r>
              <w:rPr>
                <w:rFonts w:ascii="DengXian" w:eastAsia="DengXian" w:hAnsi="DengXian" w:cs="Times New Roman" w:hint="eastAsia"/>
                <w:color w:val="000000"/>
                <w:kern w:val="0"/>
              </w:rPr>
              <w:t>王某华、邓某庚、陈某</w:t>
            </w:r>
            <w:r w:rsidRPr="006050BA">
              <w:rPr>
                <w:rFonts w:ascii="DengXian" w:eastAsia="DengXian" w:hAnsi="DengXian" w:cs="Times New Roman" w:hint="eastAsia"/>
                <w:color w:val="000000"/>
                <w:kern w:val="0"/>
              </w:rPr>
              <w:t>燕等</w:t>
            </w:r>
          </w:p>
        </w:tc>
      </w:tr>
      <w:tr w:rsidR="00F23D3A" w:rsidRPr="000B44D3" w14:paraId="0F400076" w14:textId="77777777" w:rsidTr="000B44D3">
        <w:trPr>
          <w:trHeight w:val="320"/>
        </w:trPr>
        <w:tc>
          <w:tcPr>
            <w:tcW w:w="3020" w:type="dxa"/>
            <w:hideMark/>
          </w:tcPr>
          <w:p w14:paraId="212271DE"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经验</w:t>
            </w:r>
          </w:p>
        </w:tc>
        <w:tc>
          <w:tcPr>
            <w:tcW w:w="5265" w:type="dxa"/>
            <w:hideMark/>
          </w:tcPr>
          <w:p w14:paraId="41770D24" w14:textId="7FD881FE" w:rsidR="00F23D3A" w:rsidRPr="000B44D3" w:rsidRDefault="00F23D3A" w:rsidP="00F23D3A">
            <w:pPr>
              <w:widowControl/>
              <w:jc w:val="left"/>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基于TADD的银行业数据仓库开发经验，对银行数据的理解以及模型建设。</w:t>
            </w:r>
          </w:p>
        </w:tc>
      </w:tr>
    </w:tbl>
    <w:p w14:paraId="0D1087EA" w14:textId="77777777" w:rsidR="00052E29" w:rsidRPr="00052E29" w:rsidRDefault="00052E29" w:rsidP="00052E29"/>
    <w:p w14:paraId="6E3D0A23" w14:textId="0311F3C2" w:rsidR="00BD7830" w:rsidRPr="00E9706F" w:rsidRDefault="00BD7830" w:rsidP="00A726CF">
      <w:pPr>
        <w:pStyle w:val="4"/>
      </w:pPr>
      <w:r w:rsidRPr="00E9706F">
        <w:t>客户简介</w:t>
      </w:r>
    </w:p>
    <w:p w14:paraId="36BAD84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中国民生银行于1996年1月12日在北京正式成立，是我国首家主要由非公有制企业入股的全国性股份制商业银行，2000年12月19日，中国民生银行A股股票（600016）在上海证券兴业银行挂牌上市。</w:t>
      </w:r>
    </w:p>
    <w:p w14:paraId="3908D7EB"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截止2007年末，中国民生银行总资产规模达到9197亿元，存款总额6712亿元，贷款总额5549亿元，不良贷款率1.22%。2004年，实现主营业务收入253亿元，利润总额92亿元，净利润63亿元。 </w:t>
      </w:r>
    </w:p>
    <w:p w14:paraId="235012F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截止2007年末，中国民生银行已在华北地区包括总行及北京、太原、石家庄和天津分行；华东地区包括上海、杭州、宁波、南京、济南、苏州、青岛、温州分行；华南地区包括福州、广州、深圳、泉州、厦门分行和汕头直属支行；其</w:t>
      </w:r>
      <w:r w:rsidRPr="00E9706F">
        <w:rPr>
          <w:rFonts w:ascii="SimSun" w:eastAsia="SimSun" w:hAnsi="SimSun"/>
        </w:rPr>
        <w:lastRenderedPageBreak/>
        <w:t xml:space="preserve">他地区包括西安、大连、重庆、成都、武汉、昆明分行等地设立了23家分行、1家直属支行，在香港设立1家代表处，机构总数量为327个，与境外80多个国家和地区的830多家银行建立了代理行关系。 </w:t>
      </w:r>
    </w:p>
    <w:p w14:paraId="51F430DF" w14:textId="2CD7B765" w:rsidR="00BD7830" w:rsidRPr="00E9706F" w:rsidRDefault="00BD7830" w:rsidP="00A726CF">
      <w:pPr>
        <w:pStyle w:val="4"/>
      </w:pPr>
      <w:r w:rsidRPr="00E9706F">
        <w:t>项目背景与发展历程</w:t>
      </w:r>
    </w:p>
    <w:p w14:paraId="2003BC1F" w14:textId="363D5F20"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根据民生银行发展规划，在2001年民生银行提出“八大系统”的建设思路。</w:t>
      </w:r>
    </w:p>
    <w:p w14:paraId="4A54B452" w14:textId="6B77197A"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2002年，“八大系统”的规划工作正式展开，根据民生银行五年业务发展战略要求，提出了需要增强的业务和IT能力，包括：业务定价、绩效考评、信贷风险管理、客户信息管理、人力资源管理和培训、以及IT管理。</w:t>
      </w:r>
    </w:p>
    <w:p w14:paraId="2E969D6F" w14:textId="531948C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中国民生银行重塑其管理体系，决定同时启动“八大系统”。即客户信息管理系统、客户经理管理系统、客户服务中心系统、业务流程系统、风险评价系统、业务定价系统、信用卡系统和行员培训系统。</w:t>
      </w:r>
    </w:p>
    <w:p w14:paraId="63227786" w14:textId="0C09735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在2003年4月，正式启动客户信息和客户关系管理系统（CIM/CRM），并由Teradata实施，同时负责其企业级数据仓库的建设。使CIM/CRM系统建设成为8大系统建设的重中之重。</w:t>
      </w:r>
    </w:p>
    <w:p w14:paraId="3C504578" w14:textId="41C02C40" w:rsidR="00BD7830" w:rsidRPr="00E9706F" w:rsidRDefault="002C742F" w:rsidP="00BD7830">
      <w:pPr>
        <w:spacing w:line="360" w:lineRule="auto"/>
        <w:ind w:firstLineChars="200" w:firstLine="560"/>
        <w:rPr>
          <w:rFonts w:ascii="SimSun" w:eastAsia="SimSun" w:hAnsi="SimSun"/>
        </w:rPr>
      </w:pPr>
      <w:r w:rsidRPr="006F565D">
        <w:rPr>
          <w:rFonts w:ascii="Arial" w:hAnsi="Arial" w:cs="Arial"/>
          <w:b/>
          <w:noProof/>
          <w:sz w:val="28"/>
          <w:szCs w:val="28"/>
        </w:rPr>
        <w:lastRenderedPageBreak/>
        <w:drawing>
          <wp:anchor distT="0" distB="0" distL="114300" distR="114300" simplePos="0" relativeHeight="251659264" behindDoc="0" locked="0" layoutInCell="1" allowOverlap="1" wp14:anchorId="783DD102" wp14:editId="71DED616">
            <wp:simplePos x="0" y="0"/>
            <wp:positionH relativeFrom="column">
              <wp:posOffset>49530</wp:posOffset>
            </wp:positionH>
            <wp:positionV relativeFrom="paragraph">
              <wp:posOffset>0</wp:posOffset>
            </wp:positionV>
            <wp:extent cx="5144770" cy="2904490"/>
            <wp:effectExtent l="0" t="0" r="11430" b="0"/>
            <wp:wrapThrough wrapText="bothSides">
              <wp:wrapPolygon edited="0">
                <wp:start x="0" y="0"/>
                <wp:lineTo x="0" y="21345"/>
                <wp:lineTo x="21541" y="21345"/>
                <wp:lineTo x="21541" y="0"/>
                <wp:lineTo x="0" y="0"/>
              </wp:wrapPolygon>
            </wp:wrapThrough>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77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5D4B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数据仓库建设发展规划如下：</w:t>
      </w:r>
    </w:p>
    <w:p w14:paraId="1F3FA0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2003年（项目一期）：建立以客户为中心的中央数据仓库平台，实现客户信息的统一收集和管理，将客户信息提升为民生银行的无价资产，并在此基础上建立客户信息管理平台，实现客户单一视图、目标客户搜索、客户细分管理和初步的业务统计分析报表，为实施客户关系管理平台奠定基础。 </w:t>
      </w:r>
    </w:p>
    <w:p w14:paraId="66FDCEF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2004年（项目二期）：重点开始实施客户关系管理，在一期的建设成果上，实施分析型 CRM 解决方案，并与民生银行操作型 CRM 无缝连接，完成呼叫中心的渠道整合，搭建自动化营销的基础平台。</w:t>
      </w:r>
    </w:p>
    <w:p w14:paraId="31FA43A8"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2005年（项目三期）：为了能更好地加强客户关系管理，重点开始建立贡献度分析系统，提升深度分析客户贡献度的能力，帮助实现客户保留、管理产品及服务定价。</w:t>
      </w:r>
    </w:p>
    <w:p w14:paraId="6902610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2006年（项目回顾期）：巩固前三期成果，酝酿下一个三年规划。充分利用日渐成熟的企业级数据仓库，在此基础上开发更高层次的分析型应用，使信息面</w:t>
      </w:r>
      <w:r w:rsidRPr="00E9706F">
        <w:rPr>
          <w:rFonts w:ascii="SimSun" w:eastAsia="SimSun" w:hAnsi="SimSun"/>
        </w:rPr>
        <w:lastRenderedPageBreak/>
        <w:t>得到进一步提升，更好地支持民生银行总行以及各分行的运营和决策。</w:t>
      </w:r>
    </w:p>
    <w:p w14:paraId="1B50C041"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2008年1月，民生银行以新核心再造工程为契机，适时与Teradata再次合作启动了ECIF系统建设项目，希望能利用Teradata专业服务团队在金融数据模型方面的强大整合能力及Teradata在动态企业智能（AEI）方面的先进技术，帮助民生实现再次超越。</w:t>
      </w:r>
    </w:p>
    <w:p w14:paraId="03EC4360" w14:textId="1C6CAB3C" w:rsidR="00BD7830" w:rsidRPr="00E9706F" w:rsidRDefault="00BD7830" w:rsidP="00A726CF">
      <w:pPr>
        <w:pStyle w:val="4"/>
      </w:pPr>
      <w:r w:rsidRPr="00E9706F">
        <w:t>项目实施成果</w:t>
      </w:r>
    </w:p>
    <w:p w14:paraId="19E17179" w14:textId="3B471D4D"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一期CIM</w:t>
      </w:r>
    </w:p>
    <w:p w14:paraId="78CB0040"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通过建立CIM系统，对民生银行的数据源进行了详细分析，将不同系统的数据加以整合并组织到统一的数据仓库平台。</w:t>
      </w:r>
    </w:p>
    <w:p w14:paraId="1ED59A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CIM系统，Teradata和民生银行一起设计了企业级数据仓库逻辑数据模型（CMBC-LDM），完成了民生银行核心业务系统和其他13个外围产品系统的数据抽取、清洗、加载和转换（ECTL）工作，截止2003年底14个源系统的数据，都能以T＋1的方式进入数据仓库。同时对民生银行众多系统的业务代码进行了梳理和规范，建成了民生银行企业级数据仓库基础环境，初步形成了客户单一视图，并能够对全行客户进行客户细分和多维分析，并完成了统一客户信息管理、目标客户搜索、客户细分、业务统计分析等应用。</w:t>
      </w:r>
    </w:p>
    <w:p w14:paraId="0395E98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主要成果包括：</w:t>
      </w:r>
    </w:p>
    <w:p w14:paraId="292C1079"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结合FS-LDM建成民生银行企业级数据仓库，整合14个源系统数据。</w:t>
      </w:r>
    </w:p>
    <w:p w14:paraId="1A80A92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成全行客户统一视图，并提供对客户360度视角分析的功能，对客户的基本资料、财务信息、关联信息、资信状况、与银行业务往来信息等进行模块化设计，将这些相关信息进行统一的存储和管理，并提供集成统一的访问界面。</w:t>
      </w:r>
      <w:r w:rsidRPr="00E9706F">
        <w:rPr>
          <w:rFonts w:ascii="SimSun" w:eastAsia="SimSun" w:hAnsi="SimSun"/>
        </w:rPr>
        <w:lastRenderedPageBreak/>
        <w:t>客户包括民生银行的公司客户、个人客户和同业客户。</w:t>
      </w:r>
    </w:p>
    <w:p w14:paraId="54E71E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终端用户可以自己通过客户细分/客户分析/目标客户搜索定位客户，得到相关客户名单，进一步分析客户，提升企业决策效率与质量，决策人能够自由地获取需要的数据，而不需依赖IT人员。</w:t>
      </w:r>
    </w:p>
    <w:p w14:paraId="418B128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减轻了OLTP系统支援决策分析报表的负荷。</w:t>
      </w:r>
    </w:p>
    <w:p w14:paraId="0F53D8E9" w14:textId="239940AA"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二期CRM</w:t>
      </w:r>
    </w:p>
    <w:p w14:paraId="1EB517C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实施Teradata客户关系管理解决方案，民生银行建立了数据仓库-客户细分-客户分析-自动化营销-效果评估-数据仓库这样一个闭环的营销过程，搭建民生银行理想的市场营销环境，实现了更好的客户保留和客户获取、增强交叉销售的效果，并能防范营销过程中过度打扰现象的出现，优化了市场营销活动效率，大大提高了目标销售的成功率。</w:t>
      </w:r>
    </w:p>
    <w:p w14:paraId="3985E7CF" w14:textId="412CE545" w:rsidR="00BD7830" w:rsidRPr="00302F2B" w:rsidRDefault="00302F2B" w:rsidP="006A34B5">
      <w:pPr>
        <w:pStyle w:val="a3"/>
        <w:numPr>
          <w:ilvl w:val="0"/>
          <w:numId w:val="43"/>
        </w:numPr>
        <w:spacing w:line="360" w:lineRule="auto"/>
        <w:ind w:firstLineChars="0"/>
        <w:rPr>
          <w:rFonts w:ascii="SimSun" w:eastAsia="SimSun" w:hAnsi="SimSun"/>
        </w:rPr>
      </w:pPr>
      <w:r w:rsidRPr="006F565D">
        <w:rPr>
          <w:rFonts w:ascii="Arial" w:hAnsi="Arial" w:cs="Arial"/>
          <w:noProof/>
        </w:rPr>
        <w:drawing>
          <wp:anchor distT="0" distB="0" distL="114300" distR="114300" simplePos="0" relativeHeight="251660288" behindDoc="0" locked="0" layoutInCell="1" allowOverlap="1" wp14:anchorId="0E731883" wp14:editId="1BA05E34">
            <wp:simplePos x="0" y="0"/>
            <wp:positionH relativeFrom="column">
              <wp:posOffset>48895</wp:posOffset>
            </wp:positionH>
            <wp:positionV relativeFrom="paragraph">
              <wp:posOffset>358775</wp:posOffset>
            </wp:positionV>
            <wp:extent cx="5266690" cy="2951480"/>
            <wp:effectExtent l="0" t="0" r="0" b="0"/>
            <wp:wrapThrough wrapText="bothSides">
              <wp:wrapPolygon edited="0">
                <wp:start x="0" y="0"/>
                <wp:lineTo x="0" y="21377"/>
                <wp:lineTo x="21459" y="21377"/>
                <wp:lineTo x="21459" y="0"/>
                <wp:lineTo x="0" y="0"/>
              </wp:wrapPolygon>
            </wp:wrapThrough>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830" w:rsidRPr="00302F2B">
        <w:rPr>
          <w:rFonts w:ascii="SimSun" w:eastAsia="SimSun" w:hAnsi="SimSun"/>
        </w:rPr>
        <w:t>确立客户关系管理的策略</w:t>
      </w:r>
    </w:p>
    <w:p w14:paraId="4501856D" w14:textId="470FB8AF" w:rsidR="00302F2B" w:rsidRPr="00302F2B" w:rsidRDefault="00302F2B" w:rsidP="00302F2B">
      <w:pPr>
        <w:pStyle w:val="a3"/>
        <w:spacing w:line="360" w:lineRule="auto"/>
        <w:ind w:left="840" w:firstLineChars="0" w:firstLine="0"/>
        <w:rPr>
          <w:rFonts w:ascii="SimSun" w:eastAsia="SimSun" w:hAnsi="SimSun"/>
        </w:rPr>
      </w:pPr>
    </w:p>
    <w:p w14:paraId="611AC6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建立适应客户关系管理的组织架构</w:t>
      </w:r>
    </w:p>
    <w:p w14:paraId="5B44591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lastRenderedPageBreak/>
        <w:t>3)</w:t>
      </w:r>
      <w:r w:rsidRPr="00E9706F">
        <w:rPr>
          <w:rFonts w:ascii="SimSun" w:eastAsia="SimSun" w:hAnsi="SimSun"/>
        </w:rPr>
        <w:tab/>
        <w:t>建设能支持市场营销活动的分析型的客户关系管理系统</w:t>
      </w:r>
    </w:p>
    <w:p w14:paraId="681BF3A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建立与客户服务渠道的连接，实现完善的渠道整合</w:t>
      </w:r>
    </w:p>
    <w:p w14:paraId="135EE4A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5)</w:t>
      </w:r>
      <w:r w:rsidRPr="00E9706F">
        <w:rPr>
          <w:rFonts w:ascii="SimSun" w:eastAsia="SimSun" w:hAnsi="SimSun"/>
        </w:rPr>
        <w:tab/>
        <w:t>业务价值-从产品导向走向客户导向</w:t>
      </w:r>
    </w:p>
    <w:p w14:paraId="3A776B42" w14:textId="780CCBD3"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三期VA &amp; PMM</w:t>
      </w:r>
    </w:p>
    <w:p w14:paraId="125A957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利润贡献度分析VA</w:t>
      </w:r>
    </w:p>
    <w:p w14:paraId="38251C46" w14:textId="7B2AA516"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帮助民生银行建立一套适合自身特色的全行一致的资金转移计价、成本分配、风险准备等方法论</w:t>
      </w:r>
    </w:p>
    <w:p w14:paraId="02BA70B1" w14:textId="2E0C3D7F"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利用净利息收入 (NIR)、其他收入 (OR)、直接费用(DE)、间接费用 (IE)、风险准备 (RP)等主要因子进行利润贡献度计算。</w:t>
      </w:r>
    </w:p>
    <w:p w14:paraId="4581DFD0" w14:textId="269FF865"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在(帐户)详细交易数据的基础上，实现先进的帐户、客户、产品、渠道和机构的利润贡献度分析与应用</w:t>
      </w:r>
    </w:p>
    <w:p w14:paraId="2273FA2B" w14:textId="77777777" w:rsidR="00BD7830" w:rsidRPr="00E9706F" w:rsidRDefault="00BD7830" w:rsidP="00BD7830">
      <w:pPr>
        <w:spacing w:line="360" w:lineRule="auto"/>
        <w:ind w:firstLineChars="200" w:firstLine="480"/>
        <w:rPr>
          <w:rFonts w:ascii="SimSun" w:eastAsia="SimSun" w:hAnsi="SimSun"/>
        </w:rPr>
      </w:pPr>
    </w:p>
    <w:p w14:paraId="565118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绩效指标管理PMM</w:t>
      </w:r>
    </w:p>
    <w:p w14:paraId="002C11D2"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结合数据仓库的优势，Teradata为民生银行提供了一套灵活的绩效指标展现及分析功能，支持对企业经营指标和考核指标的直观展示及管理。</w:t>
      </w:r>
    </w:p>
    <w:p w14:paraId="35B453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考核指标主要面向民生的高层领导，其特点是以预警方式综合显示各指标完成计划的情况，以便行领导可以在一个界面中能够一目了然地监控某时期各分行对各考核指标的完成情况。而经营指标则面向具体的分析人员，其特点则是使用多种分析图形从细节角度展示指标的具体值，以便分析人员能够从较细的角度查看指标的发展情况。</w:t>
      </w:r>
    </w:p>
    <w:p w14:paraId="61F4F1ED" w14:textId="49CFB449"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四期回顾与应用增强</w:t>
      </w:r>
    </w:p>
    <w:p w14:paraId="0CF20CCF" w14:textId="2830A02E" w:rsidR="00BD7830" w:rsidRPr="006A34B5" w:rsidRDefault="00BD7830" w:rsidP="006A34B5">
      <w:pPr>
        <w:pStyle w:val="a3"/>
        <w:numPr>
          <w:ilvl w:val="0"/>
          <w:numId w:val="47"/>
        </w:numPr>
        <w:spacing w:line="360" w:lineRule="auto"/>
        <w:ind w:firstLineChars="0"/>
        <w:rPr>
          <w:rFonts w:ascii="SimSun" w:eastAsia="SimSun" w:hAnsi="SimSun"/>
        </w:rPr>
      </w:pPr>
      <w:r w:rsidRPr="006A34B5">
        <w:rPr>
          <w:rFonts w:ascii="SimSun" w:eastAsia="SimSun" w:hAnsi="SimSun"/>
        </w:rPr>
        <w:t>贡献度分析结果测试及数据源问题跟踪</w:t>
      </w:r>
    </w:p>
    <w:p w14:paraId="3CE21068" w14:textId="378C9B5A"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lastRenderedPageBreak/>
        <w:t>利润贡献度分析系统（VA）数据及应用增强</w:t>
      </w:r>
    </w:p>
    <w:p w14:paraId="479C29E4" w14:textId="2E741D1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配合实施大额反洗钱监控系统</w:t>
      </w:r>
    </w:p>
    <w:p w14:paraId="4CFFEDF0" w14:textId="0082A15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EDW数据增强（系统升级：金卡V2.0）</w:t>
      </w:r>
    </w:p>
    <w:p w14:paraId="1157EF6D" w14:textId="1B03EC08"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基础模型和应用模型Review</w:t>
      </w:r>
    </w:p>
    <w:p w14:paraId="7588D6E7" w14:textId="5AE8409F"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数据质量监控系统优化及上线</w:t>
      </w:r>
    </w:p>
    <w:p w14:paraId="1DA93F80" w14:textId="48E6D78E"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管理会计SAP系统整合压力测试</w:t>
      </w:r>
    </w:p>
    <w:p w14:paraId="00F5D46A" w14:textId="6B5C243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EDW数据增强（系统改造：银证通）</w:t>
      </w:r>
    </w:p>
    <w:p w14:paraId="71E2A1D9" w14:textId="19D3BF3C"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产品目录维护及新增产品加载</w:t>
      </w:r>
    </w:p>
    <w:p w14:paraId="1E67FCA5" w14:textId="4C05E94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对公授信额度贷款相关的模型和ETL调整</w:t>
      </w:r>
    </w:p>
    <w:p w14:paraId="1653F9DF" w14:textId="7A373535"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特殊审批业务跟踪评估系统(客户单一视图贡献度明晰跟踪功能扩展)</w:t>
      </w:r>
    </w:p>
    <w:p w14:paraId="2EA58EC5" w14:textId="5942FED6"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CIM系统测试和优化</w:t>
      </w:r>
    </w:p>
    <w:p w14:paraId="2062DC3B" w14:textId="05884EC8"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零售部考核项目</w:t>
      </w:r>
    </w:p>
    <w:p w14:paraId="0BA793E9" w14:textId="00B0465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EDW数据增强（贷记卡系统整合）</w:t>
      </w:r>
    </w:p>
    <w:p w14:paraId="36E20845" w14:textId="1857F074"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MIS系统历史数据移植</w:t>
      </w:r>
    </w:p>
    <w:p w14:paraId="18640281" w14:textId="06FC4E63"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个贷五级分类项目</w:t>
      </w:r>
    </w:p>
    <w:p w14:paraId="4FC0D49F" w14:textId="29FDC1B0"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积分系统项目</w:t>
      </w:r>
    </w:p>
    <w:p w14:paraId="33A9B5B9" w14:textId="7BEF64D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电子银行渠道整合项目数据调研</w:t>
      </w:r>
    </w:p>
    <w:p w14:paraId="10AD4B82" w14:textId="6A02792B"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EDW系统扩容规划</w:t>
      </w:r>
    </w:p>
    <w:p w14:paraId="633670C6" w14:textId="6B9354B2" w:rsidR="00BD7830" w:rsidRPr="00E9706F" w:rsidRDefault="00BD7830" w:rsidP="00A726CF">
      <w:pPr>
        <w:pStyle w:val="4"/>
      </w:pPr>
      <w:r w:rsidRPr="00E9706F">
        <w:t>实施效益</w:t>
      </w:r>
    </w:p>
    <w:p w14:paraId="3A913EC3"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从目前的EDW运行情况来看，数据仓库在民生银行实实在在的给业务部门的业务发展和管理提供了帮助，数据平台也在为行内多个系统提供数据。数据仓库</w:t>
      </w:r>
      <w:r w:rsidRPr="00E9706F">
        <w:rPr>
          <w:rFonts w:ascii="SimSun" w:eastAsia="SimSun" w:hAnsi="SimSun"/>
        </w:rPr>
        <w:lastRenderedPageBreak/>
        <w:t>正在发挥全行基础数据平台的重要作用。</w:t>
      </w:r>
    </w:p>
    <w:p w14:paraId="712188B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总体来看，数据仓库平台系统建设在以下方面取得良好的效益：</w:t>
      </w:r>
    </w:p>
    <w:p w14:paraId="2E86D86E" w14:textId="75B39A6D"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节约重复投资</w:t>
      </w:r>
    </w:p>
    <w:p w14:paraId="0629C8D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经济效益角度来看，数据仓库建设对民生银行的数据源进行了详细分析，完成了民生银行核心业务系统、外围产品系约30余个系统的数据抽取、清洗、加载和转换（ETL）工作，基本实现全行帐户、客户和交易数据集中统一存放和管理，建成了民生银行企业级数据仓库基础环境，从宏观来看基本避免了对数据的冗余存放，和重复处理，在设备方面可为行里节约大量投资。</w:t>
      </w:r>
    </w:p>
    <w:p w14:paraId="0C0B4BAF" w14:textId="0C6CC0E8"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促进管理水平</w:t>
      </w:r>
    </w:p>
    <w:p w14:paraId="28632F0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在实施客户关系管理系统的过程中，不仅仅进行技术的开发，同时在如何利用客户关系管理系统进行市场营销方面也做了大量的推动和培训工作。这些工作促进了各业务部门的营销观念和管理方式的进一步完善和更新，此外在建设数据平台和客户信息整合的过程中，针对一些数据质量和数据缺口的问题，项目组与各科技和业务部门紧密配合，对业务流程的规范，数据管理的完善方面也发挥了作用，可以说，在一定程度上，通过建设本系统，促进了银行管理效益的提高。</w:t>
      </w:r>
    </w:p>
    <w:p w14:paraId="0010BB3A" w14:textId="4987F8CA"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提升社会效益</w:t>
      </w:r>
    </w:p>
    <w:p w14:paraId="1CEB47B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通过实施全行统一的数据平台和具有比较先进的营销理念的客户关系管理系统，增加了银行的科技含量，为实现把民生银行打造为领先银行的目标提供了必要的科技基础，进一步提升了民生银行在公众中的形相，一定程度上为银行带了潜在的社会效益。</w:t>
      </w:r>
    </w:p>
    <w:p w14:paraId="092AC7F8" w14:textId="7D7D0A8E"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营销观念更新</w:t>
      </w:r>
    </w:p>
    <w:p w14:paraId="494634B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针对零售部和客服中心等业务部门，除了系统推广的统一培训，项目组还分</w:t>
      </w:r>
      <w:r w:rsidRPr="00E9706F">
        <w:rPr>
          <w:rFonts w:ascii="SimSun" w:eastAsia="SimSun" w:hAnsi="SimSun"/>
        </w:rPr>
        <w:lastRenderedPageBreak/>
        <w:t>别组织零售部进行客户细分、沟通活动管理及客户行为分析的相关培训及实践训练，项目组对总行零售客服中心人员进行了沟通活动模块的培训工作，可以说在推动和帮助民生银行的业务单位利用客户关系管理系统进行市场营销工作方面确实取得了一些成效，也得到零售、客服等业务部门的认可。</w:t>
      </w:r>
    </w:p>
    <w:p w14:paraId="2560E5C3" w14:textId="57FA14D1"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数据质量改进和完善</w:t>
      </w:r>
    </w:p>
    <w:p w14:paraId="115B33C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EDW系统实施也进一步推进了民生银行源系统数据质量的改进和完善，一些源系统，如MA管理会计系统等，针对数据仓库实施过程中发现的数据质量问题单独立项进行了系统改进和增强改造。使得全行总体数据质量向着良性循环的方向发展。</w:t>
      </w:r>
    </w:p>
    <w:p w14:paraId="72DED74C" w14:textId="3289EE0B" w:rsidR="00BD7830" w:rsidRPr="00E9706F" w:rsidRDefault="00CD1953" w:rsidP="00CD1953">
      <w:pPr>
        <w:pStyle w:val="2"/>
      </w:pPr>
      <w:r>
        <w:rPr>
          <w:rFonts w:hint="eastAsia"/>
        </w:rPr>
        <w:t>保险业案例</w:t>
      </w:r>
    </w:p>
    <w:p w14:paraId="62B8DCB3" w14:textId="402775A9" w:rsidR="00884F85" w:rsidRDefault="00C15236" w:rsidP="00D27B81">
      <w:pPr>
        <w:pStyle w:val="3"/>
      </w:pPr>
      <w:r>
        <w:t>中国人保财险公司案例</w:t>
      </w:r>
    </w:p>
    <w:tbl>
      <w:tblPr>
        <w:tblStyle w:val="a5"/>
        <w:tblW w:w="8250" w:type="dxa"/>
        <w:tblLook w:val="04A0" w:firstRow="1" w:lastRow="0" w:firstColumn="1" w:lastColumn="0" w:noHBand="0" w:noVBand="1"/>
      </w:tblPr>
      <w:tblGrid>
        <w:gridCol w:w="3020"/>
        <w:gridCol w:w="5230"/>
      </w:tblGrid>
      <w:tr w:rsidR="00C83ECC" w:rsidRPr="00C83ECC" w14:paraId="4A6A8549" w14:textId="77777777" w:rsidTr="00C83ECC">
        <w:trPr>
          <w:trHeight w:val="320"/>
        </w:trPr>
        <w:tc>
          <w:tcPr>
            <w:tcW w:w="3020" w:type="dxa"/>
            <w:hideMark/>
          </w:tcPr>
          <w:p w14:paraId="1F538342"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客户案例名称</w:t>
            </w:r>
          </w:p>
        </w:tc>
        <w:tc>
          <w:tcPr>
            <w:tcW w:w="5230" w:type="dxa"/>
            <w:hideMark/>
          </w:tcPr>
          <w:p w14:paraId="61DF3113"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中国人保财险</w:t>
            </w:r>
          </w:p>
        </w:tc>
      </w:tr>
      <w:tr w:rsidR="00C83ECC" w:rsidRPr="00C83ECC" w14:paraId="23B75965" w14:textId="77777777" w:rsidTr="00C83ECC">
        <w:trPr>
          <w:trHeight w:val="320"/>
        </w:trPr>
        <w:tc>
          <w:tcPr>
            <w:tcW w:w="3020" w:type="dxa"/>
            <w:hideMark/>
          </w:tcPr>
          <w:p w14:paraId="7388241F"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案例规模</w:t>
            </w:r>
          </w:p>
        </w:tc>
        <w:tc>
          <w:tcPr>
            <w:tcW w:w="5230" w:type="dxa"/>
            <w:hideMark/>
          </w:tcPr>
          <w:p w14:paraId="48DEBAF6" w14:textId="0EC413B2" w:rsidR="00C83ECC" w:rsidRPr="00C63F2E" w:rsidRDefault="00C63F2E" w:rsidP="00883C1C">
            <w:pPr>
              <w:widowControl/>
              <w:rPr>
                <w:rFonts w:ascii="DengXian" w:eastAsia="DengXian" w:hAnsi="DengXian" w:cs="Times New Roman"/>
                <w:bCs/>
                <w:color w:val="000000"/>
                <w:kern w:val="0"/>
              </w:rPr>
            </w:pPr>
            <w:r w:rsidRPr="00C63F2E">
              <w:rPr>
                <w:rFonts w:ascii="DengXian" w:eastAsia="DengXian" w:hAnsi="DengXian" w:cs="Times New Roman" w:hint="eastAsia"/>
                <w:bCs/>
                <w:color w:val="000000"/>
                <w:kern w:val="0"/>
              </w:rPr>
              <w:t>25T</w:t>
            </w:r>
          </w:p>
        </w:tc>
      </w:tr>
      <w:tr w:rsidR="00C83ECC" w:rsidRPr="00C83ECC" w14:paraId="5505BD6F" w14:textId="77777777" w:rsidTr="00C83ECC">
        <w:trPr>
          <w:trHeight w:val="320"/>
        </w:trPr>
        <w:tc>
          <w:tcPr>
            <w:tcW w:w="3020" w:type="dxa"/>
            <w:hideMark/>
          </w:tcPr>
          <w:p w14:paraId="4BED2BFE"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实施范围</w:t>
            </w:r>
          </w:p>
        </w:tc>
        <w:tc>
          <w:tcPr>
            <w:tcW w:w="5230" w:type="dxa"/>
            <w:hideMark/>
          </w:tcPr>
          <w:p w14:paraId="64BD80DE"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详见案例说明部份</w:t>
            </w:r>
          </w:p>
        </w:tc>
      </w:tr>
      <w:tr w:rsidR="00C83ECC" w:rsidRPr="00C83ECC" w14:paraId="323F5FC9" w14:textId="77777777" w:rsidTr="00C83ECC">
        <w:trPr>
          <w:trHeight w:val="320"/>
        </w:trPr>
        <w:tc>
          <w:tcPr>
            <w:tcW w:w="3020" w:type="dxa"/>
            <w:hideMark/>
          </w:tcPr>
          <w:p w14:paraId="58411DAB"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实施时间</w:t>
            </w:r>
          </w:p>
        </w:tc>
        <w:tc>
          <w:tcPr>
            <w:tcW w:w="5230" w:type="dxa"/>
            <w:hideMark/>
          </w:tcPr>
          <w:p w14:paraId="551C1ADC"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2011年至今</w:t>
            </w:r>
          </w:p>
        </w:tc>
      </w:tr>
      <w:tr w:rsidR="00C83ECC" w:rsidRPr="00C83ECC" w14:paraId="0D90123F" w14:textId="77777777" w:rsidTr="00C83ECC">
        <w:trPr>
          <w:trHeight w:val="320"/>
        </w:trPr>
        <w:tc>
          <w:tcPr>
            <w:tcW w:w="3020" w:type="dxa"/>
            <w:hideMark/>
          </w:tcPr>
          <w:p w14:paraId="444A7125"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数据仓库+大数据技术</w:t>
            </w:r>
          </w:p>
        </w:tc>
        <w:tc>
          <w:tcPr>
            <w:tcW w:w="5230" w:type="dxa"/>
            <w:hideMark/>
          </w:tcPr>
          <w:p w14:paraId="76E36B16"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数据仓库MPP</w:t>
            </w:r>
          </w:p>
        </w:tc>
      </w:tr>
      <w:tr w:rsidR="00C83ECC" w:rsidRPr="00C83ECC" w14:paraId="403BA3FD" w14:textId="77777777" w:rsidTr="00C83ECC">
        <w:trPr>
          <w:trHeight w:val="320"/>
        </w:trPr>
        <w:tc>
          <w:tcPr>
            <w:tcW w:w="3020" w:type="dxa"/>
            <w:hideMark/>
          </w:tcPr>
          <w:p w14:paraId="6B18BA0D"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数据治理咨询</w:t>
            </w:r>
          </w:p>
        </w:tc>
        <w:tc>
          <w:tcPr>
            <w:tcW w:w="5230" w:type="dxa"/>
            <w:hideMark/>
          </w:tcPr>
          <w:p w14:paraId="2EA66349"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无</w:t>
            </w:r>
          </w:p>
        </w:tc>
      </w:tr>
      <w:tr w:rsidR="00C83ECC" w:rsidRPr="00C83ECC" w14:paraId="686112E9" w14:textId="77777777" w:rsidTr="00C83ECC">
        <w:trPr>
          <w:trHeight w:val="320"/>
        </w:trPr>
        <w:tc>
          <w:tcPr>
            <w:tcW w:w="3020" w:type="dxa"/>
            <w:hideMark/>
          </w:tcPr>
          <w:p w14:paraId="4B0EEACA"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系统架构</w:t>
            </w:r>
          </w:p>
        </w:tc>
        <w:tc>
          <w:tcPr>
            <w:tcW w:w="5230" w:type="dxa"/>
            <w:hideMark/>
          </w:tcPr>
          <w:p w14:paraId="165224F9" w14:textId="7B3B7CF2" w:rsidR="00C83ECC" w:rsidRPr="00E768E9" w:rsidRDefault="00E768E9" w:rsidP="00883C1C">
            <w:pPr>
              <w:widowControl/>
              <w:rPr>
                <w:rFonts w:ascii="DengXian" w:eastAsia="DengXian" w:hAnsi="DengXian" w:cs="Times New Roman"/>
                <w:bCs/>
                <w:color w:val="000000"/>
                <w:kern w:val="0"/>
              </w:rPr>
            </w:pPr>
            <w:r w:rsidRPr="00E768E9">
              <w:rPr>
                <w:rFonts w:ascii="DengXian" w:eastAsia="DengXian" w:hAnsi="DengXian" w:cs="Times New Roman" w:hint="eastAsia"/>
                <w:bCs/>
                <w:color w:val="000000"/>
                <w:kern w:val="0"/>
              </w:rPr>
              <w:t>EDW架构</w:t>
            </w:r>
          </w:p>
        </w:tc>
      </w:tr>
      <w:tr w:rsidR="00C83ECC" w:rsidRPr="00C83ECC" w14:paraId="4BC96DD5" w14:textId="77777777" w:rsidTr="00C83ECC">
        <w:trPr>
          <w:trHeight w:val="320"/>
        </w:trPr>
        <w:tc>
          <w:tcPr>
            <w:tcW w:w="3020" w:type="dxa"/>
            <w:hideMark/>
          </w:tcPr>
          <w:p w14:paraId="6F1F6629"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主要技术特点</w:t>
            </w:r>
          </w:p>
        </w:tc>
        <w:tc>
          <w:tcPr>
            <w:tcW w:w="5230" w:type="dxa"/>
            <w:hideMark/>
          </w:tcPr>
          <w:p w14:paraId="229F13DB" w14:textId="746A6980" w:rsidR="00C83ECC" w:rsidRPr="00C83ECC" w:rsidRDefault="00E768E9" w:rsidP="00883C1C">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C83ECC" w:rsidRPr="00C83ECC" w14:paraId="7415E4A4" w14:textId="77777777" w:rsidTr="00C83ECC">
        <w:trPr>
          <w:trHeight w:val="320"/>
        </w:trPr>
        <w:tc>
          <w:tcPr>
            <w:tcW w:w="3020" w:type="dxa"/>
            <w:hideMark/>
          </w:tcPr>
          <w:p w14:paraId="098763D7"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现状</w:t>
            </w:r>
          </w:p>
        </w:tc>
        <w:tc>
          <w:tcPr>
            <w:tcW w:w="5230" w:type="dxa"/>
            <w:hideMark/>
          </w:tcPr>
          <w:p w14:paraId="2A0DF251" w14:textId="0E88BB8F" w:rsidR="00C83ECC" w:rsidRPr="00C83ECC" w:rsidRDefault="00E768E9" w:rsidP="00883C1C">
            <w:pPr>
              <w:widowControl/>
              <w:rPr>
                <w:rFonts w:ascii="DengXian" w:eastAsia="DengXian" w:hAnsi="DengXian" w:cs="Times New Roman"/>
                <w:b/>
                <w:bCs/>
                <w:color w:val="000000"/>
                <w:kern w:val="0"/>
              </w:rPr>
            </w:pPr>
            <w:r w:rsidRPr="00216651">
              <w:rPr>
                <w:rFonts w:ascii="DengXian" w:eastAsia="DengXian" w:hAnsi="DengXian" w:cs="Times New Roman" w:hint="eastAsia"/>
                <w:color w:val="000000"/>
                <w:kern w:val="0"/>
              </w:rPr>
              <w:t>持续投产运行中</w:t>
            </w:r>
          </w:p>
        </w:tc>
      </w:tr>
      <w:tr w:rsidR="00C83ECC" w:rsidRPr="00C83ECC" w14:paraId="10E7C8B5" w14:textId="77777777" w:rsidTr="00C83ECC">
        <w:trPr>
          <w:trHeight w:val="320"/>
        </w:trPr>
        <w:tc>
          <w:tcPr>
            <w:tcW w:w="3020" w:type="dxa"/>
            <w:hideMark/>
          </w:tcPr>
          <w:p w14:paraId="06F151E8"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主要参与人员</w:t>
            </w:r>
          </w:p>
        </w:tc>
        <w:tc>
          <w:tcPr>
            <w:tcW w:w="5230" w:type="dxa"/>
            <w:hideMark/>
          </w:tcPr>
          <w:p w14:paraId="72DFDB2A" w14:textId="7DE645C2" w:rsidR="00C83ECC" w:rsidRPr="00AF5B5E" w:rsidRDefault="00AF5B5E" w:rsidP="00883C1C">
            <w:pPr>
              <w:widowControl/>
              <w:rPr>
                <w:rFonts w:ascii="DengXian" w:eastAsia="DengXian" w:hAnsi="DengXian" w:cs="Times New Roman"/>
                <w:bCs/>
                <w:color w:val="000000"/>
                <w:kern w:val="0"/>
              </w:rPr>
            </w:pPr>
            <w:r w:rsidRPr="00AF5B5E">
              <w:rPr>
                <w:rFonts w:ascii="DengXian" w:eastAsia="DengXian" w:hAnsi="DengXian" w:cs="Times New Roman" w:hint="eastAsia"/>
                <w:bCs/>
                <w:color w:val="000000"/>
                <w:kern w:val="0"/>
              </w:rPr>
              <w:t>高某力</w:t>
            </w:r>
            <w:r>
              <w:rPr>
                <w:rFonts w:ascii="DengXian" w:eastAsia="DengXian" w:hAnsi="DengXian" w:cs="Times New Roman" w:hint="eastAsia"/>
                <w:bCs/>
                <w:color w:val="000000"/>
                <w:kern w:val="0"/>
              </w:rPr>
              <w:t>、郝某军等</w:t>
            </w:r>
          </w:p>
        </w:tc>
      </w:tr>
      <w:tr w:rsidR="00E768E9" w:rsidRPr="00C83ECC" w14:paraId="338943A2" w14:textId="77777777" w:rsidTr="00C83ECC">
        <w:trPr>
          <w:trHeight w:val="320"/>
        </w:trPr>
        <w:tc>
          <w:tcPr>
            <w:tcW w:w="3020" w:type="dxa"/>
            <w:hideMark/>
          </w:tcPr>
          <w:p w14:paraId="270B7157" w14:textId="77777777" w:rsidR="00E768E9" w:rsidRPr="00C83ECC" w:rsidRDefault="00E768E9"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经验</w:t>
            </w:r>
          </w:p>
        </w:tc>
        <w:tc>
          <w:tcPr>
            <w:tcW w:w="5230" w:type="dxa"/>
            <w:hideMark/>
          </w:tcPr>
          <w:p w14:paraId="7D07E92C" w14:textId="6AFC6DF2" w:rsidR="00E768E9" w:rsidRPr="00C83ECC" w:rsidRDefault="00E768E9" w:rsidP="00883C1C">
            <w:pPr>
              <w:widowControl/>
              <w:rPr>
                <w:rFonts w:ascii="DengXian" w:eastAsia="DengXian" w:hAnsi="DengXian" w:cs="Times New Roman"/>
                <w:b/>
                <w:bCs/>
                <w:color w:val="000000"/>
                <w:kern w:val="0"/>
              </w:rPr>
            </w:pPr>
            <w:r>
              <w:rPr>
                <w:rFonts w:ascii="DengXian" w:eastAsia="DengXian" w:hAnsi="DengXian" w:cs="Times New Roman" w:hint="eastAsia"/>
                <w:color w:val="000000"/>
                <w:kern w:val="0"/>
              </w:rPr>
              <w:t>大型保险公司</w:t>
            </w:r>
            <w:r w:rsidRPr="00F846AC">
              <w:rPr>
                <w:rFonts w:ascii="DengXian" w:eastAsia="DengXian" w:hAnsi="DengXian" w:cs="Times New Roman" w:hint="eastAsia"/>
                <w:color w:val="000000"/>
                <w:kern w:val="0"/>
              </w:rPr>
              <w:t>数据平台咨询规划与实施经验， 对数据源的理解、模型建设以及行业应用的构建</w:t>
            </w:r>
          </w:p>
        </w:tc>
      </w:tr>
    </w:tbl>
    <w:p w14:paraId="5FE8D8F9" w14:textId="77777777" w:rsidR="00C83ECC" w:rsidRPr="00C83ECC" w:rsidRDefault="00C83ECC" w:rsidP="00C83ECC"/>
    <w:p w14:paraId="68F7AD8B" w14:textId="09FAA1FA" w:rsidR="00884F85" w:rsidRPr="00C15236" w:rsidRDefault="00884F85" w:rsidP="00A726CF">
      <w:pPr>
        <w:pStyle w:val="4"/>
      </w:pPr>
      <w:r w:rsidRPr="00C15236">
        <w:t>项目背景</w:t>
      </w:r>
    </w:p>
    <w:p w14:paraId="00C9AAA1"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中国人民财产保险股份有限公司（简称中国人保财险公司PICC P&amp;C），作为中国国内最大的非寿险保险机构，原先采用Oracle数据库作为数据仓库系统，集中了全辖30多个省市分公司的数据，建设了十多个报表和分析型业务应用（例如财险、车险、理赔、承保、责任险、财务、销售管理、农险、清算）。原数据仓库系统的用户数据规模约为25TB，日增量数据量为几个GB。</w:t>
      </w:r>
    </w:p>
    <w:p w14:paraId="53A3A300"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受Oracle平台性能和容量限制，原系统只能容纳生产系统60%的数据，仅能存储3年的历史数据，在性能和容量上均无法满足日益增长的业务发展需要。例如在数据加载效率、报表生成效率方面均大大超出正常的业务允许时间范围，给监管报表报送、各项分析统计都产生了极大影响，浪费了大量时间、人力、物力。</w:t>
      </w:r>
    </w:p>
    <w:p w14:paraId="47B11FE7"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2011年5月，该保险公司对Teradata、Oracle Exadata、IBM Netezza、EMC/Greenplum进行POC测试，在各个场景的测试结果中，Teradata均表现优异。2011年6月，该保险公司正式招标，随后Teradata动态企业级数据仓库平台在与Oracle Exadata、IBM Netezza、EMC/Greenplum的竞争中胜出，成为该保险公司选择的数据仓库新平台。</w:t>
      </w:r>
    </w:p>
    <w:p w14:paraId="7121AB3F" w14:textId="77777777" w:rsidR="00884F85" w:rsidRPr="00C15236" w:rsidRDefault="00884F85" w:rsidP="00C15236">
      <w:pPr>
        <w:rPr>
          <w:rFonts w:ascii="SimSun" w:eastAsia="SimSun" w:hAnsi="SimSun"/>
        </w:rPr>
      </w:pPr>
    </w:p>
    <w:p w14:paraId="33B370EC" w14:textId="0F33BA5B" w:rsidR="00884F85" w:rsidRPr="00C15236" w:rsidRDefault="00884F85" w:rsidP="00A726CF">
      <w:pPr>
        <w:pStyle w:val="4"/>
      </w:pPr>
      <w:r w:rsidRPr="009F7DDE">
        <w:t>项目</w:t>
      </w:r>
      <w:r w:rsidRPr="00C15236">
        <w:t>成果</w:t>
      </w:r>
    </w:p>
    <w:p w14:paraId="05FFC9E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Teradata数据仓库新平台，为(4+2)6650数据仓库平台，提供的用户可用空间为60TB。6650数据仓库平台，是Teradata公司最新推出的动态数据仓库系</w:t>
      </w:r>
      <w:r w:rsidRPr="00C15236">
        <w:rPr>
          <w:rFonts w:ascii="SimSun" w:eastAsia="SimSun" w:hAnsi="SimSun"/>
        </w:rPr>
        <w:lastRenderedPageBreak/>
        <w:t>统，是具备同时支持传统硬盘HDD和固态硬盘SSD能力的平台，它具有最强大的处理能力、高可用性、可扩展性，同时具有良好的多代共存投资保护能力。</w:t>
      </w:r>
    </w:p>
    <w:p w14:paraId="40F1774A"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6650平台采用了Teradata 最新的13.10版本数据库。Teradata 13.10数据库是全球首例时态数据库，每次修改、加载或更新数据后，再也无需手工管理和更新有效日期，而是由系统自动记录。此外，将时序智能置入 Teradata 优化器 (Teradata Optimizer) 意味着用户无需使用复杂的 SQL 或结构化查询语言，便可获得其基于时间的业务问题的解答。自动化数据管理及简化的查询可减少数据错误、优化应用程序开发，并能面向企业用户开放时序数据分析。</w:t>
      </w:r>
    </w:p>
    <w:p w14:paraId="0A7A199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13.10数据库内嵌并集成了地理信息系统GIS，使得平台在处理地理信息方面更一致、更快速、更容易，能为企业提供将精确地理编码功能与地理空间数据（geospatial data）、以及商业智能与分析架构相结合的有效方法。</w:t>
      </w:r>
    </w:p>
    <w:p w14:paraId="0934892E"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项目一期，Teradata为该保险公司建立了设计合理的、可靠稳健的6650数据仓库平台，并将原Oracle数据仓库中的数据迁移到6650数据仓库平台。</w:t>
      </w:r>
    </w:p>
    <w:p w14:paraId="3F7F5C96"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6650数据仓库平台，为该保险公司提供了业界最强大的处理能力、高可用性、可扩展性，以及良好的多代共存投资保护能力，为该保险公司未来数据仓库分析业务的发展打下坚实的基础。目前该保险公司已把绝大部分的管理分析类业务应用加入数据仓库，并把生产系统中所有的历史数据都装入数据仓库，用户数据量将成倍地增长，该保险公司成为国内数据仓库用户数据量最大的保险公司之一。随着数据仓库应用的不断丰富和完善，大大提升了该保险公司在客户管理、运营管理、风险管理、财务管理、信息管理等各方面的综合能力。</w:t>
      </w:r>
    </w:p>
    <w:p w14:paraId="140FCD26"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一、迁移过程：大大提高了数据仓库的准确性和稳定性</w:t>
      </w:r>
    </w:p>
    <w:p w14:paraId="3D3DD870"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在项目启动之后，Teradata派出了熟悉Oracle数据库和Teradata数据库</w:t>
      </w:r>
      <w:r w:rsidRPr="00C15236">
        <w:rPr>
          <w:rFonts w:ascii="SimSun" w:eastAsia="SimSun" w:hAnsi="SimSun"/>
        </w:rPr>
        <w:lastRenderedPageBreak/>
        <w:t>的技术专家负责迁移项目的整体实施，历时三个月，成功将数据仓库从Oracle平台迁移到了Teradata平台上。在迁移的过程中，在保持业务逻辑一致不变的前提下，项目团队发现并修正了原Oracle平台下的一些错误和系统缺陷，优化之处多达100余处，大大提高数据仓库的准确性和稳定性。</w:t>
      </w:r>
    </w:p>
    <w:p w14:paraId="08A50BE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1、借此机会修正源系统中的业务数据 </w:t>
      </w:r>
    </w:p>
    <w:p w14:paraId="3EC6F7EF" w14:textId="41A30961"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大小写不一致，例如：在原系统中的保险单据号有的是大写有的是小写，同存于原Oracle系统中，实际业务上是同一笔；</w:t>
      </w:r>
    </w:p>
    <w:p w14:paraId="72226330" w14:textId="380A850B"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原Oracle系统中的数据包含“回车”、“换行”、“TAB键”以及一些不可见字符；</w:t>
      </w:r>
    </w:p>
    <w:p w14:paraId="2C4420B3" w14:textId="1968E25D"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原Oracle系统中对数据存在前空格与后空格的情况，如参数表中地区代码“01”与 “ 01”（带前空格）/“01 ”（带后空格）；</w:t>
      </w:r>
    </w:p>
    <w:p w14:paraId="4CA73B0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2、优化原系统中调度</w:t>
      </w:r>
    </w:p>
    <w:p w14:paraId="4690911A" w14:textId="55B3C068"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对原系统的任务调度做了全面分析整理；</w:t>
      </w:r>
    </w:p>
    <w:p w14:paraId="331B5B34" w14:textId="379E79CF"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将一些串行任务改成并行；</w:t>
      </w:r>
    </w:p>
    <w:p w14:paraId="3B869BAE" w14:textId="0687308C"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优化任务间的依赖关系；</w:t>
      </w:r>
    </w:p>
    <w:p w14:paraId="360F281F"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3、修正原系统中的一些错误逻辑</w:t>
      </w:r>
    </w:p>
    <w:p w14:paraId="7E82F2CB" w14:textId="18236ADF"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例如原Oracle中使用Rownum/Rowid；</w:t>
      </w:r>
    </w:p>
    <w:p w14:paraId="00A9452B" w14:textId="21C79CBE"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一些公认的错误语法——错误的关联更新；</w:t>
      </w:r>
    </w:p>
    <w:p w14:paraId="78CF39FD" w14:textId="77777777" w:rsidR="00884F85" w:rsidRPr="00C15236" w:rsidRDefault="00884F85" w:rsidP="00321552">
      <w:pPr>
        <w:spacing w:line="360" w:lineRule="auto"/>
        <w:ind w:firstLineChars="200" w:firstLine="480"/>
        <w:rPr>
          <w:rFonts w:ascii="SimSun" w:eastAsia="SimSun" w:hAnsi="SimSun"/>
        </w:rPr>
      </w:pPr>
    </w:p>
    <w:p w14:paraId="40F0A808"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二、迁移之后：继续增强数据处理、分析和管理能力</w:t>
      </w:r>
    </w:p>
    <w:p w14:paraId="6B6B095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该保险公司借助于Teradata公司在数据仓库诸多实施案例中积累的管理经验和业务经验，不断地提高管理水平、强化信息提供能力，减少经营成本，提高</w:t>
      </w:r>
      <w:r w:rsidRPr="00C15236">
        <w:rPr>
          <w:rFonts w:ascii="SimSun" w:eastAsia="SimSun" w:hAnsi="SimSun"/>
        </w:rPr>
        <w:lastRenderedPageBreak/>
        <w:t>运营收入水平，并继续奠定在同业数据仓库领域的领先地位。</w:t>
      </w:r>
    </w:p>
    <w:p w14:paraId="0452C8B8" w14:textId="19BE7B46"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 </w:t>
      </w:r>
      <w:r w:rsidR="00291D7E" w:rsidRPr="00B673FE">
        <w:rPr>
          <w:rFonts w:ascii="宋体" w:hAnsi="宋体"/>
          <w:noProof/>
        </w:rPr>
        <w:drawing>
          <wp:inline distT="0" distB="0" distL="0" distR="0" wp14:anchorId="3BAF3619" wp14:editId="71B7CEFC">
            <wp:extent cx="5270500" cy="2551068"/>
            <wp:effectExtent l="0" t="0" r="0" b="0"/>
            <wp:docPr id="2" name="图片 2" descr="C:\Documents and Settings\yl185005\Desktop\EDW业务价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 name="Picture 2" descr="C:\Documents and Settings\yl185005\Desktop\EDW业务价值.png"/>
                    <pic:cNvPicPr>
                      <a:picLocks noChangeAspect="1" noChangeArrowheads="1"/>
                    </pic:cNvPicPr>
                  </pic:nvPicPr>
                  <pic:blipFill>
                    <a:blip r:embed="rId12"/>
                    <a:srcRect/>
                    <a:stretch>
                      <a:fillRect/>
                    </a:stretch>
                  </pic:blipFill>
                  <pic:spPr bwMode="auto">
                    <a:xfrm>
                      <a:off x="0" y="0"/>
                      <a:ext cx="5270500" cy="2551068"/>
                    </a:xfrm>
                    <a:prstGeom prst="rect">
                      <a:avLst/>
                    </a:prstGeom>
                    <a:ln>
                      <a:noFill/>
                    </a:ln>
                    <a:effectLst>
                      <a:softEdge rad="112500"/>
                    </a:effectLst>
                  </pic:spPr>
                </pic:pic>
              </a:graphicData>
            </a:graphic>
          </wp:inline>
        </w:drawing>
      </w:r>
    </w:p>
    <w:p w14:paraId="76EAFA9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2012年12月，该保险公司再次采购“Teradata数据管控平台”，将进一步加强数据处理、分析和管理的能力，增加企业范围内数据治理方面的技术能力和管理规范，从而节约公司资源、提升数据访问效率和完善数据信息安全性。一期将实现元数据管理工具、数据归档工具、ETL工具升级等功能和服务。</w:t>
      </w:r>
    </w:p>
    <w:p w14:paraId="2F9CFC41" w14:textId="77777777" w:rsidR="00884F85" w:rsidRPr="00C15236" w:rsidRDefault="00884F85" w:rsidP="00C15236">
      <w:pPr>
        <w:rPr>
          <w:rFonts w:ascii="SimSun" w:eastAsia="SimSun" w:hAnsi="SimSun"/>
        </w:rPr>
      </w:pPr>
    </w:p>
    <w:p w14:paraId="34860B7A" w14:textId="71EA5851" w:rsidR="00884F85" w:rsidRDefault="00884F85" w:rsidP="00D27B81">
      <w:pPr>
        <w:pStyle w:val="3"/>
      </w:pPr>
      <w:r w:rsidRPr="00C15236">
        <w:t>新华人寿保险公司案例</w:t>
      </w:r>
    </w:p>
    <w:tbl>
      <w:tblPr>
        <w:tblStyle w:val="a5"/>
        <w:tblW w:w="8356" w:type="dxa"/>
        <w:tblLook w:val="04A0" w:firstRow="1" w:lastRow="0" w:firstColumn="1" w:lastColumn="0" w:noHBand="0" w:noVBand="1"/>
      </w:tblPr>
      <w:tblGrid>
        <w:gridCol w:w="3020"/>
        <w:gridCol w:w="5336"/>
      </w:tblGrid>
      <w:tr w:rsidR="00216651" w:rsidRPr="00216651" w14:paraId="38B96BF7" w14:textId="77777777" w:rsidTr="00216651">
        <w:trPr>
          <w:trHeight w:val="320"/>
        </w:trPr>
        <w:tc>
          <w:tcPr>
            <w:tcW w:w="3020" w:type="dxa"/>
            <w:hideMark/>
          </w:tcPr>
          <w:p w14:paraId="003B947D"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客户案例名称</w:t>
            </w:r>
          </w:p>
        </w:tc>
        <w:tc>
          <w:tcPr>
            <w:tcW w:w="5336" w:type="dxa"/>
            <w:hideMark/>
          </w:tcPr>
          <w:p w14:paraId="08BC3E94"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新华人寿保险</w:t>
            </w:r>
          </w:p>
        </w:tc>
      </w:tr>
      <w:tr w:rsidR="00216651" w:rsidRPr="00216651" w14:paraId="415BF668" w14:textId="77777777" w:rsidTr="00216651">
        <w:trPr>
          <w:trHeight w:val="640"/>
        </w:trPr>
        <w:tc>
          <w:tcPr>
            <w:tcW w:w="3020" w:type="dxa"/>
            <w:hideMark/>
          </w:tcPr>
          <w:p w14:paraId="3C6FAD6D"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案例规模</w:t>
            </w:r>
          </w:p>
        </w:tc>
        <w:tc>
          <w:tcPr>
            <w:tcW w:w="5336" w:type="dxa"/>
            <w:hideMark/>
          </w:tcPr>
          <w:p w14:paraId="235CFCD3"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上游数据源NCI新、老核心、13下游应用系统，300多应用</w:t>
            </w:r>
          </w:p>
        </w:tc>
      </w:tr>
      <w:tr w:rsidR="00216651" w:rsidRPr="00216651" w14:paraId="304ADBF2" w14:textId="77777777" w:rsidTr="00216651">
        <w:trPr>
          <w:trHeight w:val="320"/>
        </w:trPr>
        <w:tc>
          <w:tcPr>
            <w:tcW w:w="3020" w:type="dxa"/>
            <w:hideMark/>
          </w:tcPr>
          <w:p w14:paraId="0008BFC3"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实施范围</w:t>
            </w:r>
          </w:p>
        </w:tc>
        <w:tc>
          <w:tcPr>
            <w:tcW w:w="5336" w:type="dxa"/>
            <w:hideMark/>
          </w:tcPr>
          <w:p w14:paraId="6AB1565B" w14:textId="3382E0AF" w:rsidR="00216651" w:rsidRPr="0017147C" w:rsidRDefault="0017147C" w:rsidP="009A038F">
            <w:pPr>
              <w:widowControl/>
              <w:rPr>
                <w:rFonts w:ascii="SimSun" w:eastAsia="SimSun" w:hAnsi="SimSun" w:cs="Times New Roman"/>
                <w:bCs/>
                <w:color w:val="000000"/>
                <w:kern w:val="0"/>
              </w:rPr>
            </w:pPr>
            <w:r w:rsidRPr="0017147C">
              <w:rPr>
                <w:rFonts w:ascii="SimSun" w:eastAsia="SimSun" w:hAnsi="SimSun" w:cs="Times New Roman" w:hint="eastAsia"/>
                <w:bCs/>
                <w:color w:val="000000"/>
                <w:kern w:val="0"/>
              </w:rPr>
              <w:t>参见案例说明</w:t>
            </w:r>
          </w:p>
        </w:tc>
      </w:tr>
      <w:tr w:rsidR="00216651" w:rsidRPr="00216651" w14:paraId="11BE039E" w14:textId="77777777" w:rsidTr="00216651">
        <w:trPr>
          <w:trHeight w:val="320"/>
        </w:trPr>
        <w:tc>
          <w:tcPr>
            <w:tcW w:w="3020" w:type="dxa"/>
            <w:hideMark/>
          </w:tcPr>
          <w:p w14:paraId="42E48FD5"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实施时间</w:t>
            </w:r>
          </w:p>
        </w:tc>
        <w:tc>
          <w:tcPr>
            <w:tcW w:w="5336" w:type="dxa"/>
            <w:hideMark/>
          </w:tcPr>
          <w:p w14:paraId="556EABB4"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2013年至今</w:t>
            </w:r>
          </w:p>
        </w:tc>
      </w:tr>
      <w:tr w:rsidR="00216651" w:rsidRPr="00216651" w14:paraId="7BEABDCA" w14:textId="77777777" w:rsidTr="00216651">
        <w:trPr>
          <w:trHeight w:val="320"/>
        </w:trPr>
        <w:tc>
          <w:tcPr>
            <w:tcW w:w="3020" w:type="dxa"/>
            <w:hideMark/>
          </w:tcPr>
          <w:p w14:paraId="419D751A"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数据仓库+大数据技术</w:t>
            </w:r>
          </w:p>
        </w:tc>
        <w:tc>
          <w:tcPr>
            <w:tcW w:w="5336" w:type="dxa"/>
            <w:hideMark/>
          </w:tcPr>
          <w:p w14:paraId="50A242D5"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数据仓库MPP</w:t>
            </w:r>
          </w:p>
        </w:tc>
      </w:tr>
      <w:tr w:rsidR="00216651" w:rsidRPr="00216651" w14:paraId="23A7A3CA" w14:textId="77777777" w:rsidTr="00216651">
        <w:trPr>
          <w:trHeight w:val="320"/>
        </w:trPr>
        <w:tc>
          <w:tcPr>
            <w:tcW w:w="3020" w:type="dxa"/>
            <w:hideMark/>
          </w:tcPr>
          <w:p w14:paraId="777FFB78"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数据治理咨询</w:t>
            </w:r>
          </w:p>
        </w:tc>
        <w:tc>
          <w:tcPr>
            <w:tcW w:w="5336" w:type="dxa"/>
            <w:hideMark/>
          </w:tcPr>
          <w:p w14:paraId="03DF2C00" w14:textId="74E959CF" w:rsidR="00216651" w:rsidRPr="0017147C" w:rsidRDefault="0017147C" w:rsidP="009A038F">
            <w:pPr>
              <w:widowControl/>
              <w:rPr>
                <w:rFonts w:ascii="DengXian" w:eastAsia="DengXian" w:hAnsi="DengXian" w:cs="Times New Roman"/>
                <w:bCs/>
                <w:color w:val="000000"/>
                <w:kern w:val="0"/>
              </w:rPr>
            </w:pPr>
            <w:r w:rsidRPr="0017147C">
              <w:rPr>
                <w:rFonts w:ascii="DengXian" w:eastAsia="DengXian" w:hAnsi="DengXian" w:cs="Times New Roman" w:hint="eastAsia"/>
                <w:bCs/>
                <w:color w:val="000000"/>
                <w:kern w:val="0"/>
              </w:rPr>
              <w:t>无</w:t>
            </w:r>
          </w:p>
        </w:tc>
      </w:tr>
      <w:tr w:rsidR="00216651" w:rsidRPr="00216651" w14:paraId="6098196D" w14:textId="77777777" w:rsidTr="00216651">
        <w:trPr>
          <w:trHeight w:val="320"/>
        </w:trPr>
        <w:tc>
          <w:tcPr>
            <w:tcW w:w="3020" w:type="dxa"/>
            <w:hideMark/>
          </w:tcPr>
          <w:p w14:paraId="7143412A"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系统架构</w:t>
            </w:r>
          </w:p>
        </w:tc>
        <w:tc>
          <w:tcPr>
            <w:tcW w:w="5336" w:type="dxa"/>
            <w:hideMark/>
          </w:tcPr>
          <w:p w14:paraId="3C27DEB8"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准实时+批量ODS架构</w:t>
            </w:r>
          </w:p>
        </w:tc>
      </w:tr>
      <w:tr w:rsidR="00216651" w:rsidRPr="00216651" w14:paraId="4ACF8344" w14:textId="77777777" w:rsidTr="00216651">
        <w:trPr>
          <w:trHeight w:val="640"/>
        </w:trPr>
        <w:tc>
          <w:tcPr>
            <w:tcW w:w="3020" w:type="dxa"/>
            <w:hideMark/>
          </w:tcPr>
          <w:p w14:paraId="4614499B"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主要技术特点</w:t>
            </w:r>
          </w:p>
        </w:tc>
        <w:tc>
          <w:tcPr>
            <w:tcW w:w="5336" w:type="dxa"/>
            <w:hideMark/>
          </w:tcPr>
          <w:p w14:paraId="1358A570"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准实时数据处理</w:t>
            </w:r>
            <w:r w:rsidRPr="00216651">
              <w:rPr>
                <w:rFonts w:ascii="DengXian" w:eastAsia="DengXian" w:hAnsi="DengXian" w:cs="Times New Roman" w:hint="eastAsia"/>
                <w:color w:val="000000"/>
                <w:kern w:val="0"/>
              </w:rPr>
              <w:br/>
              <w:t>保险行业逻辑数据模型</w:t>
            </w:r>
          </w:p>
        </w:tc>
      </w:tr>
      <w:tr w:rsidR="00216651" w:rsidRPr="00216651" w14:paraId="1811993D" w14:textId="77777777" w:rsidTr="00216651">
        <w:trPr>
          <w:trHeight w:val="320"/>
        </w:trPr>
        <w:tc>
          <w:tcPr>
            <w:tcW w:w="3020" w:type="dxa"/>
            <w:hideMark/>
          </w:tcPr>
          <w:p w14:paraId="15EBAFC8"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lastRenderedPageBreak/>
              <w:t>现状</w:t>
            </w:r>
          </w:p>
        </w:tc>
        <w:tc>
          <w:tcPr>
            <w:tcW w:w="5336" w:type="dxa"/>
            <w:hideMark/>
          </w:tcPr>
          <w:p w14:paraId="0DC34A99"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持续投产运行中</w:t>
            </w:r>
          </w:p>
        </w:tc>
      </w:tr>
      <w:tr w:rsidR="00216651" w:rsidRPr="00216651" w14:paraId="06823EFE" w14:textId="77777777" w:rsidTr="00216651">
        <w:trPr>
          <w:trHeight w:val="320"/>
        </w:trPr>
        <w:tc>
          <w:tcPr>
            <w:tcW w:w="3020" w:type="dxa"/>
            <w:hideMark/>
          </w:tcPr>
          <w:p w14:paraId="763081D6"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主要参与人员</w:t>
            </w:r>
          </w:p>
        </w:tc>
        <w:tc>
          <w:tcPr>
            <w:tcW w:w="5336" w:type="dxa"/>
            <w:hideMark/>
          </w:tcPr>
          <w:p w14:paraId="3DF1F64A" w14:textId="51B3AC64" w:rsidR="00216651" w:rsidRPr="00216651" w:rsidRDefault="0017147C" w:rsidP="00216651">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王某明、刘某</w:t>
            </w:r>
            <w:r w:rsidR="00216651" w:rsidRPr="00216651">
              <w:rPr>
                <w:rFonts w:ascii="DengXian" w:eastAsia="DengXian" w:hAnsi="DengXian" w:cs="Times New Roman" w:hint="eastAsia"/>
                <w:color w:val="000000"/>
                <w:kern w:val="0"/>
              </w:rPr>
              <w:t>东等</w:t>
            </w:r>
          </w:p>
        </w:tc>
      </w:tr>
      <w:tr w:rsidR="00216651" w:rsidRPr="00216651" w14:paraId="1E1A82A3" w14:textId="77777777" w:rsidTr="00216651">
        <w:trPr>
          <w:trHeight w:val="640"/>
        </w:trPr>
        <w:tc>
          <w:tcPr>
            <w:tcW w:w="3020" w:type="dxa"/>
            <w:hideMark/>
          </w:tcPr>
          <w:p w14:paraId="4DB73C09"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经验</w:t>
            </w:r>
          </w:p>
        </w:tc>
        <w:tc>
          <w:tcPr>
            <w:tcW w:w="5336" w:type="dxa"/>
            <w:hideMark/>
          </w:tcPr>
          <w:p w14:paraId="09871418"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寿险行业数据模型设计</w:t>
            </w:r>
            <w:r w:rsidRPr="00216651">
              <w:rPr>
                <w:rFonts w:ascii="DengXian" w:eastAsia="DengXian" w:hAnsi="DengXian" w:cs="Times New Roman" w:hint="eastAsia"/>
                <w:color w:val="000000"/>
                <w:kern w:val="0"/>
              </w:rPr>
              <w:br/>
              <w:t>保险行业准实时ODS系统构建</w:t>
            </w:r>
          </w:p>
        </w:tc>
      </w:tr>
    </w:tbl>
    <w:p w14:paraId="7BF42BC3" w14:textId="77777777" w:rsidR="00216651" w:rsidRPr="00216651" w:rsidRDefault="00216651" w:rsidP="00216651"/>
    <w:p w14:paraId="15731433" w14:textId="464AFD0F" w:rsidR="00884F85" w:rsidRPr="00C15236" w:rsidRDefault="00884F85" w:rsidP="00A726CF">
      <w:pPr>
        <w:pStyle w:val="4"/>
      </w:pPr>
      <w:r w:rsidRPr="00C15236">
        <w:t>项目背景</w:t>
      </w:r>
    </w:p>
    <w:p w14:paraId="7ADAA9F0" w14:textId="77777777" w:rsidR="00884F85" w:rsidRPr="008C2FB7" w:rsidRDefault="00884F85" w:rsidP="008C2FB7">
      <w:pPr>
        <w:spacing w:line="360" w:lineRule="auto"/>
        <w:ind w:firstLineChars="200" w:firstLine="480"/>
        <w:rPr>
          <w:rFonts w:ascii="SimSun" w:eastAsia="SimSun" w:hAnsi="SimSun"/>
        </w:rPr>
      </w:pPr>
      <w:r w:rsidRPr="008C2FB7">
        <w:rPr>
          <w:rFonts w:ascii="SimSun" w:eastAsia="SimSun" w:hAnsi="SimSun"/>
        </w:rPr>
        <w:t>新华人寿保险于2013年8月采用Teradata数据仓库平台作为全行级“数据集成平台”的主系统。平台建设目的是为了通过汇总、整合企业数据，搭建统一、高质量、企业级的数据与信息服务平台，改变现有系统间分散孤立的IT架构状况；提升统计报表、数据分析和决策支持的速度和能力，满足企业对内加强数据管控、降低运营成本，对外提升品牌竞争能力、增加营销收入等要求。具体来看，平台系统建设的目标可以包括：</w:t>
      </w:r>
    </w:p>
    <w:p w14:paraId="31B64BFB" w14:textId="0E59203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符合新华保险公司IT规划要求，符合新核心项目群的总体规划和设计要求；</w:t>
      </w:r>
    </w:p>
    <w:p w14:paraId="398DB653" w14:textId="64562926"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改变当前系统与系统间点对点的数据交互模式，建立统一的企业级数据服务平台；</w:t>
      </w:r>
    </w:p>
    <w:p w14:paraId="0C985556" w14:textId="53731D9B"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对数据集成平台中的数据实现标准化、规范化管理；</w:t>
      </w:r>
    </w:p>
    <w:p w14:paraId="4B0E8D26" w14:textId="57D9262E"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数据集成平台中的基础数据应满足相关系统的数据要求；</w:t>
      </w:r>
    </w:p>
    <w:p w14:paraId="0849BA88" w14:textId="20BD2A40"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数据集成平台要满足系统间批量数据交换需求及准实时系统查询需求；</w:t>
      </w:r>
    </w:p>
    <w:p w14:paraId="0F85B113" w14:textId="775ABE0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配合新系统上线，解决相关系统与核心系统的数据接口问题；</w:t>
      </w:r>
    </w:p>
    <w:p w14:paraId="16E6EC30" w14:textId="77777777" w:rsidR="00884F85" w:rsidRPr="00C15236" w:rsidRDefault="00884F85" w:rsidP="00C15236">
      <w:pPr>
        <w:rPr>
          <w:rFonts w:ascii="SimSun" w:eastAsia="SimSun" w:hAnsi="SimSun"/>
        </w:rPr>
      </w:pPr>
      <w:r w:rsidRPr="00C15236">
        <w:rPr>
          <w:rFonts w:ascii="SimSun" w:eastAsia="SimSun" w:hAnsi="SimSun"/>
        </w:rPr>
        <w:tab/>
      </w:r>
    </w:p>
    <w:p w14:paraId="33FFAF73" w14:textId="6545DA77" w:rsidR="00884F85" w:rsidRPr="00C15236" w:rsidRDefault="00884F85" w:rsidP="00A726CF">
      <w:pPr>
        <w:pStyle w:val="4"/>
      </w:pPr>
      <w:r w:rsidRPr="00C15236">
        <w:lastRenderedPageBreak/>
        <w:t>项目成果</w:t>
      </w:r>
    </w:p>
    <w:p w14:paraId="72FAA99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新平台上线后实现如下项目成果：</w:t>
      </w:r>
    </w:p>
    <w:p w14:paraId="1548E56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一、消除对核心系统的依赖，实现系统解耦</w:t>
      </w:r>
    </w:p>
    <w:p w14:paraId="2894F795"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通过新平台的建设，实现数据接口和交换的一致化、稳定化，实现系统解耦。</w:t>
      </w:r>
    </w:p>
    <w:p w14:paraId="75EAE931" w14:textId="5261E89C"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提供企业数据模型，屏蔽数据供需双方的变化及其相互影响</w:t>
      </w:r>
    </w:p>
    <w:p w14:paraId="5000E361" w14:textId="0D360A36"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4D1FCD57"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通过新平台实现数据接口和交换的一致化、稳定化，使得新、老核心业务系统切换的过程中间，能够有一个集中的点来屏蔽对下游系统的影响。</w:t>
      </w:r>
    </w:p>
    <w:p w14:paraId="581558E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新平台提供了：</w:t>
      </w:r>
    </w:p>
    <w:p w14:paraId="4601392A" w14:textId="690C6BFF"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提供整合的企业级数据模型，屏蔽数据供需双方的变化及其相互影响</w:t>
      </w:r>
    </w:p>
    <w:p w14:paraId="37FADB85" w14:textId="0626569B"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2DC4604C"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二、对企业数据进行集成，消除网状数据交换</w:t>
      </w:r>
    </w:p>
    <w:p w14:paraId="61AF1B6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通过新平台的建设，对企业数据进行集成，消除网状数据交换，将能够更好的为新华保险提供：</w:t>
      </w:r>
    </w:p>
    <w:p w14:paraId="15BBF9F2" w14:textId="6F5F651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统一的基础数据和更好更快的决策基础</w:t>
      </w:r>
    </w:p>
    <w:p w14:paraId="6770681E" w14:textId="2EB2608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保证了数据的一致性、完整性</w:t>
      </w:r>
    </w:p>
    <w:p w14:paraId="5E57315F" w14:textId="1E61DB77"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更低的成本</w:t>
      </w:r>
    </w:p>
    <w:p w14:paraId="520DE79F" w14:textId="1BCD7798"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以及更好更及时的决策</w:t>
      </w:r>
    </w:p>
    <w:p w14:paraId="7A7B9DFE" w14:textId="12AA4871"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 xml:space="preserve"> </w:t>
      </w:r>
      <w:r w:rsidR="003F31A9">
        <w:rPr>
          <w:rFonts w:ascii="宋体" w:hAnsi="宋体" w:cs="Arial"/>
          <w:noProof/>
          <w:szCs w:val="21"/>
        </w:rPr>
        <w:lastRenderedPageBreak/>
        <w:drawing>
          <wp:inline distT="0" distB="0" distL="0" distR="0" wp14:anchorId="45A5C5F5" wp14:editId="2CEBE9E1">
            <wp:extent cx="5270500" cy="1758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58665"/>
                    </a:xfrm>
                    <a:prstGeom prst="rect">
                      <a:avLst/>
                    </a:prstGeom>
                    <a:noFill/>
                  </pic:spPr>
                </pic:pic>
              </a:graphicData>
            </a:graphic>
          </wp:inline>
        </w:drawing>
      </w:r>
    </w:p>
    <w:p w14:paraId="7369144E"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三、建立数据交换与应用的企业标准，实现企业数据的治理与管控</w:t>
      </w:r>
    </w:p>
    <w:p w14:paraId="213CD811"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原来新华保险的数据采集、传输、交换、共享、应用缺乏一个一致的标准，数据在企业内部流转过程中，产生了大量的不一致和冗余，数据质量难以保障。严重影响对数据的使用和对业务的支撑。</w:t>
      </w:r>
    </w:p>
    <w:p w14:paraId="3639D50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通过新平台的建设，建立数据交换与应用的企业标准，实现企业数据的治理与管控。以新平台为依托，从数据模型、元数据和数据质量入手，建立企业数据的交换与应用标准。</w:t>
      </w:r>
    </w:p>
    <w:p w14:paraId="63AE20A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四、提高数据交换和使用的及时性，为一线生产经营提供动态智能</w:t>
      </w:r>
    </w:p>
    <w:p w14:paraId="2A272F23"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提高数据（信息）交换和使用的及时性，Teradata为新华保险提供动态智能（AI）实践。动态智能（AI）指的是为不仅仅为企业管理决策者，同时为企业一线员工、分公司业务人员等提供基于数据事实的（准）实时智能服务。即通过数据集成平台，为分公司、一线运营人员提供接近实时的精细化管理、精准营销管理支撑功能。</w:t>
      </w:r>
    </w:p>
    <w:p w14:paraId="69F675AB" w14:textId="77777777" w:rsidR="00BD7830" w:rsidRPr="00C15236" w:rsidRDefault="00BD7830" w:rsidP="00C15236">
      <w:pPr>
        <w:rPr>
          <w:rFonts w:ascii="SimSun" w:eastAsia="SimSun" w:hAnsi="SimSun"/>
        </w:rPr>
      </w:pPr>
    </w:p>
    <w:p w14:paraId="36144EF5" w14:textId="77777777" w:rsidR="002068A0" w:rsidRPr="00E9706F" w:rsidRDefault="002068A0" w:rsidP="00BD7830">
      <w:pPr>
        <w:spacing w:line="360" w:lineRule="auto"/>
        <w:ind w:firstLineChars="200" w:firstLine="480"/>
        <w:rPr>
          <w:rFonts w:ascii="SimSun" w:eastAsia="SimSun" w:hAnsi="SimSun"/>
        </w:rPr>
      </w:pPr>
    </w:p>
    <w:p w14:paraId="5550C2FA" w14:textId="77777777" w:rsidR="00D0511E" w:rsidRPr="00E9706F" w:rsidRDefault="00D0511E" w:rsidP="00BD7830">
      <w:pPr>
        <w:spacing w:line="360" w:lineRule="auto"/>
        <w:ind w:firstLineChars="200" w:firstLine="480"/>
        <w:rPr>
          <w:rFonts w:ascii="SimSun" w:eastAsia="SimSun" w:hAnsi="SimSun"/>
        </w:rPr>
      </w:pPr>
    </w:p>
    <w:p w14:paraId="1654C3FE" w14:textId="4B2D15A7" w:rsidR="00D0511E" w:rsidRPr="00E9706F" w:rsidRDefault="00D0511E" w:rsidP="00BD7830">
      <w:pPr>
        <w:spacing w:line="360" w:lineRule="auto"/>
        <w:ind w:firstLineChars="200" w:firstLine="480"/>
        <w:rPr>
          <w:rFonts w:ascii="SimSun" w:eastAsia="SimSun" w:hAnsi="SimSun"/>
        </w:rPr>
      </w:pPr>
    </w:p>
    <w:sectPr w:rsidR="00D0511E" w:rsidRPr="00E9706F" w:rsidSect="00BB38C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4D"/>
    <w:family w:val="modern"/>
    <w:notTrueType/>
    <w:pitch w:val="fixed"/>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96D"/>
    <w:multiLevelType w:val="hybridMultilevel"/>
    <w:tmpl w:val="8086277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083597B"/>
    <w:multiLevelType w:val="hybridMultilevel"/>
    <w:tmpl w:val="01CADC8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0B017AC"/>
    <w:multiLevelType w:val="hybridMultilevel"/>
    <w:tmpl w:val="A8F8C276"/>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00F024F0"/>
    <w:multiLevelType w:val="hybridMultilevel"/>
    <w:tmpl w:val="46AA625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1D4618F"/>
    <w:multiLevelType w:val="hybridMultilevel"/>
    <w:tmpl w:val="E526812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nsid w:val="0353367B"/>
    <w:multiLevelType w:val="hybridMultilevel"/>
    <w:tmpl w:val="00EEF76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4CD6D08"/>
    <w:multiLevelType w:val="hybridMultilevel"/>
    <w:tmpl w:val="46E2E2D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
    <w:nsid w:val="05FC3C57"/>
    <w:multiLevelType w:val="hybridMultilevel"/>
    <w:tmpl w:val="208E438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nsid w:val="06383435"/>
    <w:multiLevelType w:val="hybridMultilevel"/>
    <w:tmpl w:val="5FFA52A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0BA31789"/>
    <w:multiLevelType w:val="hybridMultilevel"/>
    <w:tmpl w:val="DCF8941C"/>
    <w:lvl w:ilvl="0" w:tplc="04090009">
      <w:start w:val="1"/>
      <w:numFmt w:val="bullet"/>
      <w:lvlText w:val=""/>
      <w:lvlJc w:val="left"/>
      <w:pPr>
        <w:ind w:left="900" w:hanging="480"/>
      </w:pPr>
      <w:rPr>
        <w:rFonts w:ascii="Wingdings" w:hAnsi="Wingdings" w:hint="default"/>
      </w:rPr>
    </w:lvl>
    <w:lvl w:ilvl="1" w:tplc="8C80B674">
      <w:numFmt w:val="bullet"/>
      <w:lvlText w:val="•"/>
      <w:lvlJc w:val="left"/>
      <w:pPr>
        <w:ind w:left="1260" w:hanging="360"/>
      </w:pPr>
      <w:rPr>
        <w:rFonts w:ascii="SimSun" w:eastAsia="SimSun" w:hAnsi="SimSun" w:cstheme="minorBidi" w:hint="eastAsia"/>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0C677BE7"/>
    <w:multiLevelType w:val="hybridMultilevel"/>
    <w:tmpl w:val="1DDE561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nsid w:val="0CE023EB"/>
    <w:multiLevelType w:val="hybridMultilevel"/>
    <w:tmpl w:val="1864F6D8"/>
    <w:lvl w:ilvl="0" w:tplc="04090009">
      <w:start w:val="1"/>
      <w:numFmt w:val="bullet"/>
      <w:lvlText w:val=""/>
      <w:lvlJc w:val="left"/>
      <w:pPr>
        <w:ind w:left="480" w:hanging="480"/>
      </w:pPr>
      <w:rPr>
        <w:rFonts w:ascii="Wingdings" w:hAnsi="Wingdings" w:hint="default"/>
      </w:rPr>
    </w:lvl>
    <w:lvl w:ilvl="1" w:tplc="7996164A">
      <w:numFmt w:val="bullet"/>
      <w:lvlText w:val="•"/>
      <w:lvlJc w:val="left"/>
      <w:pPr>
        <w:ind w:left="840" w:hanging="360"/>
      </w:pPr>
      <w:rPr>
        <w:rFonts w:ascii="SimSun" w:eastAsia="SimSun" w:hAnsi="SimSun" w:cstheme="minorBidi"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0E520DCE"/>
    <w:multiLevelType w:val="hybridMultilevel"/>
    <w:tmpl w:val="6F568E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nsid w:val="0EA75E34"/>
    <w:multiLevelType w:val="hybridMultilevel"/>
    <w:tmpl w:val="5B8A43C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4">
    <w:nsid w:val="104D7F0E"/>
    <w:multiLevelType w:val="hybridMultilevel"/>
    <w:tmpl w:val="2B26CF9A"/>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11010A18"/>
    <w:multiLevelType w:val="hybridMultilevel"/>
    <w:tmpl w:val="DEE6D48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
    <w:nsid w:val="169929E5"/>
    <w:multiLevelType w:val="hybridMultilevel"/>
    <w:tmpl w:val="EC344E5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nsid w:val="1DEB7695"/>
    <w:multiLevelType w:val="hybridMultilevel"/>
    <w:tmpl w:val="2D3CB07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9">
    <w:nsid w:val="2050478D"/>
    <w:multiLevelType w:val="hybridMultilevel"/>
    <w:tmpl w:val="43D0E16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17703FE"/>
    <w:multiLevelType w:val="hybridMultilevel"/>
    <w:tmpl w:val="C882C4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50206BF"/>
    <w:multiLevelType w:val="hybridMultilevel"/>
    <w:tmpl w:val="FC84F30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A967E11"/>
    <w:multiLevelType w:val="hybridMultilevel"/>
    <w:tmpl w:val="59C2C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12232B3"/>
    <w:multiLevelType w:val="hybridMultilevel"/>
    <w:tmpl w:val="92F8DB4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34F424DC"/>
    <w:multiLevelType w:val="hybridMultilevel"/>
    <w:tmpl w:val="AD307E0A"/>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356468A6"/>
    <w:multiLevelType w:val="hybridMultilevel"/>
    <w:tmpl w:val="05FA99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357D4BE6"/>
    <w:multiLevelType w:val="hybridMultilevel"/>
    <w:tmpl w:val="01B2777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37CF2E5E"/>
    <w:multiLevelType w:val="hybridMultilevel"/>
    <w:tmpl w:val="1A78CA7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80679EB"/>
    <w:multiLevelType w:val="hybridMultilevel"/>
    <w:tmpl w:val="07D0272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391C2BDD"/>
    <w:multiLevelType w:val="hybridMultilevel"/>
    <w:tmpl w:val="6BE6B46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0">
    <w:nsid w:val="3A08167C"/>
    <w:multiLevelType w:val="hybridMultilevel"/>
    <w:tmpl w:val="6F72CF5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1">
    <w:nsid w:val="3A4811F1"/>
    <w:multiLevelType w:val="hybridMultilevel"/>
    <w:tmpl w:val="224E7F1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E517693"/>
    <w:multiLevelType w:val="hybridMultilevel"/>
    <w:tmpl w:val="57860E0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3F6F4D5C"/>
    <w:multiLevelType w:val="hybridMultilevel"/>
    <w:tmpl w:val="2E1AFE7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43931418"/>
    <w:multiLevelType w:val="hybridMultilevel"/>
    <w:tmpl w:val="3BB6407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nsid w:val="448C75C7"/>
    <w:multiLevelType w:val="hybridMultilevel"/>
    <w:tmpl w:val="2F7ABD60"/>
    <w:lvl w:ilvl="0" w:tplc="0409000D">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44955D2F"/>
    <w:multiLevelType w:val="hybridMultilevel"/>
    <w:tmpl w:val="524EE5F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44C759B0"/>
    <w:multiLevelType w:val="multilevel"/>
    <w:tmpl w:val="B980D2C2"/>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9">
    <w:nsid w:val="486D47D8"/>
    <w:multiLevelType w:val="hybridMultilevel"/>
    <w:tmpl w:val="D0B8B12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48955211"/>
    <w:multiLevelType w:val="hybridMultilevel"/>
    <w:tmpl w:val="1D1E5DBE"/>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4A794A0C"/>
    <w:multiLevelType w:val="hybridMultilevel"/>
    <w:tmpl w:val="E16EF1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4E5D0EE8"/>
    <w:multiLevelType w:val="hybridMultilevel"/>
    <w:tmpl w:val="19EA7B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3">
    <w:nsid w:val="51882415"/>
    <w:multiLevelType w:val="hybridMultilevel"/>
    <w:tmpl w:val="02C0D1C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4">
    <w:nsid w:val="51893B0F"/>
    <w:multiLevelType w:val="hybridMultilevel"/>
    <w:tmpl w:val="06F655E4"/>
    <w:lvl w:ilvl="0" w:tplc="26C0F56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55380BAA"/>
    <w:multiLevelType w:val="hybridMultilevel"/>
    <w:tmpl w:val="59428D7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56681731"/>
    <w:multiLevelType w:val="hybridMultilevel"/>
    <w:tmpl w:val="F220636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58E16A15"/>
    <w:multiLevelType w:val="hybridMultilevel"/>
    <w:tmpl w:val="E794DB3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8">
    <w:nsid w:val="5B841E3A"/>
    <w:multiLevelType w:val="hybridMultilevel"/>
    <w:tmpl w:val="A386B40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9">
    <w:nsid w:val="60486550"/>
    <w:multiLevelType w:val="hybridMultilevel"/>
    <w:tmpl w:val="E648F900"/>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0">
    <w:nsid w:val="61D43FC1"/>
    <w:multiLevelType w:val="hybridMultilevel"/>
    <w:tmpl w:val="014C14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1">
    <w:nsid w:val="62080FE7"/>
    <w:multiLevelType w:val="hybridMultilevel"/>
    <w:tmpl w:val="6400DBAC"/>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2">
    <w:nsid w:val="6341707D"/>
    <w:multiLevelType w:val="hybridMultilevel"/>
    <w:tmpl w:val="5CC099F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nsid w:val="6403011E"/>
    <w:multiLevelType w:val="hybridMultilevel"/>
    <w:tmpl w:val="C26C284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4">
    <w:nsid w:val="64D5095A"/>
    <w:multiLevelType w:val="hybridMultilevel"/>
    <w:tmpl w:val="C8F623BC"/>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5">
    <w:nsid w:val="66870A58"/>
    <w:multiLevelType w:val="hybridMultilevel"/>
    <w:tmpl w:val="2A7AEF0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6">
    <w:nsid w:val="6754571E"/>
    <w:multiLevelType w:val="hybridMultilevel"/>
    <w:tmpl w:val="B262DF5C"/>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7">
    <w:nsid w:val="6BE86CF6"/>
    <w:multiLevelType w:val="hybridMultilevel"/>
    <w:tmpl w:val="B8F6403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8">
    <w:nsid w:val="6C887C9E"/>
    <w:multiLevelType w:val="hybridMultilevel"/>
    <w:tmpl w:val="F928F97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9">
    <w:nsid w:val="6C9D0C7F"/>
    <w:multiLevelType w:val="hybridMultilevel"/>
    <w:tmpl w:val="208C0DE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0">
    <w:nsid w:val="6CBF307B"/>
    <w:multiLevelType w:val="hybridMultilevel"/>
    <w:tmpl w:val="4F409BD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1">
    <w:nsid w:val="6EF625C7"/>
    <w:multiLevelType w:val="hybridMultilevel"/>
    <w:tmpl w:val="EBCED3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2">
    <w:nsid w:val="6FEA35E2"/>
    <w:multiLevelType w:val="hybridMultilevel"/>
    <w:tmpl w:val="9828B67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3">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03E4D7D"/>
    <w:multiLevelType w:val="hybridMultilevel"/>
    <w:tmpl w:val="D646E26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72840BCF"/>
    <w:multiLevelType w:val="hybridMultilevel"/>
    <w:tmpl w:val="8E444AC0"/>
    <w:lvl w:ilvl="0" w:tplc="04090009">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
    <w:nsid w:val="74AD5C11"/>
    <w:multiLevelType w:val="hybridMultilevel"/>
    <w:tmpl w:val="A18638A2"/>
    <w:lvl w:ilvl="0" w:tplc="04090009">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7">
    <w:nsid w:val="77362772"/>
    <w:multiLevelType w:val="hybridMultilevel"/>
    <w:tmpl w:val="14BA845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8">
    <w:nsid w:val="78360B16"/>
    <w:multiLevelType w:val="hybridMultilevel"/>
    <w:tmpl w:val="8D020B2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9">
    <w:nsid w:val="7AA57159"/>
    <w:multiLevelType w:val="hybridMultilevel"/>
    <w:tmpl w:val="41F4890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0">
    <w:nsid w:val="7B4720BF"/>
    <w:multiLevelType w:val="hybridMultilevel"/>
    <w:tmpl w:val="0E82F9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1">
    <w:nsid w:val="7C715E31"/>
    <w:multiLevelType w:val="hybridMultilevel"/>
    <w:tmpl w:val="A680EDB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nsid w:val="7CAE615B"/>
    <w:multiLevelType w:val="hybridMultilevel"/>
    <w:tmpl w:val="3668893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7EAE2915"/>
    <w:multiLevelType w:val="hybridMultilevel"/>
    <w:tmpl w:val="880CBE0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8"/>
  </w:num>
  <w:num w:numId="2">
    <w:abstractNumId w:val="17"/>
  </w:num>
  <w:num w:numId="3">
    <w:abstractNumId w:val="32"/>
  </w:num>
  <w:num w:numId="4">
    <w:abstractNumId w:val="63"/>
  </w:num>
  <w:num w:numId="5">
    <w:abstractNumId w:val="71"/>
  </w:num>
  <w:num w:numId="6">
    <w:abstractNumId w:val="47"/>
  </w:num>
  <w:num w:numId="7">
    <w:abstractNumId w:val="68"/>
  </w:num>
  <w:num w:numId="8">
    <w:abstractNumId w:val="7"/>
  </w:num>
  <w:num w:numId="9">
    <w:abstractNumId w:val="52"/>
  </w:num>
  <w:num w:numId="10">
    <w:abstractNumId w:val="33"/>
  </w:num>
  <w:num w:numId="11">
    <w:abstractNumId w:val="69"/>
  </w:num>
  <w:num w:numId="12">
    <w:abstractNumId w:val="16"/>
  </w:num>
  <w:num w:numId="13">
    <w:abstractNumId w:val="22"/>
  </w:num>
  <w:num w:numId="14">
    <w:abstractNumId w:val="28"/>
  </w:num>
  <w:num w:numId="15">
    <w:abstractNumId w:val="62"/>
  </w:num>
  <w:num w:numId="16">
    <w:abstractNumId w:val="2"/>
  </w:num>
  <w:num w:numId="17">
    <w:abstractNumId w:val="26"/>
  </w:num>
  <w:num w:numId="18">
    <w:abstractNumId w:val="1"/>
  </w:num>
  <w:num w:numId="19">
    <w:abstractNumId w:val="49"/>
  </w:num>
  <w:num w:numId="20">
    <w:abstractNumId w:val="39"/>
  </w:num>
  <w:num w:numId="21">
    <w:abstractNumId w:val="14"/>
  </w:num>
  <w:num w:numId="22">
    <w:abstractNumId w:val="53"/>
  </w:num>
  <w:num w:numId="23">
    <w:abstractNumId w:val="34"/>
  </w:num>
  <w:num w:numId="24">
    <w:abstractNumId w:val="59"/>
  </w:num>
  <w:num w:numId="25">
    <w:abstractNumId w:val="29"/>
  </w:num>
  <w:num w:numId="26">
    <w:abstractNumId w:val="43"/>
  </w:num>
  <w:num w:numId="27">
    <w:abstractNumId w:val="9"/>
  </w:num>
  <w:num w:numId="28">
    <w:abstractNumId w:val="61"/>
  </w:num>
  <w:num w:numId="29">
    <w:abstractNumId w:val="56"/>
  </w:num>
  <w:num w:numId="30">
    <w:abstractNumId w:val="13"/>
  </w:num>
  <w:num w:numId="31">
    <w:abstractNumId w:val="45"/>
  </w:num>
  <w:num w:numId="32">
    <w:abstractNumId w:val="42"/>
  </w:num>
  <w:num w:numId="33">
    <w:abstractNumId w:val="6"/>
  </w:num>
  <w:num w:numId="34">
    <w:abstractNumId w:val="55"/>
  </w:num>
  <w:num w:numId="35">
    <w:abstractNumId w:val="31"/>
  </w:num>
  <w:num w:numId="36">
    <w:abstractNumId w:val="60"/>
  </w:num>
  <w:num w:numId="37">
    <w:abstractNumId w:val="50"/>
  </w:num>
  <w:num w:numId="38">
    <w:abstractNumId w:val="3"/>
  </w:num>
  <w:num w:numId="39">
    <w:abstractNumId w:val="25"/>
  </w:num>
  <w:num w:numId="40">
    <w:abstractNumId w:val="10"/>
  </w:num>
  <w:num w:numId="41">
    <w:abstractNumId w:val="15"/>
  </w:num>
  <w:num w:numId="42">
    <w:abstractNumId w:val="0"/>
  </w:num>
  <w:num w:numId="43">
    <w:abstractNumId w:val="44"/>
  </w:num>
  <w:num w:numId="44">
    <w:abstractNumId w:val="51"/>
  </w:num>
  <w:num w:numId="45">
    <w:abstractNumId w:val="41"/>
  </w:num>
  <w:num w:numId="46">
    <w:abstractNumId w:val="70"/>
  </w:num>
  <w:num w:numId="47">
    <w:abstractNumId w:val="73"/>
  </w:num>
  <w:num w:numId="48">
    <w:abstractNumId w:val="8"/>
  </w:num>
  <w:num w:numId="49">
    <w:abstractNumId w:val="12"/>
  </w:num>
  <w:num w:numId="50">
    <w:abstractNumId w:val="36"/>
  </w:num>
  <w:num w:numId="51">
    <w:abstractNumId w:val="40"/>
  </w:num>
  <w:num w:numId="52">
    <w:abstractNumId w:val="30"/>
  </w:num>
  <w:num w:numId="53">
    <w:abstractNumId w:val="57"/>
  </w:num>
  <w:num w:numId="54">
    <w:abstractNumId w:val="4"/>
  </w:num>
  <w:num w:numId="55">
    <w:abstractNumId w:val="20"/>
  </w:num>
  <w:num w:numId="56">
    <w:abstractNumId w:val="54"/>
  </w:num>
  <w:num w:numId="57">
    <w:abstractNumId w:val="46"/>
  </w:num>
  <w:num w:numId="58">
    <w:abstractNumId w:val="27"/>
  </w:num>
  <w:num w:numId="59">
    <w:abstractNumId w:val="18"/>
  </w:num>
  <w:num w:numId="60">
    <w:abstractNumId w:val="67"/>
  </w:num>
  <w:num w:numId="61">
    <w:abstractNumId w:val="65"/>
  </w:num>
  <w:num w:numId="62">
    <w:abstractNumId w:val="11"/>
  </w:num>
  <w:num w:numId="63">
    <w:abstractNumId w:val="66"/>
  </w:num>
  <w:num w:numId="64">
    <w:abstractNumId w:val="64"/>
  </w:num>
  <w:num w:numId="65">
    <w:abstractNumId w:val="19"/>
  </w:num>
  <w:num w:numId="66">
    <w:abstractNumId w:val="35"/>
  </w:num>
  <w:num w:numId="67">
    <w:abstractNumId w:val="72"/>
  </w:num>
  <w:num w:numId="68">
    <w:abstractNumId w:val="37"/>
  </w:num>
  <w:num w:numId="69">
    <w:abstractNumId w:val="23"/>
  </w:num>
  <w:num w:numId="70">
    <w:abstractNumId w:val="24"/>
  </w:num>
  <w:num w:numId="71">
    <w:abstractNumId w:val="48"/>
  </w:num>
  <w:num w:numId="72">
    <w:abstractNumId w:val="21"/>
  </w:num>
  <w:num w:numId="73">
    <w:abstractNumId w:val="58"/>
  </w:num>
  <w:num w:numId="74">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9D"/>
    <w:rsid w:val="0001728C"/>
    <w:rsid w:val="000229D3"/>
    <w:rsid w:val="0003328D"/>
    <w:rsid w:val="00041DF8"/>
    <w:rsid w:val="00052E29"/>
    <w:rsid w:val="00055B19"/>
    <w:rsid w:val="0005738A"/>
    <w:rsid w:val="00057EE0"/>
    <w:rsid w:val="00064690"/>
    <w:rsid w:val="000729EE"/>
    <w:rsid w:val="000805BE"/>
    <w:rsid w:val="00081721"/>
    <w:rsid w:val="000953C3"/>
    <w:rsid w:val="000B44D3"/>
    <w:rsid w:val="000B5148"/>
    <w:rsid w:val="000C0181"/>
    <w:rsid w:val="000C1FB2"/>
    <w:rsid w:val="000D7146"/>
    <w:rsid w:val="000E4356"/>
    <w:rsid w:val="000E696D"/>
    <w:rsid w:val="000E748F"/>
    <w:rsid w:val="000F7023"/>
    <w:rsid w:val="001130CF"/>
    <w:rsid w:val="00114172"/>
    <w:rsid w:val="0013127E"/>
    <w:rsid w:val="001534D4"/>
    <w:rsid w:val="00156469"/>
    <w:rsid w:val="00156D8C"/>
    <w:rsid w:val="0017147C"/>
    <w:rsid w:val="00187281"/>
    <w:rsid w:val="00194DC3"/>
    <w:rsid w:val="001975AA"/>
    <w:rsid w:val="001B6F26"/>
    <w:rsid w:val="001C31C1"/>
    <w:rsid w:val="001E2AC3"/>
    <w:rsid w:val="001F31E9"/>
    <w:rsid w:val="002068A0"/>
    <w:rsid w:val="00216651"/>
    <w:rsid w:val="002238E9"/>
    <w:rsid w:val="0022555C"/>
    <w:rsid w:val="00226F65"/>
    <w:rsid w:val="002311ED"/>
    <w:rsid w:val="0025103A"/>
    <w:rsid w:val="00254CEF"/>
    <w:rsid w:val="00267B37"/>
    <w:rsid w:val="00272D33"/>
    <w:rsid w:val="00277618"/>
    <w:rsid w:val="00291D7E"/>
    <w:rsid w:val="00293EEA"/>
    <w:rsid w:val="002A287D"/>
    <w:rsid w:val="002B07B6"/>
    <w:rsid w:val="002B57BB"/>
    <w:rsid w:val="002C37C3"/>
    <w:rsid w:val="002C742F"/>
    <w:rsid w:val="002D5C7D"/>
    <w:rsid w:val="002E1D08"/>
    <w:rsid w:val="002E31A9"/>
    <w:rsid w:val="002E5605"/>
    <w:rsid w:val="002F6FF5"/>
    <w:rsid w:val="00302F2B"/>
    <w:rsid w:val="003057FD"/>
    <w:rsid w:val="00305985"/>
    <w:rsid w:val="00310A58"/>
    <w:rsid w:val="00321552"/>
    <w:rsid w:val="00321C36"/>
    <w:rsid w:val="00322CDC"/>
    <w:rsid w:val="00330CFD"/>
    <w:rsid w:val="003436C1"/>
    <w:rsid w:val="003447CD"/>
    <w:rsid w:val="00344EC0"/>
    <w:rsid w:val="00350E5D"/>
    <w:rsid w:val="0035122C"/>
    <w:rsid w:val="00352B68"/>
    <w:rsid w:val="00361300"/>
    <w:rsid w:val="003640D4"/>
    <w:rsid w:val="00365E0A"/>
    <w:rsid w:val="0037659F"/>
    <w:rsid w:val="00377E2F"/>
    <w:rsid w:val="00390851"/>
    <w:rsid w:val="00391EE0"/>
    <w:rsid w:val="003A10AB"/>
    <w:rsid w:val="003A3BBC"/>
    <w:rsid w:val="003A48FD"/>
    <w:rsid w:val="003B0842"/>
    <w:rsid w:val="003B43F3"/>
    <w:rsid w:val="003B5F55"/>
    <w:rsid w:val="003B746F"/>
    <w:rsid w:val="003C7973"/>
    <w:rsid w:val="003E13FC"/>
    <w:rsid w:val="003E6043"/>
    <w:rsid w:val="003F043A"/>
    <w:rsid w:val="003F1018"/>
    <w:rsid w:val="003F31A9"/>
    <w:rsid w:val="003F3DFA"/>
    <w:rsid w:val="0040604E"/>
    <w:rsid w:val="0040768C"/>
    <w:rsid w:val="00410C9C"/>
    <w:rsid w:val="00416CF2"/>
    <w:rsid w:val="00426FA2"/>
    <w:rsid w:val="00432597"/>
    <w:rsid w:val="004406A0"/>
    <w:rsid w:val="004406A9"/>
    <w:rsid w:val="00451808"/>
    <w:rsid w:val="004519D0"/>
    <w:rsid w:val="004519F2"/>
    <w:rsid w:val="00460FF3"/>
    <w:rsid w:val="004624B0"/>
    <w:rsid w:val="00462C5B"/>
    <w:rsid w:val="00462E99"/>
    <w:rsid w:val="00466BA6"/>
    <w:rsid w:val="00475751"/>
    <w:rsid w:val="0048358F"/>
    <w:rsid w:val="00483F60"/>
    <w:rsid w:val="00491846"/>
    <w:rsid w:val="0049648A"/>
    <w:rsid w:val="004A4C6A"/>
    <w:rsid w:val="004A56EB"/>
    <w:rsid w:val="004A6BB5"/>
    <w:rsid w:val="004C69BB"/>
    <w:rsid w:val="004C78A7"/>
    <w:rsid w:val="004E407B"/>
    <w:rsid w:val="00516F01"/>
    <w:rsid w:val="00517471"/>
    <w:rsid w:val="0052021D"/>
    <w:rsid w:val="00523096"/>
    <w:rsid w:val="005454BD"/>
    <w:rsid w:val="00550D3A"/>
    <w:rsid w:val="00552D88"/>
    <w:rsid w:val="005554F0"/>
    <w:rsid w:val="00561A4C"/>
    <w:rsid w:val="00570A94"/>
    <w:rsid w:val="0058118E"/>
    <w:rsid w:val="0058652B"/>
    <w:rsid w:val="005866B6"/>
    <w:rsid w:val="0059267B"/>
    <w:rsid w:val="005A1AEF"/>
    <w:rsid w:val="005A25EE"/>
    <w:rsid w:val="005A29FF"/>
    <w:rsid w:val="005A7DD7"/>
    <w:rsid w:val="005B69B1"/>
    <w:rsid w:val="005C0E33"/>
    <w:rsid w:val="005C598D"/>
    <w:rsid w:val="005D097C"/>
    <w:rsid w:val="005D2D51"/>
    <w:rsid w:val="005E161D"/>
    <w:rsid w:val="005F746F"/>
    <w:rsid w:val="006050BA"/>
    <w:rsid w:val="00617224"/>
    <w:rsid w:val="00617EE3"/>
    <w:rsid w:val="006205AA"/>
    <w:rsid w:val="0062134E"/>
    <w:rsid w:val="0062200E"/>
    <w:rsid w:val="006321FE"/>
    <w:rsid w:val="00634A3C"/>
    <w:rsid w:val="0064329D"/>
    <w:rsid w:val="006453D9"/>
    <w:rsid w:val="00645528"/>
    <w:rsid w:val="006530FD"/>
    <w:rsid w:val="006626C3"/>
    <w:rsid w:val="00672C0A"/>
    <w:rsid w:val="006863A0"/>
    <w:rsid w:val="00690548"/>
    <w:rsid w:val="0069788C"/>
    <w:rsid w:val="006A34B5"/>
    <w:rsid w:val="006B0A32"/>
    <w:rsid w:val="006B161A"/>
    <w:rsid w:val="006B26AF"/>
    <w:rsid w:val="006B3D89"/>
    <w:rsid w:val="006C1AEB"/>
    <w:rsid w:val="006C278C"/>
    <w:rsid w:val="006C29CF"/>
    <w:rsid w:val="006C4168"/>
    <w:rsid w:val="006C617F"/>
    <w:rsid w:val="006E1DBC"/>
    <w:rsid w:val="006F377F"/>
    <w:rsid w:val="006F57BB"/>
    <w:rsid w:val="00700343"/>
    <w:rsid w:val="0070148D"/>
    <w:rsid w:val="0071700B"/>
    <w:rsid w:val="0071746F"/>
    <w:rsid w:val="0075018D"/>
    <w:rsid w:val="00750763"/>
    <w:rsid w:val="00757CA7"/>
    <w:rsid w:val="007650CD"/>
    <w:rsid w:val="0077145F"/>
    <w:rsid w:val="007743FB"/>
    <w:rsid w:val="007746BC"/>
    <w:rsid w:val="0077657A"/>
    <w:rsid w:val="00781C0B"/>
    <w:rsid w:val="00786CB1"/>
    <w:rsid w:val="00790A96"/>
    <w:rsid w:val="00794BC4"/>
    <w:rsid w:val="007B67D2"/>
    <w:rsid w:val="007B6BA5"/>
    <w:rsid w:val="007C1D12"/>
    <w:rsid w:val="007D199B"/>
    <w:rsid w:val="007E06C5"/>
    <w:rsid w:val="007E3153"/>
    <w:rsid w:val="007E4347"/>
    <w:rsid w:val="007F784D"/>
    <w:rsid w:val="00816BC0"/>
    <w:rsid w:val="00823983"/>
    <w:rsid w:val="008470EA"/>
    <w:rsid w:val="00852C43"/>
    <w:rsid w:val="008618E1"/>
    <w:rsid w:val="00877163"/>
    <w:rsid w:val="00883C1C"/>
    <w:rsid w:val="00884F85"/>
    <w:rsid w:val="008969C4"/>
    <w:rsid w:val="008A765C"/>
    <w:rsid w:val="008B32E6"/>
    <w:rsid w:val="008C2BD8"/>
    <w:rsid w:val="008C2FB7"/>
    <w:rsid w:val="008D5ACE"/>
    <w:rsid w:val="008E1AF6"/>
    <w:rsid w:val="008F0E3D"/>
    <w:rsid w:val="008F3071"/>
    <w:rsid w:val="008F4076"/>
    <w:rsid w:val="008F64F2"/>
    <w:rsid w:val="0091022E"/>
    <w:rsid w:val="00922D38"/>
    <w:rsid w:val="009267F8"/>
    <w:rsid w:val="0092715B"/>
    <w:rsid w:val="00930B58"/>
    <w:rsid w:val="0093572E"/>
    <w:rsid w:val="00962C06"/>
    <w:rsid w:val="0096726B"/>
    <w:rsid w:val="00976C1F"/>
    <w:rsid w:val="00996480"/>
    <w:rsid w:val="009A038F"/>
    <w:rsid w:val="009A2886"/>
    <w:rsid w:val="009B0044"/>
    <w:rsid w:val="009B1C30"/>
    <w:rsid w:val="009B3BE5"/>
    <w:rsid w:val="009B6133"/>
    <w:rsid w:val="009B6FD0"/>
    <w:rsid w:val="009D018C"/>
    <w:rsid w:val="009E110E"/>
    <w:rsid w:val="009E3197"/>
    <w:rsid w:val="009E6096"/>
    <w:rsid w:val="009F335B"/>
    <w:rsid w:val="009F7DDE"/>
    <w:rsid w:val="00A003B6"/>
    <w:rsid w:val="00A37AD1"/>
    <w:rsid w:val="00A464AD"/>
    <w:rsid w:val="00A560A9"/>
    <w:rsid w:val="00A61772"/>
    <w:rsid w:val="00A63E53"/>
    <w:rsid w:val="00A64AAE"/>
    <w:rsid w:val="00A64B0F"/>
    <w:rsid w:val="00A726CF"/>
    <w:rsid w:val="00A75BF1"/>
    <w:rsid w:val="00A9183F"/>
    <w:rsid w:val="00A9557C"/>
    <w:rsid w:val="00A969C3"/>
    <w:rsid w:val="00A972DB"/>
    <w:rsid w:val="00AB4BC0"/>
    <w:rsid w:val="00AC403D"/>
    <w:rsid w:val="00AD7E6E"/>
    <w:rsid w:val="00AE1B94"/>
    <w:rsid w:val="00AF5B5E"/>
    <w:rsid w:val="00AF638A"/>
    <w:rsid w:val="00B008A5"/>
    <w:rsid w:val="00B1126B"/>
    <w:rsid w:val="00B23E55"/>
    <w:rsid w:val="00B327F3"/>
    <w:rsid w:val="00B33A7A"/>
    <w:rsid w:val="00B35F32"/>
    <w:rsid w:val="00B42C25"/>
    <w:rsid w:val="00B43087"/>
    <w:rsid w:val="00B45F5B"/>
    <w:rsid w:val="00B53E17"/>
    <w:rsid w:val="00B54AEC"/>
    <w:rsid w:val="00B56991"/>
    <w:rsid w:val="00B660F3"/>
    <w:rsid w:val="00B855D0"/>
    <w:rsid w:val="00B8578E"/>
    <w:rsid w:val="00B94AA6"/>
    <w:rsid w:val="00BB38C6"/>
    <w:rsid w:val="00BB78A8"/>
    <w:rsid w:val="00BC0E00"/>
    <w:rsid w:val="00BD431B"/>
    <w:rsid w:val="00BD5DF1"/>
    <w:rsid w:val="00BD7830"/>
    <w:rsid w:val="00BD78AF"/>
    <w:rsid w:val="00BE17E5"/>
    <w:rsid w:val="00BF1931"/>
    <w:rsid w:val="00BF6572"/>
    <w:rsid w:val="00C00168"/>
    <w:rsid w:val="00C06423"/>
    <w:rsid w:val="00C06E71"/>
    <w:rsid w:val="00C11958"/>
    <w:rsid w:val="00C15236"/>
    <w:rsid w:val="00C162B5"/>
    <w:rsid w:val="00C17749"/>
    <w:rsid w:val="00C17BC7"/>
    <w:rsid w:val="00C376A7"/>
    <w:rsid w:val="00C402A4"/>
    <w:rsid w:val="00C415D0"/>
    <w:rsid w:val="00C456CA"/>
    <w:rsid w:val="00C46079"/>
    <w:rsid w:val="00C56C56"/>
    <w:rsid w:val="00C629F0"/>
    <w:rsid w:val="00C63F2E"/>
    <w:rsid w:val="00C83ECC"/>
    <w:rsid w:val="00C922F3"/>
    <w:rsid w:val="00CA6FA4"/>
    <w:rsid w:val="00CB1FAF"/>
    <w:rsid w:val="00CC4AFF"/>
    <w:rsid w:val="00CD1953"/>
    <w:rsid w:val="00CE3126"/>
    <w:rsid w:val="00CF0D89"/>
    <w:rsid w:val="00CF115C"/>
    <w:rsid w:val="00CF4361"/>
    <w:rsid w:val="00CF6F7B"/>
    <w:rsid w:val="00D0511E"/>
    <w:rsid w:val="00D05470"/>
    <w:rsid w:val="00D13A3E"/>
    <w:rsid w:val="00D22AE9"/>
    <w:rsid w:val="00D27B81"/>
    <w:rsid w:val="00D27E92"/>
    <w:rsid w:val="00D307AE"/>
    <w:rsid w:val="00D42EB3"/>
    <w:rsid w:val="00D44955"/>
    <w:rsid w:val="00D45DCB"/>
    <w:rsid w:val="00D46E1A"/>
    <w:rsid w:val="00D47375"/>
    <w:rsid w:val="00D51CFA"/>
    <w:rsid w:val="00D71480"/>
    <w:rsid w:val="00D8725F"/>
    <w:rsid w:val="00D9067F"/>
    <w:rsid w:val="00D9494C"/>
    <w:rsid w:val="00DB15E8"/>
    <w:rsid w:val="00DC502A"/>
    <w:rsid w:val="00DC6735"/>
    <w:rsid w:val="00DD3B8F"/>
    <w:rsid w:val="00DE1804"/>
    <w:rsid w:val="00DF4983"/>
    <w:rsid w:val="00DF7D23"/>
    <w:rsid w:val="00E06781"/>
    <w:rsid w:val="00E154C8"/>
    <w:rsid w:val="00E23873"/>
    <w:rsid w:val="00E2756E"/>
    <w:rsid w:val="00E4704C"/>
    <w:rsid w:val="00E53738"/>
    <w:rsid w:val="00E6621B"/>
    <w:rsid w:val="00E729F5"/>
    <w:rsid w:val="00E74FAD"/>
    <w:rsid w:val="00E768E9"/>
    <w:rsid w:val="00E7704F"/>
    <w:rsid w:val="00E900C6"/>
    <w:rsid w:val="00E9101C"/>
    <w:rsid w:val="00E94BDE"/>
    <w:rsid w:val="00E9706F"/>
    <w:rsid w:val="00EA009D"/>
    <w:rsid w:val="00EA1DC3"/>
    <w:rsid w:val="00EC5128"/>
    <w:rsid w:val="00EC54DF"/>
    <w:rsid w:val="00ED2D62"/>
    <w:rsid w:val="00EE1146"/>
    <w:rsid w:val="00EE4E4F"/>
    <w:rsid w:val="00EF0184"/>
    <w:rsid w:val="00EF2034"/>
    <w:rsid w:val="00F13FCC"/>
    <w:rsid w:val="00F15AFB"/>
    <w:rsid w:val="00F23D3A"/>
    <w:rsid w:val="00F3148B"/>
    <w:rsid w:val="00F43FA1"/>
    <w:rsid w:val="00F604F6"/>
    <w:rsid w:val="00F746FE"/>
    <w:rsid w:val="00F7783D"/>
    <w:rsid w:val="00F8178D"/>
    <w:rsid w:val="00F84092"/>
    <w:rsid w:val="00F846AC"/>
    <w:rsid w:val="00F934B4"/>
    <w:rsid w:val="00F971B3"/>
    <w:rsid w:val="00FA0683"/>
    <w:rsid w:val="00FA0A0F"/>
    <w:rsid w:val="00FC595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21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057EE0"/>
    <w:pPr>
      <w:keepNext/>
      <w:keepLines/>
      <w:pageBreakBefore/>
      <w:numPr>
        <w:numId w:val="1"/>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6F57BB"/>
    <w:pPr>
      <w:keepNext/>
      <w:keepLines/>
      <w:numPr>
        <w:ilvl w:val="1"/>
        <w:numId w:val="1"/>
      </w:numPr>
      <w:spacing w:before="480" w:after="120"/>
      <w:ind w:leftChars="100" w:left="807" w:rightChars="100" w:right="240"/>
      <w:outlineLvl w:val="1"/>
    </w:pPr>
    <w:rPr>
      <w:rFonts w:ascii="Arial" w:hAnsi="Arial" w:cs="Arial"/>
      <w:b/>
      <w:bCs/>
      <w:sz w:val="21"/>
      <w:szCs w:val="2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a"/>
    <w:link w:val="30"/>
    <w:autoRedefine/>
    <w:qFormat/>
    <w:rsid w:val="00D27B81"/>
    <w:pPr>
      <w:keepNext/>
      <w:keepLines/>
      <w:numPr>
        <w:ilvl w:val="2"/>
        <w:numId w:val="1"/>
      </w:numPr>
      <w:spacing w:before="156" w:after="156" w:line="360" w:lineRule="auto"/>
      <w:ind w:leftChars="100" w:left="807" w:rightChars="100" w:right="240"/>
      <w:jc w:val="left"/>
      <w:outlineLvl w:val="2"/>
    </w:pPr>
    <w:rPr>
      <w:rFonts w:ascii="宋体" w:eastAsia="宋体" w:hAnsi="宋体" w:cs="Calibri"/>
      <w:b/>
      <w:sz w:val="21"/>
      <w:szCs w:val="2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A726CF"/>
    <w:pPr>
      <w:keepNext/>
      <w:keepLines/>
      <w:numPr>
        <w:ilvl w:val="3"/>
        <w:numId w:val="1"/>
      </w:numPr>
      <w:spacing w:before="156" w:after="156" w:line="360" w:lineRule="auto"/>
      <w:ind w:leftChars="100" w:left="807" w:rightChars="100" w:right="240"/>
      <w:outlineLvl w:val="3"/>
    </w:pPr>
    <w:rPr>
      <w:rFonts w:ascii="Times New Roman" w:hAnsi="Times New Roman" w:cs="Times New Roman"/>
      <w:bCs/>
      <w:iCs/>
      <w:sz w:val="21"/>
      <w:szCs w:val="28"/>
    </w:rPr>
  </w:style>
  <w:style w:type="paragraph" w:styleId="5">
    <w:name w:val="heading 5"/>
    <w:aliases w:val="TD-标题5"/>
    <w:basedOn w:val="a"/>
    <w:next w:val="a"/>
    <w:link w:val="50"/>
    <w:autoRedefine/>
    <w:qFormat/>
    <w:rsid w:val="003A3BBC"/>
    <w:pPr>
      <w:keepNext/>
      <w:keepLines/>
      <w:numPr>
        <w:ilvl w:val="4"/>
        <w:numId w:val="2"/>
      </w:numPr>
      <w:tabs>
        <w:tab w:val="clear" w:pos="1008"/>
        <w:tab w:val="num" w:pos="2410"/>
      </w:tabs>
      <w:spacing w:before="156" w:after="156" w:line="360" w:lineRule="auto"/>
      <w:ind w:leftChars="100" w:left="1218" w:rightChars="100" w:right="100"/>
      <w:outlineLvl w:val="4"/>
    </w:pPr>
    <w:rPr>
      <w:rFonts w:ascii="宋体" w:eastAsia="宋体" w:hAnsi="宋体" w:cs="Times New Roman"/>
      <w:bCs/>
      <w:i/>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057EE0"/>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6F57BB"/>
    <w:rPr>
      <w:rFonts w:ascii="Arial" w:hAnsi="Arial" w:cs="Arial"/>
      <w:b/>
      <w:bCs/>
      <w:sz w:val="21"/>
      <w:szCs w:val="22"/>
    </w:rPr>
  </w:style>
  <w:style w:type="character" w:customStyle="1" w:styleId="30">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
    <w:rsid w:val="00D27B81"/>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A726CF"/>
    <w:rPr>
      <w:rFonts w:ascii="Times New Roman" w:hAnsi="Times New Roman" w:cs="Times New Roman"/>
      <w:bCs/>
      <w:iCs/>
      <w:sz w:val="21"/>
      <w:szCs w:val="28"/>
    </w:rPr>
  </w:style>
  <w:style w:type="character" w:customStyle="1" w:styleId="50">
    <w:name w:val="标题 5字符"/>
    <w:aliases w:val="TD-标题5字符"/>
    <w:link w:val="5"/>
    <w:rsid w:val="003A3BBC"/>
    <w:rPr>
      <w:rFonts w:ascii="宋体" w:eastAsia="宋体" w:hAnsi="宋体" w:cs="Times New Roman"/>
      <w:bCs/>
      <w:i/>
      <w:sz w:val="21"/>
      <w:szCs w:val="28"/>
    </w:rPr>
  </w:style>
  <w:style w:type="paragraph" w:customStyle="1" w:styleId="TD-">
    <w:name w:val="TD-正文"/>
    <w:basedOn w:val="a"/>
    <w:link w:val="TD-Char"/>
    <w:qFormat/>
    <w:rsid w:val="00057EE0"/>
    <w:pPr>
      <w:widowControl/>
      <w:snapToGrid w:val="0"/>
      <w:spacing w:after="120" w:line="440" w:lineRule="atLeast"/>
      <w:ind w:firstLine="476"/>
    </w:pPr>
    <w:rPr>
      <w:rFonts w:ascii="Times New Roman" w:eastAsia="宋体" w:hAnsi="Times New Roman" w:cs="Times New Roman"/>
      <w:sz w:val="21"/>
      <w:szCs w:val="28"/>
    </w:rPr>
  </w:style>
  <w:style w:type="character" w:customStyle="1" w:styleId="TD-Char">
    <w:name w:val="TD-正文 Char"/>
    <w:basedOn w:val="a0"/>
    <w:link w:val="TD-"/>
    <w:rsid w:val="00057EE0"/>
    <w:rPr>
      <w:rFonts w:ascii="Times New Roman" w:eastAsia="宋体" w:hAnsi="Times New Roman" w:cs="Times New Roman"/>
      <w:sz w:val="21"/>
      <w:szCs w:val="28"/>
    </w:rPr>
  </w:style>
  <w:style w:type="paragraph" w:customStyle="1" w:styleId="TD-1">
    <w:name w:val="TD-项目符号1"/>
    <w:basedOn w:val="TD-"/>
    <w:link w:val="TD-1Char"/>
    <w:qFormat/>
    <w:rsid w:val="00057EE0"/>
    <w:pPr>
      <w:numPr>
        <w:numId w:val="3"/>
      </w:numPr>
    </w:pPr>
    <w:rPr>
      <w:b/>
    </w:rPr>
  </w:style>
  <w:style w:type="character" w:customStyle="1" w:styleId="TD-1Char">
    <w:name w:val="TD-项目符号1 Char"/>
    <w:basedOn w:val="TD-Char"/>
    <w:link w:val="TD-1"/>
    <w:rsid w:val="00057EE0"/>
    <w:rPr>
      <w:rFonts w:ascii="Times New Roman" w:eastAsia="宋体" w:hAnsi="Times New Roman" w:cs="Times New Roman"/>
      <w:b/>
      <w:sz w:val="21"/>
      <w:szCs w:val="28"/>
    </w:rPr>
  </w:style>
  <w:style w:type="paragraph" w:customStyle="1" w:styleId="TD-2">
    <w:name w:val="TD-项目符号2"/>
    <w:basedOn w:val="TD-1"/>
    <w:link w:val="TD-2Char"/>
    <w:qFormat/>
    <w:rsid w:val="00057EE0"/>
    <w:pPr>
      <w:numPr>
        <w:ilvl w:val="1"/>
        <w:numId w:val="4"/>
      </w:numPr>
    </w:pPr>
    <w:rPr>
      <w:b w:val="0"/>
    </w:rPr>
  </w:style>
  <w:style w:type="character" w:customStyle="1" w:styleId="TD-2Char">
    <w:name w:val="TD-项目符号2 Char"/>
    <w:basedOn w:val="TD-1Char"/>
    <w:link w:val="TD-2"/>
    <w:rsid w:val="00057EE0"/>
    <w:rPr>
      <w:rFonts w:ascii="Times New Roman" w:eastAsia="宋体" w:hAnsi="Times New Roman" w:cs="Times New Roman"/>
      <w:b w:val="0"/>
      <w:sz w:val="21"/>
      <w:szCs w:val="28"/>
    </w:rPr>
  </w:style>
  <w:style w:type="paragraph" w:customStyle="1" w:styleId="TD-3">
    <w:name w:val="TD-项目符号3"/>
    <w:basedOn w:val="TD-2"/>
    <w:link w:val="TD-3Char"/>
    <w:qFormat/>
    <w:rsid w:val="00057EE0"/>
    <w:pPr>
      <w:numPr>
        <w:ilvl w:val="2"/>
      </w:numPr>
    </w:pPr>
  </w:style>
  <w:style w:type="character" w:customStyle="1" w:styleId="TD-3Char">
    <w:name w:val="TD-项目符号3 Char"/>
    <w:basedOn w:val="TD-2Char"/>
    <w:link w:val="TD-3"/>
    <w:rsid w:val="00057EE0"/>
    <w:rPr>
      <w:rFonts w:ascii="Times New Roman" w:eastAsia="宋体" w:hAnsi="Times New Roman" w:cs="Times New Roman"/>
      <w:b w:val="0"/>
      <w:sz w:val="21"/>
      <w:szCs w:val="28"/>
    </w:rPr>
  </w:style>
  <w:style w:type="paragraph" w:styleId="a3">
    <w:name w:val="List Paragraph"/>
    <w:basedOn w:val="a"/>
    <w:link w:val="a4"/>
    <w:uiPriority w:val="34"/>
    <w:qFormat/>
    <w:rsid w:val="00350E5D"/>
    <w:pPr>
      <w:ind w:firstLineChars="200" w:firstLine="420"/>
    </w:pPr>
  </w:style>
  <w:style w:type="character" w:customStyle="1" w:styleId="a4">
    <w:name w:val="列出段落字符"/>
    <w:link w:val="a3"/>
    <w:uiPriority w:val="34"/>
    <w:rsid w:val="00D8725F"/>
  </w:style>
  <w:style w:type="table" w:styleId="a5">
    <w:name w:val="Table Grid"/>
    <w:basedOn w:val="a1"/>
    <w:uiPriority w:val="39"/>
    <w:rsid w:val="00BB38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973223">
      <w:bodyDiv w:val="1"/>
      <w:marLeft w:val="0"/>
      <w:marRight w:val="0"/>
      <w:marTop w:val="0"/>
      <w:marBottom w:val="0"/>
      <w:divBdr>
        <w:top w:val="none" w:sz="0" w:space="0" w:color="auto"/>
        <w:left w:val="none" w:sz="0" w:space="0" w:color="auto"/>
        <w:bottom w:val="none" w:sz="0" w:space="0" w:color="auto"/>
        <w:right w:val="none" w:sz="0" w:space="0" w:color="auto"/>
      </w:divBdr>
    </w:div>
    <w:div w:id="318386955">
      <w:bodyDiv w:val="1"/>
      <w:marLeft w:val="0"/>
      <w:marRight w:val="0"/>
      <w:marTop w:val="0"/>
      <w:marBottom w:val="0"/>
      <w:divBdr>
        <w:top w:val="none" w:sz="0" w:space="0" w:color="auto"/>
        <w:left w:val="none" w:sz="0" w:space="0" w:color="auto"/>
        <w:bottom w:val="none" w:sz="0" w:space="0" w:color="auto"/>
        <w:right w:val="none" w:sz="0" w:space="0" w:color="auto"/>
      </w:divBdr>
    </w:div>
    <w:div w:id="359670911">
      <w:bodyDiv w:val="1"/>
      <w:marLeft w:val="0"/>
      <w:marRight w:val="0"/>
      <w:marTop w:val="0"/>
      <w:marBottom w:val="0"/>
      <w:divBdr>
        <w:top w:val="none" w:sz="0" w:space="0" w:color="auto"/>
        <w:left w:val="none" w:sz="0" w:space="0" w:color="auto"/>
        <w:bottom w:val="none" w:sz="0" w:space="0" w:color="auto"/>
        <w:right w:val="none" w:sz="0" w:space="0" w:color="auto"/>
      </w:divBdr>
    </w:div>
    <w:div w:id="445656947">
      <w:bodyDiv w:val="1"/>
      <w:marLeft w:val="0"/>
      <w:marRight w:val="0"/>
      <w:marTop w:val="0"/>
      <w:marBottom w:val="0"/>
      <w:divBdr>
        <w:top w:val="none" w:sz="0" w:space="0" w:color="auto"/>
        <w:left w:val="none" w:sz="0" w:space="0" w:color="auto"/>
        <w:bottom w:val="none" w:sz="0" w:space="0" w:color="auto"/>
        <w:right w:val="none" w:sz="0" w:space="0" w:color="auto"/>
      </w:divBdr>
    </w:div>
    <w:div w:id="517617471">
      <w:bodyDiv w:val="1"/>
      <w:marLeft w:val="0"/>
      <w:marRight w:val="0"/>
      <w:marTop w:val="0"/>
      <w:marBottom w:val="0"/>
      <w:divBdr>
        <w:top w:val="none" w:sz="0" w:space="0" w:color="auto"/>
        <w:left w:val="none" w:sz="0" w:space="0" w:color="auto"/>
        <w:bottom w:val="none" w:sz="0" w:space="0" w:color="auto"/>
        <w:right w:val="none" w:sz="0" w:space="0" w:color="auto"/>
      </w:divBdr>
    </w:div>
    <w:div w:id="748501019">
      <w:bodyDiv w:val="1"/>
      <w:marLeft w:val="0"/>
      <w:marRight w:val="0"/>
      <w:marTop w:val="0"/>
      <w:marBottom w:val="0"/>
      <w:divBdr>
        <w:top w:val="none" w:sz="0" w:space="0" w:color="auto"/>
        <w:left w:val="none" w:sz="0" w:space="0" w:color="auto"/>
        <w:bottom w:val="none" w:sz="0" w:space="0" w:color="auto"/>
        <w:right w:val="none" w:sz="0" w:space="0" w:color="auto"/>
      </w:divBdr>
    </w:div>
    <w:div w:id="959533840">
      <w:bodyDiv w:val="1"/>
      <w:marLeft w:val="0"/>
      <w:marRight w:val="0"/>
      <w:marTop w:val="0"/>
      <w:marBottom w:val="0"/>
      <w:divBdr>
        <w:top w:val="none" w:sz="0" w:space="0" w:color="auto"/>
        <w:left w:val="none" w:sz="0" w:space="0" w:color="auto"/>
        <w:bottom w:val="none" w:sz="0" w:space="0" w:color="auto"/>
        <w:right w:val="none" w:sz="0" w:space="0" w:color="auto"/>
      </w:divBdr>
    </w:div>
    <w:div w:id="1060594399">
      <w:bodyDiv w:val="1"/>
      <w:marLeft w:val="0"/>
      <w:marRight w:val="0"/>
      <w:marTop w:val="0"/>
      <w:marBottom w:val="0"/>
      <w:divBdr>
        <w:top w:val="none" w:sz="0" w:space="0" w:color="auto"/>
        <w:left w:val="none" w:sz="0" w:space="0" w:color="auto"/>
        <w:bottom w:val="none" w:sz="0" w:space="0" w:color="auto"/>
        <w:right w:val="none" w:sz="0" w:space="0" w:color="auto"/>
      </w:divBdr>
    </w:div>
    <w:div w:id="1089692082">
      <w:bodyDiv w:val="1"/>
      <w:marLeft w:val="0"/>
      <w:marRight w:val="0"/>
      <w:marTop w:val="0"/>
      <w:marBottom w:val="0"/>
      <w:divBdr>
        <w:top w:val="none" w:sz="0" w:space="0" w:color="auto"/>
        <w:left w:val="none" w:sz="0" w:space="0" w:color="auto"/>
        <w:bottom w:val="none" w:sz="0" w:space="0" w:color="auto"/>
        <w:right w:val="none" w:sz="0" w:space="0" w:color="auto"/>
      </w:divBdr>
    </w:div>
    <w:div w:id="1124733580">
      <w:bodyDiv w:val="1"/>
      <w:marLeft w:val="0"/>
      <w:marRight w:val="0"/>
      <w:marTop w:val="0"/>
      <w:marBottom w:val="0"/>
      <w:divBdr>
        <w:top w:val="none" w:sz="0" w:space="0" w:color="auto"/>
        <w:left w:val="none" w:sz="0" w:space="0" w:color="auto"/>
        <w:bottom w:val="none" w:sz="0" w:space="0" w:color="auto"/>
        <w:right w:val="none" w:sz="0" w:space="0" w:color="auto"/>
      </w:divBdr>
    </w:div>
    <w:div w:id="1246377648">
      <w:bodyDiv w:val="1"/>
      <w:marLeft w:val="0"/>
      <w:marRight w:val="0"/>
      <w:marTop w:val="0"/>
      <w:marBottom w:val="0"/>
      <w:divBdr>
        <w:top w:val="none" w:sz="0" w:space="0" w:color="auto"/>
        <w:left w:val="none" w:sz="0" w:space="0" w:color="auto"/>
        <w:bottom w:val="none" w:sz="0" w:space="0" w:color="auto"/>
        <w:right w:val="none" w:sz="0" w:space="0" w:color="auto"/>
      </w:divBdr>
    </w:div>
    <w:div w:id="1277832484">
      <w:bodyDiv w:val="1"/>
      <w:marLeft w:val="0"/>
      <w:marRight w:val="0"/>
      <w:marTop w:val="0"/>
      <w:marBottom w:val="0"/>
      <w:divBdr>
        <w:top w:val="none" w:sz="0" w:space="0" w:color="auto"/>
        <w:left w:val="none" w:sz="0" w:space="0" w:color="auto"/>
        <w:bottom w:val="none" w:sz="0" w:space="0" w:color="auto"/>
        <w:right w:val="none" w:sz="0" w:space="0" w:color="auto"/>
      </w:divBdr>
    </w:div>
    <w:div w:id="1285886723">
      <w:bodyDiv w:val="1"/>
      <w:marLeft w:val="0"/>
      <w:marRight w:val="0"/>
      <w:marTop w:val="0"/>
      <w:marBottom w:val="0"/>
      <w:divBdr>
        <w:top w:val="none" w:sz="0" w:space="0" w:color="auto"/>
        <w:left w:val="none" w:sz="0" w:space="0" w:color="auto"/>
        <w:bottom w:val="none" w:sz="0" w:space="0" w:color="auto"/>
        <w:right w:val="none" w:sz="0" w:space="0" w:color="auto"/>
      </w:divBdr>
    </w:div>
    <w:div w:id="1447775889">
      <w:bodyDiv w:val="1"/>
      <w:marLeft w:val="0"/>
      <w:marRight w:val="0"/>
      <w:marTop w:val="0"/>
      <w:marBottom w:val="0"/>
      <w:divBdr>
        <w:top w:val="none" w:sz="0" w:space="0" w:color="auto"/>
        <w:left w:val="none" w:sz="0" w:space="0" w:color="auto"/>
        <w:bottom w:val="none" w:sz="0" w:space="0" w:color="auto"/>
        <w:right w:val="none" w:sz="0" w:space="0" w:color="auto"/>
      </w:divBdr>
    </w:div>
    <w:div w:id="1453550341">
      <w:bodyDiv w:val="1"/>
      <w:marLeft w:val="0"/>
      <w:marRight w:val="0"/>
      <w:marTop w:val="0"/>
      <w:marBottom w:val="0"/>
      <w:divBdr>
        <w:top w:val="none" w:sz="0" w:space="0" w:color="auto"/>
        <w:left w:val="none" w:sz="0" w:space="0" w:color="auto"/>
        <w:bottom w:val="none" w:sz="0" w:space="0" w:color="auto"/>
        <w:right w:val="none" w:sz="0" w:space="0" w:color="auto"/>
      </w:divBdr>
    </w:div>
    <w:div w:id="1506094399">
      <w:bodyDiv w:val="1"/>
      <w:marLeft w:val="0"/>
      <w:marRight w:val="0"/>
      <w:marTop w:val="0"/>
      <w:marBottom w:val="0"/>
      <w:divBdr>
        <w:top w:val="none" w:sz="0" w:space="0" w:color="auto"/>
        <w:left w:val="none" w:sz="0" w:space="0" w:color="auto"/>
        <w:bottom w:val="none" w:sz="0" w:space="0" w:color="auto"/>
        <w:right w:val="none" w:sz="0" w:space="0" w:color="auto"/>
      </w:divBdr>
    </w:div>
    <w:div w:id="1552578343">
      <w:bodyDiv w:val="1"/>
      <w:marLeft w:val="0"/>
      <w:marRight w:val="0"/>
      <w:marTop w:val="0"/>
      <w:marBottom w:val="0"/>
      <w:divBdr>
        <w:top w:val="none" w:sz="0" w:space="0" w:color="auto"/>
        <w:left w:val="none" w:sz="0" w:space="0" w:color="auto"/>
        <w:bottom w:val="none" w:sz="0" w:space="0" w:color="auto"/>
        <w:right w:val="none" w:sz="0" w:space="0" w:color="auto"/>
      </w:divBdr>
    </w:div>
    <w:div w:id="1558013417">
      <w:bodyDiv w:val="1"/>
      <w:marLeft w:val="0"/>
      <w:marRight w:val="0"/>
      <w:marTop w:val="0"/>
      <w:marBottom w:val="0"/>
      <w:divBdr>
        <w:top w:val="none" w:sz="0" w:space="0" w:color="auto"/>
        <w:left w:val="none" w:sz="0" w:space="0" w:color="auto"/>
        <w:bottom w:val="none" w:sz="0" w:space="0" w:color="auto"/>
        <w:right w:val="none" w:sz="0" w:space="0" w:color="auto"/>
      </w:divBdr>
    </w:div>
    <w:div w:id="1680306294">
      <w:bodyDiv w:val="1"/>
      <w:marLeft w:val="0"/>
      <w:marRight w:val="0"/>
      <w:marTop w:val="0"/>
      <w:marBottom w:val="0"/>
      <w:divBdr>
        <w:top w:val="none" w:sz="0" w:space="0" w:color="auto"/>
        <w:left w:val="none" w:sz="0" w:space="0" w:color="auto"/>
        <w:bottom w:val="none" w:sz="0" w:space="0" w:color="auto"/>
        <w:right w:val="none" w:sz="0" w:space="0" w:color="auto"/>
      </w:divBdr>
    </w:div>
    <w:div w:id="1719236834">
      <w:bodyDiv w:val="1"/>
      <w:marLeft w:val="0"/>
      <w:marRight w:val="0"/>
      <w:marTop w:val="0"/>
      <w:marBottom w:val="0"/>
      <w:divBdr>
        <w:top w:val="none" w:sz="0" w:space="0" w:color="auto"/>
        <w:left w:val="none" w:sz="0" w:space="0" w:color="auto"/>
        <w:bottom w:val="none" w:sz="0" w:space="0" w:color="auto"/>
        <w:right w:val="none" w:sz="0" w:space="0" w:color="auto"/>
      </w:divBdr>
    </w:div>
    <w:div w:id="2029065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Visio_2003-2010___11111111111111.vsd"/><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279A138-DEFD-FA47-93AB-84459DF11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80</Pages>
  <Words>6058</Words>
  <Characters>34533</Characters>
  <Application>Microsoft Macintosh Word</Application>
  <DocSecurity>0</DocSecurity>
  <Lines>287</Lines>
  <Paragraphs>81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40510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110</cp:revision>
  <dcterms:created xsi:type="dcterms:W3CDTF">2017-04-06T01:33:00Z</dcterms:created>
  <dcterms:modified xsi:type="dcterms:W3CDTF">2017-04-06T07:14:00Z</dcterms:modified>
</cp:coreProperties>
</file>