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EC120" w14:textId="042457DA" w:rsidR="00F96808" w:rsidRDefault="00480DC0" w:rsidP="00480DC0">
      <w:pPr>
        <w:pStyle w:val="1"/>
      </w:pPr>
      <w:r>
        <w:rPr>
          <w:rFonts w:hint="eastAsia"/>
        </w:rPr>
        <w:t>公司介绍</w:t>
      </w:r>
    </w:p>
    <w:p w14:paraId="014AFFF8" w14:textId="32FE3F44" w:rsidR="00480DC0" w:rsidRDefault="00480DC0" w:rsidP="00480DC0">
      <w:pPr>
        <w:pStyle w:val="2"/>
      </w:pPr>
      <w:r>
        <w:rPr>
          <w:rFonts w:hint="eastAsia"/>
        </w:rPr>
        <w:t>公司简介</w:t>
      </w:r>
    </w:p>
    <w:p w14:paraId="565164E6" w14:textId="7A298136" w:rsidR="00251E80" w:rsidRPr="00090030" w:rsidRDefault="00251E80" w:rsidP="00091E42">
      <w:pPr>
        <w:spacing w:line="360" w:lineRule="auto"/>
        <w:ind w:firstLineChars="200" w:firstLine="480"/>
        <w:rPr>
          <w:rFonts w:ascii="SimSun" w:eastAsia="SimSun" w:hAnsi="SimSun"/>
        </w:rPr>
      </w:pPr>
      <w:r w:rsidRPr="00090030">
        <w:rPr>
          <w:rFonts w:ascii="SimSun" w:eastAsia="SimSun" w:hAnsi="SimSun"/>
        </w:rPr>
        <w:t>天睿信科技术（北京）有限公司是Teradata（香港）有限公司在中国成立和注册的独资有限责任公司，专门从事</w:t>
      </w:r>
      <w:r w:rsidR="00903C3A">
        <w:rPr>
          <w:rFonts w:ascii="SimSun" w:eastAsia="SimSun" w:hAnsi="SimSun" w:hint="eastAsia"/>
        </w:rPr>
        <w:t>大数据</w:t>
      </w:r>
      <w:r w:rsidRPr="00090030">
        <w:rPr>
          <w:rFonts w:ascii="SimSun" w:eastAsia="SimSun" w:hAnsi="SimSun" w:hint="eastAsia"/>
        </w:rPr>
        <w:t>与</w:t>
      </w:r>
      <w:r w:rsidRPr="00090030">
        <w:rPr>
          <w:rFonts w:ascii="SimSun" w:eastAsia="SimSun" w:hAnsi="SimSun"/>
        </w:rPr>
        <w:t>数据仓库</w:t>
      </w:r>
      <w:r w:rsidR="00903C3A">
        <w:rPr>
          <w:rFonts w:ascii="SimSun" w:eastAsia="SimSun" w:hAnsi="SimSun" w:hint="eastAsia"/>
        </w:rPr>
        <w:t>平台</w:t>
      </w:r>
      <w:r w:rsidRPr="00090030">
        <w:rPr>
          <w:rFonts w:ascii="SimSun" w:eastAsia="SimSun" w:hAnsi="SimSun"/>
        </w:rPr>
        <w:t>、数据挖掘及分析解决方案技术咨询服务及Teradata产品支持维护服务等经营活动。</w:t>
      </w:r>
    </w:p>
    <w:p w14:paraId="0B98B642" w14:textId="6EC60179" w:rsidR="00251E80" w:rsidRPr="00090030" w:rsidRDefault="00251E80" w:rsidP="00091E42">
      <w:pPr>
        <w:spacing w:line="360" w:lineRule="auto"/>
        <w:ind w:firstLineChars="200" w:firstLine="480"/>
        <w:rPr>
          <w:rFonts w:ascii="SimSun" w:eastAsia="SimSun" w:hAnsi="SimSun"/>
        </w:rPr>
      </w:pPr>
      <w:r w:rsidRPr="00090030">
        <w:rPr>
          <w:rFonts w:ascii="SimSun" w:eastAsia="SimSun" w:hAnsi="SimSun"/>
        </w:rPr>
        <w:t>Teradata（美国纽约证券交易所交易代码NYSE：TDC）是全球最大的</w:t>
      </w:r>
      <w:r w:rsidRPr="00090030">
        <w:rPr>
          <w:rFonts w:ascii="SimSun" w:eastAsia="SimSun" w:hAnsi="SimSun" w:hint="eastAsia"/>
        </w:rPr>
        <w:t>大</w:t>
      </w:r>
      <w:r w:rsidRPr="00090030">
        <w:rPr>
          <w:rFonts w:ascii="SimSun" w:eastAsia="SimSun" w:hAnsi="SimSun"/>
        </w:rPr>
        <w:t>数据</w:t>
      </w:r>
      <w:r w:rsidRPr="00090030">
        <w:rPr>
          <w:rFonts w:ascii="SimSun" w:eastAsia="SimSun" w:hAnsi="SimSun" w:hint="eastAsia"/>
        </w:rPr>
        <w:t>、数据</w:t>
      </w:r>
      <w:r w:rsidRPr="00090030">
        <w:rPr>
          <w:rFonts w:ascii="SimSun" w:eastAsia="SimSun" w:hAnsi="SimSun"/>
        </w:rPr>
        <w:t>仓库</w:t>
      </w:r>
      <w:r w:rsidR="00F01E18">
        <w:rPr>
          <w:rFonts w:ascii="SimSun" w:eastAsia="SimSun" w:hAnsi="SimSun" w:hint="eastAsia"/>
        </w:rPr>
        <w:t>平台</w:t>
      </w:r>
      <w:r w:rsidRPr="00090030">
        <w:rPr>
          <w:rFonts w:ascii="SimSun" w:eastAsia="SimSun" w:hAnsi="SimSun"/>
        </w:rPr>
        <w:t>及企业分析方案提供商之一，致力于提升企业智能，总部设在美国，业务遍及全球60多个国家，公司网址为：www.teradata.com。其前身为NCR公司Teradata数据仓库事业部。全球员工总数超过10,000人，2015年营业额约25亿多美元。自成立伊始，Teradata 即为数据</w:t>
      </w:r>
      <w:r w:rsidRPr="00090030">
        <w:rPr>
          <w:rFonts w:ascii="SimSun" w:eastAsia="SimSun" w:hAnsi="SimSun" w:hint="eastAsia"/>
        </w:rPr>
        <w:t>平台</w:t>
      </w:r>
      <w:r w:rsidRPr="00090030">
        <w:rPr>
          <w:rFonts w:ascii="SimSun" w:eastAsia="SimSun" w:hAnsi="SimSun"/>
        </w:rPr>
        <w:t>市场的领先厂商，在全球成功建置了2,500多个大型数据</w:t>
      </w:r>
      <w:r w:rsidRPr="00090030">
        <w:rPr>
          <w:rFonts w:ascii="SimSun" w:eastAsia="SimSun" w:hAnsi="SimSun" w:hint="eastAsia"/>
        </w:rPr>
        <w:t>与</w:t>
      </w:r>
      <w:r w:rsidRPr="00090030">
        <w:rPr>
          <w:rFonts w:ascii="SimSun" w:eastAsia="SimSun" w:hAnsi="SimSun"/>
        </w:rPr>
        <w:t>仓库</w:t>
      </w:r>
      <w:r w:rsidR="005B17B4" w:rsidRPr="00090030">
        <w:rPr>
          <w:rFonts w:ascii="SimSun" w:eastAsia="SimSun" w:hAnsi="SimSun" w:hint="eastAsia"/>
        </w:rPr>
        <w:t>平台</w:t>
      </w:r>
      <w:r w:rsidRPr="00090030">
        <w:rPr>
          <w:rFonts w:ascii="SimSun" w:eastAsia="SimSun" w:hAnsi="SimSun"/>
        </w:rPr>
        <w:t>。</w:t>
      </w:r>
    </w:p>
    <w:p w14:paraId="7C94A843" w14:textId="09FD4599" w:rsidR="00251E80" w:rsidRPr="00090030" w:rsidRDefault="00251E80" w:rsidP="00091E42">
      <w:pPr>
        <w:spacing w:line="360" w:lineRule="auto"/>
        <w:ind w:firstLineChars="200" w:firstLine="480"/>
        <w:rPr>
          <w:rFonts w:ascii="SimSun" w:eastAsia="SimSun" w:hAnsi="SimSun"/>
        </w:rPr>
      </w:pPr>
      <w:r w:rsidRPr="00090030">
        <w:rPr>
          <w:rFonts w:ascii="SimSun" w:eastAsia="SimSun" w:hAnsi="SimSun"/>
        </w:rPr>
        <w:t>天睿信科技术（北京）有限公司有员工有1,016余人，其中从事咨询、开发和技术支持人员的总数有818人（截止2016年1月），是目前国内在</w:t>
      </w:r>
      <w:r w:rsidRPr="00090030">
        <w:rPr>
          <w:rFonts w:ascii="SimSun" w:eastAsia="SimSun" w:hAnsi="SimSun" w:hint="eastAsia"/>
        </w:rPr>
        <w:t>大</w:t>
      </w:r>
      <w:r w:rsidRPr="00090030">
        <w:rPr>
          <w:rFonts w:ascii="SimSun" w:eastAsia="SimSun" w:hAnsi="SimSun"/>
        </w:rPr>
        <w:t>数据</w:t>
      </w:r>
      <w:r w:rsidRPr="00090030">
        <w:rPr>
          <w:rFonts w:ascii="SimSun" w:eastAsia="SimSun" w:hAnsi="SimSun" w:hint="eastAsia"/>
        </w:rPr>
        <w:t>与数据</w:t>
      </w:r>
      <w:r w:rsidRPr="00090030">
        <w:rPr>
          <w:rFonts w:ascii="SimSun" w:eastAsia="SimSun" w:hAnsi="SimSun"/>
        </w:rPr>
        <w:t>仓库</w:t>
      </w:r>
      <w:r w:rsidR="00C509FD">
        <w:rPr>
          <w:rFonts w:ascii="SimSun" w:eastAsia="SimSun" w:hAnsi="SimSun" w:hint="eastAsia"/>
        </w:rPr>
        <w:t>平台</w:t>
      </w:r>
      <w:r w:rsidRPr="00090030">
        <w:rPr>
          <w:rFonts w:ascii="SimSun" w:eastAsia="SimSun" w:hAnsi="SimSun"/>
        </w:rPr>
        <w:t>领域人数较多、项目实施经验丰富、专业化程度极高的一支专业技术服务团队。</w:t>
      </w:r>
    </w:p>
    <w:p w14:paraId="6E080B92" w14:textId="19AD741F" w:rsidR="00251E80" w:rsidRPr="00090030" w:rsidRDefault="00251E80" w:rsidP="00091E42">
      <w:pPr>
        <w:spacing w:line="360" w:lineRule="auto"/>
        <w:ind w:firstLineChars="200" w:firstLine="480"/>
        <w:rPr>
          <w:rFonts w:ascii="SimSun" w:eastAsia="SimSun" w:hAnsi="SimSun"/>
        </w:rPr>
      </w:pPr>
      <w:r w:rsidRPr="00090030">
        <w:rPr>
          <w:rFonts w:ascii="SimSun" w:eastAsia="SimSun" w:hAnsi="SimSun"/>
        </w:rPr>
        <w:t>Teradata具有强大的本地化服务能力，配备有强大的本地化技术支持和服务队伍，国内拥有众多的金融业</w:t>
      </w:r>
      <w:r w:rsidR="00BF49D2">
        <w:rPr>
          <w:rFonts w:ascii="SimSun" w:eastAsia="SimSun" w:hAnsi="SimSun" w:hint="eastAsia"/>
        </w:rPr>
        <w:t>大</w:t>
      </w:r>
      <w:r w:rsidRPr="00090030">
        <w:rPr>
          <w:rFonts w:ascii="SimSun" w:eastAsia="SimSun" w:hAnsi="SimSun"/>
        </w:rPr>
        <w:t>数据</w:t>
      </w:r>
      <w:r w:rsidRPr="00090030">
        <w:rPr>
          <w:rFonts w:ascii="SimSun" w:eastAsia="SimSun" w:hAnsi="SimSun" w:hint="eastAsia"/>
        </w:rPr>
        <w:t>与数据</w:t>
      </w:r>
      <w:r w:rsidRPr="00090030">
        <w:rPr>
          <w:rFonts w:ascii="SimSun" w:eastAsia="SimSun" w:hAnsi="SimSun"/>
        </w:rPr>
        <w:t>仓库平台建设的成功案例，无论是国内的项目实施人员还是国外的支持专家具有数据平台建设的实战经验，在行业内具有良好的信誉和业绩。Teradata指派的技术负责人具有较强的技术服务水平和相关专业认证，而且在国内有类似项目成功实施经验。</w:t>
      </w:r>
    </w:p>
    <w:p w14:paraId="45B0DC58" w14:textId="6D34A62D" w:rsidR="00251E80" w:rsidRPr="00090030" w:rsidRDefault="00251E80" w:rsidP="00091E42">
      <w:pPr>
        <w:spacing w:line="360" w:lineRule="auto"/>
        <w:ind w:firstLineChars="200" w:firstLine="480"/>
        <w:rPr>
          <w:rFonts w:ascii="SimSun" w:eastAsia="SimSun" w:hAnsi="SimSun"/>
        </w:rPr>
      </w:pPr>
      <w:r w:rsidRPr="00090030">
        <w:rPr>
          <w:rFonts w:ascii="SimSun" w:eastAsia="SimSun" w:hAnsi="SimSun"/>
        </w:rPr>
        <w:lastRenderedPageBreak/>
        <w:t>在帮助企业建立并分析与用户有关的业务方面，Teradata具有丰富的经验。Teradata在用于经营决策分析的可扩展数据平台系统的国际市场竞争中处于领先地位，特别是在大数据</w:t>
      </w:r>
      <w:r w:rsidR="00A44E61">
        <w:rPr>
          <w:rFonts w:ascii="SimSun" w:eastAsia="SimSun" w:hAnsi="SimSun" w:hint="eastAsia"/>
        </w:rPr>
        <w:t>与数据仓库</w:t>
      </w:r>
      <w:r w:rsidRPr="00090030">
        <w:rPr>
          <w:rFonts w:ascii="SimSun" w:eastAsia="SimSun" w:hAnsi="SimSun"/>
        </w:rPr>
        <w:t>平台领域，其市场占有率领先于其它竞争对手。被Gartner Group这类著名评估机构连续18</w:t>
      </w:r>
      <w:r w:rsidR="00A44E61">
        <w:rPr>
          <w:rFonts w:ascii="SimSun" w:eastAsia="SimSun" w:hAnsi="SimSun"/>
        </w:rPr>
        <w:t>年评为</w:t>
      </w:r>
      <w:r w:rsidR="00A44E61">
        <w:rPr>
          <w:rFonts w:ascii="SimSun" w:eastAsia="SimSun" w:hAnsi="SimSun" w:hint="eastAsia"/>
        </w:rPr>
        <w:t>该</w:t>
      </w:r>
      <w:r w:rsidRPr="00090030">
        <w:rPr>
          <w:rFonts w:ascii="SimSun" w:eastAsia="SimSun" w:hAnsi="SimSun"/>
        </w:rPr>
        <w:t>领域全球第一。</w:t>
      </w:r>
    </w:p>
    <w:p w14:paraId="030375B2" w14:textId="542728FD" w:rsidR="00480DC0" w:rsidRPr="00AF1CE9" w:rsidRDefault="00251E80" w:rsidP="00AF1CE9">
      <w:pPr>
        <w:spacing w:line="360" w:lineRule="auto"/>
        <w:ind w:firstLineChars="200" w:firstLine="480"/>
        <w:rPr>
          <w:rFonts w:ascii="SimSun" w:eastAsia="SimSun" w:hAnsi="SimSun" w:hint="eastAsia"/>
        </w:rPr>
      </w:pPr>
      <w:r w:rsidRPr="00090030">
        <w:rPr>
          <w:rFonts w:ascii="SimSun" w:eastAsia="SimSun" w:hAnsi="SimSun"/>
        </w:rPr>
        <w:t>目前，80%的全球顶级商业和储蓄银行、90%全球十大电信运营商、80%的全球顶级零售商、100%的全球顶级航空公司、83%的世界顶级运输/物流公司，都在使用Teradata</w:t>
      </w:r>
      <w:r w:rsidRPr="00090030">
        <w:rPr>
          <w:rFonts w:ascii="SimSun" w:eastAsia="SimSun" w:hAnsi="SimSun" w:hint="eastAsia"/>
        </w:rPr>
        <w:t>建设的</w:t>
      </w:r>
      <w:r w:rsidRPr="00090030">
        <w:rPr>
          <w:rFonts w:ascii="SimSun" w:eastAsia="SimSun" w:hAnsi="SimSun"/>
        </w:rPr>
        <w:t>数据平台。Teradata数据平台解决方案赋予了企业对涉及其业务的数据进行采集、处理和分析的能力，使得企业的决策者能够根据对用户的深入了解而制定相应的经营策略。</w:t>
      </w:r>
    </w:p>
    <w:p w14:paraId="1A6FBE14" w14:textId="46E3FFBD" w:rsidR="00480DC0" w:rsidRDefault="00480DC0" w:rsidP="00480DC0">
      <w:pPr>
        <w:pStyle w:val="2"/>
      </w:pPr>
      <w:r w:rsidRPr="00480DC0">
        <w:t>Teradata</w:t>
      </w:r>
      <w:r w:rsidRPr="00480DC0">
        <w:t>奖项与赞誉</w:t>
      </w:r>
    </w:p>
    <w:p w14:paraId="502BF2B0" w14:textId="77777777" w:rsidR="009952C1" w:rsidRPr="00274B34" w:rsidRDefault="009952C1" w:rsidP="00274B34">
      <w:pPr>
        <w:spacing w:line="360" w:lineRule="auto"/>
        <w:ind w:firstLineChars="200" w:firstLine="480"/>
        <w:rPr>
          <w:rFonts w:ascii="SimSun" w:eastAsia="SimSun" w:hAnsi="SimSun"/>
        </w:rPr>
      </w:pPr>
      <w:r w:rsidRPr="00274B34">
        <w:rPr>
          <w:rFonts w:ascii="SimSun" w:eastAsia="SimSun" w:hAnsi="SimSun"/>
        </w:rPr>
        <w:t>Teradata 的领先地位与稳定、可靠的数据</w:t>
      </w:r>
      <w:r w:rsidRPr="00274B34">
        <w:rPr>
          <w:rFonts w:ascii="SimSun" w:eastAsia="SimSun" w:hAnsi="SimSun" w:hint="eastAsia"/>
        </w:rPr>
        <w:t>平台</w:t>
      </w:r>
      <w:r w:rsidRPr="00274B34">
        <w:rPr>
          <w:rFonts w:ascii="SimSun" w:eastAsia="SimSun" w:hAnsi="SimSun"/>
        </w:rPr>
        <w:t>和企业智能解决方案深受业界分析师、媒体与客户的高度肯定。</w:t>
      </w:r>
    </w:p>
    <w:p w14:paraId="410A2619" w14:textId="77777777" w:rsidR="009952C1" w:rsidRPr="00FE6E4E" w:rsidRDefault="009952C1" w:rsidP="009952C1">
      <w:pPr>
        <w:pStyle w:val="3"/>
        <w:spacing w:before="260" w:after="260" w:line="413" w:lineRule="auto"/>
        <w:ind w:left="0" w:firstLine="0"/>
        <w:rPr>
          <w:rFonts w:ascii="Arial" w:eastAsiaTheme="majorEastAsia" w:hAnsi="Arial" w:cs="Arial"/>
        </w:rPr>
      </w:pPr>
      <w:bookmarkStart w:id="0" w:name="_Toc289866730"/>
      <w:bookmarkStart w:id="1" w:name="_Toc388020722"/>
      <w:bookmarkStart w:id="2" w:name="_Toc399162876"/>
      <w:bookmarkStart w:id="3" w:name="_Toc401054705"/>
      <w:bookmarkStart w:id="4" w:name="_Toc401922948"/>
      <w:r w:rsidRPr="00FE6E4E">
        <w:rPr>
          <w:rFonts w:ascii="Arial" w:eastAsiaTheme="majorEastAsia" w:hAnsi="Arial" w:cs="Arial"/>
        </w:rPr>
        <w:t>Teradata</w:t>
      </w:r>
      <w:r w:rsidRPr="00FE6E4E">
        <w:rPr>
          <w:rFonts w:ascii="Arial" w:eastAsiaTheme="majorEastAsia" w:hAnsi="Arial" w:cs="Arial"/>
        </w:rPr>
        <w:t>连续</w:t>
      </w:r>
      <w:r w:rsidRPr="00FE6E4E">
        <w:rPr>
          <w:rFonts w:ascii="Arial" w:eastAsiaTheme="majorEastAsia" w:hAnsi="Arial" w:cs="Arial"/>
        </w:rPr>
        <w:t>1</w:t>
      </w:r>
      <w:r>
        <w:rPr>
          <w:rFonts w:ascii="Arial" w:eastAsiaTheme="majorEastAsia" w:hAnsi="Arial" w:cs="Arial"/>
        </w:rPr>
        <w:t>8</w:t>
      </w:r>
      <w:r w:rsidRPr="00FE6E4E">
        <w:rPr>
          <w:rFonts w:ascii="Arial" w:eastAsiaTheme="majorEastAsia" w:hAnsi="Arial" w:cs="Arial"/>
        </w:rPr>
        <w:t>年被评为数据仓库领域全球第一名</w:t>
      </w:r>
      <w:bookmarkEnd w:id="0"/>
      <w:bookmarkEnd w:id="1"/>
      <w:bookmarkEnd w:id="2"/>
      <w:bookmarkEnd w:id="3"/>
      <w:bookmarkEnd w:id="4"/>
    </w:p>
    <w:p w14:paraId="3D6476F5" w14:textId="77777777" w:rsidR="009952C1" w:rsidRPr="00274B34" w:rsidRDefault="009952C1" w:rsidP="00274B34">
      <w:pPr>
        <w:spacing w:line="360" w:lineRule="auto"/>
        <w:ind w:firstLineChars="200" w:firstLine="480"/>
        <w:rPr>
          <w:rFonts w:ascii="SimSun" w:eastAsia="SimSun" w:hAnsi="SimSun"/>
        </w:rPr>
      </w:pPr>
      <w:r w:rsidRPr="00274B34">
        <w:rPr>
          <w:rFonts w:ascii="SimSun" w:eastAsia="SimSun" w:hAnsi="SimSun"/>
        </w:rPr>
        <w:t xml:space="preserve">Gartner是全球最具权威的IT研究与顾问咨询公司，其研究范围几乎覆盖全部IT产业，就IT的研究、发展、评估、应用、市场等领域，为客户提供客观、公正的论证报告及市场调研报告，协助客户进行市场分析、技术选择、项目论证、投资决策。为决策者在投资风险和管理、营销策略、发展方向等重大问题上提供重要咨询建议，帮助决策者做出正确抉择。 </w:t>
      </w:r>
    </w:p>
    <w:p w14:paraId="523461BB" w14:textId="25174DA8" w:rsidR="009952C1" w:rsidRPr="00274B34" w:rsidRDefault="00F95F49" w:rsidP="00274B34">
      <w:pPr>
        <w:spacing w:line="360" w:lineRule="auto"/>
        <w:ind w:firstLineChars="200" w:firstLine="480"/>
        <w:rPr>
          <w:rFonts w:ascii="SimSun" w:eastAsia="SimSun" w:hAnsi="SimSun"/>
        </w:rPr>
      </w:pPr>
      <w:r>
        <w:rPr>
          <w:rFonts w:ascii="SimSun" w:eastAsia="SimSun" w:hAnsi="SimSun"/>
        </w:rPr>
        <w:t>2017</w:t>
      </w:r>
      <w:r w:rsidR="009952C1" w:rsidRPr="00274B34">
        <w:rPr>
          <w:rFonts w:ascii="SimSun" w:eastAsia="SimSun" w:hAnsi="SimSun"/>
        </w:rPr>
        <w:t>年2月，Gartner发布了</w:t>
      </w:r>
      <w:r>
        <w:rPr>
          <w:rFonts w:ascii="SimSun" w:eastAsia="SimSun" w:hAnsi="SimSun"/>
        </w:rPr>
        <w:t>2017</w:t>
      </w:r>
      <w:r w:rsidR="009952C1" w:rsidRPr="00274B34">
        <w:rPr>
          <w:rFonts w:ascii="SimSun" w:eastAsia="SimSun" w:hAnsi="SimSun"/>
        </w:rPr>
        <w:t>“数据仓库数据库管理系统魔力象限”报告，再次将Teradata列于领先者象限。这是Teradata连续第18年获此荣誉。该分析报告评估了各大厂商在数据仓库DBMS市场愿景的完整性及执行能力，并对其进行定位。</w:t>
      </w:r>
    </w:p>
    <w:p w14:paraId="3E961CC6" w14:textId="77777777" w:rsidR="009952C1" w:rsidRPr="00274B34" w:rsidRDefault="009952C1" w:rsidP="00274B34">
      <w:pPr>
        <w:spacing w:line="360" w:lineRule="auto"/>
        <w:ind w:firstLineChars="200" w:firstLine="480"/>
        <w:rPr>
          <w:rFonts w:ascii="SimSun" w:eastAsia="SimSun" w:hAnsi="SimSun"/>
        </w:rPr>
      </w:pPr>
      <w:r w:rsidRPr="00274B34">
        <w:rPr>
          <w:rFonts w:ascii="SimSun" w:eastAsia="SimSun" w:hAnsi="SimSun"/>
        </w:rPr>
        <w:t>Gartner精确界定了数据仓库数据库管理系统（DBMS）领先者象限中的厂商必须“对大量并发用户和管理混合工作负载的各种规模数据仓库提供最强大支持的供应商。他们始终如一地为客户提供满意的服务和强大的支持，拥有深厚的数据仓库DBMS市场背景和强大的硬件联盟，引领数据仓库市场的发展。因此，在混合工作负载、数据库规模和复杂性不断增加的情况下，领先厂商也代表了数据仓库实施的成功率最高、风险最低。此外，市场的成熟度要求领先厂商对过去一年的主要趋势保持强大愿景，包括终端用户服务水平满意以及数据量管理的混合工作负载管理。”</w:t>
      </w:r>
    </w:p>
    <w:p w14:paraId="1FDAA99B" w14:textId="77777777" w:rsidR="009952C1" w:rsidRPr="00FE6E4E" w:rsidRDefault="009952C1" w:rsidP="009952C1">
      <w:pPr>
        <w:spacing w:after="120"/>
        <w:jc w:val="center"/>
        <w:rPr>
          <w:rFonts w:ascii="Arial" w:eastAsiaTheme="majorEastAsia" w:hAnsi="Arial" w:cs="Arial"/>
        </w:rPr>
      </w:pPr>
      <w:r>
        <w:rPr>
          <w:rFonts w:ascii="Arial" w:eastAsiaTheme="majorEastAsia" w:hAnsi="Arial" w:cs="Arial"/>
          <w:noProof/>
        </w:rPr>
        <w:drawing>
          <wp:inline distT="0" distB="0" distL="0" distR="0" wp14:anchorId="2C179028" wp14:editId="114327E4">
            <wp:extent cx="4414397" cy="4235719"/>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3-31 下午5.27.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4603" cy="4245512"/>
                    </a:xfrm>
                    <a:prstGeom prst="rect">
                      <a:avLst/>
                    </a:prstGeom>
                  </pic:spPr>
                </pic:pic>
              </a:graphicData>
            </a:graphic>
          </wp:inline>
        </w:drawing>
      </w:r>
    </w:p>
    <w:p w14:paraId="22A95256" w14:textId="77777777" w:rsidR="009952C1" w:rsidRPr="00FE6E4E" w:rsidRDefault="009952C1" w:rsidP="009952C1">
      <w:pPr>
        <w:spacing w:after="120"/>
        <w:jc w:val="center"/>
        <w:rPr>
          <w:rFonts w:ascii="Arial" w:eastAsiaTheme="majorEastAsia" w:hAnsi="Arial" w:cs="Arial"/>
          <w:sz w:val="22"/>
        </w:rPr>
      </w:pPr>
      <w:r w:rsidRPr="00FE6E4E">
        <w:rPr>
          <w:rFonts w:ascii="Arial" w:eastAsiaTheme="majorEastAsia" w:hAnsi="Arial" w:cs="Arial"/>
          <w:sz w:val="22"/>
        </w:rPr>
        <w:t>图：</w:t>
      </w:r>
      <w:r w:rsidRPr="00FE6E4E">
        <w:rPr>
          <w:rFonts w:ascii="Arial" w:eastAsiaTheme="majorEastAsia" w:hAnsi="Arial" w:cs="Arial"/>
          <w:sz w:val="22"/>
        </w:rPr>
        <w:t>Gartner“</w:t>
      </w:r>
      <w:r w:rsidRPr="00FE6E4E">
        <w:rPr>
          <w:rFonts w:ascii="Arial" w:eastAsiaTheme="majorEastAsia" w:hAnsi="Arial" w:cs="Arial"/>
          <w:sz w:val="22"/>
        </w:rPr>
        <w:t>数据仓库数据库管理系统魔力象限</w:t>
      </w:r>
      <w:r w:rsidRPr="00FE6E4E">
        <w:rPr>
          <w:rFonts w:ascii="Arial" w:eastAsiaTheme="majorEastAsia" w:hAnsi="Arial" w:cs="Arial"/>
          <w:sz w:val="22"/>
        </w:rPr>
        <w:t>”</w:t>
      </w:r>
    </w:p>
    <w:p w14:paraId="54C87B77" w14:textId="77777777" w:rsidR="009952C1" w:rsidRPr="005119C4" w:rsidRDefault="009952C1" w:rsidP="005119C4">
      <w:pPr>
        <w:spacing w:line="360" w:lineRule="auto"/>
        <w:ind w:firstLineChars="200" w:firstLine="480"/>
        <w:rPr>
          <w:rFonts w:ascii="SimSun" w:eastAsia="SimSun" w:hAnsi="SimSun"/>
        </w:rPr>
      </w:pPr>
      <w:r w:rsidRPr="005119C4">
        <w:rPr>
          <w:rFonts w:ascii="SimSun" w:eastAsia="SimSun" w:hAnsi="SimSun"/>
        </w:rPr>
        <w:t>Teradata连续18年被Gartner Group评为数据仓库领域全球第一名，荣获 Gartner 肯定，在下列三个类别中位居于领先者象限：</w:t>
      </w:r>
    </w:p>
    <w:p w14:paraId="2A357659" w14:textId="77777777" w:rsidR="009952C1" w:rsidRPr="005119C4" w:rsidRDefault="009952C1" w:rsidP="005119C4">
      <w:pPr>
        <w:pStyle w:val="a5"/>
        <w:numPr>
          <w:ilvl w:val="0"/>
          <w:numId w:val="15"/>
        </w:numPr>
        <w:spacing w:line="360" w:lineRule="auto"/>
        <w:ind w:firstLineChars="0"/>
        <w:rPr>
          <w:rFonts w:ascii="SimSun" w:eastAsia="SimSun" w:hAnsi="SimSun"/>
        </w:rPr>
      </w:pPr>
      <w:r w:rsidRPr="005119C4">
        <w:rPr>
          <w:rFonts w:ascii="SimSun" w:eastAsia="SimSun" w:hAnsi="SimSun"/>
        </w:rPr>
        <w:t>全球数据仓库 DBMS 数据库服务器市场 [DW Report]</w:t>
      </w:r>
    </w:p>
    <w:p w14:paraId="600A004F" w14:textId="77777777" w:rsidR="009952C1" w:rsidRPr="005119C4" w:rsidRDefault="009952C1" w:rsidP="005119C4">
      <w:pPr>
        <w:pStyle w:val="a5"/>
        <w:numPr>
          <w:ilvl w:val="0"/>
          <w:numId w:val="15"/>
        </w:numPr>
        <w:spacing w:line="360" w:lineRule="auto"/>
        <w:ind w:firstLineChars="0"/>
        <w:rPr>
          <w:rFonts w:ascii="SimSun" w:eastAsia="SimSun" w:hAnsi="SimSun"/>
        </w:rPr>
      </w:pPr>
      <w:r w:rsidRPr="005119C4">
        <w:rPr>
          <w:rFonts w:ascii="SimSun" w:eastAsia="SimSun" w:hAnsi="SimSun"/>
        </w:rPr>
        <w:t>全球数据仓库 DBMS 数据库系统市场 [DW Systems Report]</w:t>
      </w:r>
    </w:p>
    <w:p w14:paraId="7ABAB794" w14:textId="77777777" w:rsidR="009952C1" w:rsidRPr="005119C4" w:rsidRDefault="009952C1" w:rsidP="005119C4">
      <w:pPr>
        <w:pStyle w:val="a5"/>
        <w:numPr>
          <w:ilvl w:val="0"/>
          <w:numId w:val="15"/>
        </w:numPr>
        <w:spacing w:line="360" w:lineRule="auto"/>
        <w:ind w:firstLineChars="0"/>
        <w:rPr>
          <w:rFonts w:ascii="SimSun" w:eastAsia="SimSun" w:hAnsi="SimSun"/>
        </w:rPr>
      </w:pPr>
      <w:r w:rsidRPr="005119C4">
        <w:rPr>
          <w:rFonts w:ascii="SimSun" w:eastAsia="SimSun" w:hAnsi="SimSun"/>
        </w:rPr>
        <w:t>多渠道营销活动管理（CRM）应用程序市场 [Magic Quadrant for Multichannel Campaign Management, 1Q06]，作者 Adam Sarner，2007</w:t>
      </w:r>
    </w:p>
    <w:p w14:paraId="6821A3A5" w14:textId="77777777" w:rsidR="009952C1" w:rsidRPr="005119C4" w:rsidRDefault="009952C1" w:rsidP="005119C4">
      <w:pPr>
        <w:pStyle w:val="a5"/>
        <w:numPr>
          <w:ilvl w:val="0"/>
          <w:numId w:val="15"/>
        </w:numPr>
        <w:spacing w:line="360" w:lineRule="auto"/>
        <w:ind w:firstLineChars="0"/>
        <w:rPr>
          <w:rFonts w:ascii="SimSun" w:eastAsia="SimSun" w:hAnsi="SimSun"/>
        </w:rPr>
      </w:pPr>
      <w:r w:rsidRPr="005119C4">
        <w:rPr>
          <w:rFonts w:ascii="SimSun" w:eastAsia="SimSun" w:hAnsi="SimSun"/>
        </w:rPr>
        <w:t>在Gartner 《服务器评估模型报告》中被评为领先厂商（“Gartner Server Evaluation Model Report”）。</w:t>
      </w:r>
    </w:p>
    <w:p w14:paraId="6D8FECF2" w14:textId="77777777" w:rsidR="009952C1" w:rsidRPr="00FE6E4E" w:rsidRDefault="009952C1" w:rsidP="009952C1">
      <w:pPr>
        <w:pStyle w:val="3"/>
        <w:spacing w:before="260" w:after="260" w:line="413" w:lineRule="auto"/>
        <w:ind w:left="0" w:firstLine="0"/>
        <w:rPr>
          <w:rFonts w:ascii="Arial" w:eastAsiaTheme="majorEastAsia" w:hAnsi="Arial" w:cs="Arial"/>
        </w:rPr>
      </w:pPr>
      <w:bookmarkStart w:id="5" w:name="_Toc240867174"/>
      <w:bookmarkStart w:id="6" w:name="_Toc240954010"/>
      <w:bookmarkStart w:id="7" w:name="_Toc245208266"/>
      <w:bookmarkStart w:id="8" w:name="_Toc250981394"/>
      <w:bookmarkStart w:id="9" w:name="_Toc252484169"/>
      <w:bookmarkStart w:id="10" w:name="_Toc286911495"/>
      <w:bookmarkStart w:id="11" w:name="_Toc289866731"/>
      <w:bookmarkStart w:id="12" w:name="_Toc388020723"/>
      <w:bookmarkStart w:id="13" w:name="_Toc399162877"/>
      <w:bookmarkStart w:id="14" w:name="_Toc401054706"/>
      <w:bookmarkStart w:id="15" w:name="_Toc401922949"/>
      <w:r w:rsidRPr="00FE6E4E">
        <w:rPr>
          <w:rFonts w:ascii="Arial" w:eastAsiaTheme="majorEastAsia" w:hAnsi="Arial" w:cs="Arial"/>
        </w:rPr>
        <w:t>Teradata</w:t>
      </w:r>
      <w:r w:rsidRPr="00FE6E4E">
        <w:rPr>
          <w:rFonts w:ascii="Arial" w:eastAsiaTheme="majorEastAsia" w:hAnsi="Arial" w:cs="Arial"/>
        </w:rPr>
        <w:t>近三年所获奖项</w:t>
      </w:r>
      <w:bookmarkEnd w:id="5"/>
      <w:bookmarkEnd w:id="6"/>
      <w:bookmarkEnd w:id="7"/>
      <w:bookmarkEnd w:id="8"/>
      <w:bookmarkEnd w:id="9"/>
      <w:bookmarkEnd w:id="10"/>
      <w:bookmarkEnd w:id="11"/>
      <w:bookmarkEnd w:id="12"/>
      <w:bookmarkEnd w:id="13"/>
      <w:bookmarkEnd w:id="14"/>
      <w:bookmarkEnd w:id="15"/>
    </w:p>
    <w:p w14:paraId="4581F15B" w14:textId="7C5D0778" w:rsidR="009952C1" w:rsidRPr="005119C4" w:rsidRDefault="0055357F" w:rsidP="005119C4">
      <w:pPr>
        <w:pStyle w:val="a5"/>
        <w:numPr>
          <w:ilvl w:val="0"/>
          <w:numId w:val="16"/>
        </w:numPr>
        <w:spacing w:line="360" w:lineRule="auto"/>
        <w:ind w:firstLineChars="0"/>
        <w:rPr>
          <w:rFonts w:ascii="SimSun" w:eastAsia="SimSun" w:hAnsi="SimSun"/>
        </w:rPr>
      </w:pPr>
      <w:r>
        <w:rPr>
          <w:rFonts w:ascii="SimSun" w:eastAsia="SimSun" w:hAnsi="SimSun"/>
        </w:rPr>
        <w:t>2017</w:t>
      </w:r>
      <w:r w:rsidR="009952C1" w:rsidRPr="005119C4">
        <w:rPr>
          <w:rFonts w:ascii="SimSun" w:eastAsia="SimSun" w:hAnsi="SimSun"/>
        </w:rPr>
        <w:t>年，Teradata天睿公司连续第</w:t>
      </w:r>
      <w:r>
        <w:rPr>
          <w:rFonts w:ascii="SimSun" w:eastAsia="SimSun" w:hAnsi="SimSun"/>
        </w:rPr>
        <w:t>18</w:t>
      </w:r>
      <w:bookmarkStart w:id="16" w:name="_GoBack"/>
      <w:bookmarkEnd w:id="16"/>
      <w:r w:rsidR="009952C1" w:rsidRPr="005119C4">
        <w:rPr>
          <w:rFonts w:ascii="SimSun" w:eastAsia="SimSun" w:hAnsi="SimSun"/>
        </w:rPr>
        <w:t>年入选Gartner公司的《数据仓库数据库管理系统魔力象限》“领先者象限”。</w:t>
      </w:r>
    </w:p>
    <w:p w14:paraId="25150A33"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2013年12月, Forrester最新公布了 2013年数据仓库平台排名, Teradata荣获整体评测, 及EDW战略第一名。</w:t>
      </w:r>
    </w:p>
    <w:p w14:paraId="33350DB6"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 Aster 5.10大数据深度挖掘平台荣获People’s Choice Stevie® Award 2013年度最受欢迎产品奖。</w:t>
      </w:r>
    </w:p>
    <w:p w14:paraId="155BC806"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 Corporation 连续三年评选入围道琼斯可持续发展全球指数。</w:t>
      </w:r>
    </w:p>
    <w:p w14:paraId="7D155DE6"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 Corporation入选2013年福布斯杂志全球最具创新力100强公司，荣获第14名。</w:t>
      </w:r>
    </w:p>
    <w:p w14:paraId="37C04AF3"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2013年，Teradata天睿公司及其Claraview业务部门荣获Gartner《北美地区商业智能和信息管理市场分析报告》中针对咨询和系统集成服务供应商的“正”（positive）评级。</w:t>
      </w:r>
    </w:p>
    <w:p w14:paraId="670812A2"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2013年，Teradata天睿公司在Motley Fool Analyst Team的“全美最佳上市公司”排名中位列第二。</w:t>
      </w:r>
    </w:p>
    <w:p w14:paraId="3BBFC032"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2013年，Teradata天睿公司再度被Ethisphere 研究机构评选为“全球最具商业道德企业”，这是连续第4年获此荣誉。</w:t>
      </w:r>
    </w:p>
    <w:p w14:paraId="463D14DB"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2012年，Teradata Aster 大数据综合分析平台荣获《中国计算机报》2012年编辑选择奖优秀大数据解决方案奖。</w:t>
      </w:r>
    </w:p>
    <w:p w14:paraId="3055F578"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2012年，Teradata在Information Difference Study 数据仓库研究中被评为领先者。</w:t>
      </w:r>
    </w:p>
    <w:p w14:paraId="6CB6C340"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Teradata实验室因远见卓识的领先者风范于2012年又一次赢取NetApp创新奖（NetApp Innovation Award）。这是公司的第8个年度创新奖。</w:t>
      </w:r>
    </w:p>
    <w:p w14:paraId="3A6D531B"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2012年，Teradata在银行家银行技术创新奖（Banker’s Innovation in Banking Technology Awards）的数据管理评比中荣获第一名。这是该奖项第一次颁发给对行业有突出贡献的技术供应商和引导者。</w:t>
      </w:r>
    </w:p>
    <w:p w14:paraId="0F19F92B"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Teradata虚拟存储在2012年的美国技术奖（American Technology Awards）中获最终提名。该奖又被称为“The Termans”，被业界专家和各技术企业所高度重视。</w:t>
      </w:r>
    </w:p>
    <w:p w14:paraId="7278AF99"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2012年，Teradata杂志成为赫耳墨斯创作奖（Hermes Creative Awards）的白金奖得主。印刷版及在线版均获得白金奖项。</w:t>
      </w:r>
    </w:p>
    <w:p w14:paraId="1AF57DA4"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2012年，Teradata在《财富》“全球最受敬仰的企业”调查（Fortune ‘ World's Most Admired Companies ’ Survey）中名列前茅。Teradata不仅再次上榜而且比2011年的排位更靠前。</w:t>
      </w:r>
    </w:p>
    <w:p w14:paraId="56E1B632"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Teradata在2012下一代欧洲能源峰会（The Next Generation Utilities Europe Summit 2012）上荣获“峰会思想领导者奖”。该奖项由所有的与会者投票选出。</w:t>
      </w:r>
    </w:p>
    <w:p w14:paraId="33D6DA11" w14:textId="77777777" w:rsidR="00480DC0" w:rsidRPr="009952C1" w:rsidRDefault="00480DC0" w:rsidP="00480DC0">
      <w:pPr>
        <w:rPr>
          <w:lang w:val="en-AU"/>
        </w:rPr>
      </w:pPr>
    </w:p>
    <w:p w14:paraId="547880F0" w14:textId="77777777" w:rsidR="00480DC0" w:rsidRDefault="00480DC0" w:rsidP="00480DC0"/>
    <w:p w14:paraId="2DF74AF5" w14:textId="77777777" w:rsidR="00480DC0" w:rsidRPr="00480DC0" w:rsidRDefault="00480DC0" w:rsidP="00480DC0"/>
    <w:sectPr w:rsidR="00480DC0" w:rsidRPr="00480DC0" w:rsidSect="00A64B0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bullet"/>
      <w:pStyle w:val="Bullet-BodyText1Level1"/>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79D4091"/>
    <w:multiLevelType w:val="hybridMultilevel"/>
    <w:tmpl w:val="7D5CD09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D120BB8"/>
    <w:multiLevelType w:val="hybridMultilevel"/>
    <w:tmpl w:val="A1EC5E30"/>
    <w:lvl w:ilvl="0" w:tplc="5A2E05B8">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
    <w:nsid w:val="140705C1"/>
    <w:multiLevelType w:val="hybridMultilevel"/>
    <w:tmpl w:val="C346F974"/>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1BCA555C"/>
    <w:multiLevelType w:val="multilevel"/>
    <w:tmpl w:val="1F067F6A"/>
    <w:lvl w:ilvl="0">
      <w:start w:val="1"/>
      <w:numFmt w:val="decimal"/>
      <w:lvlText w:val="%1"/>
      <w:lvlJc w:val="left"/>
      <w:pPr>
        <w:tabs>
          <w:tab w:val="num" w:pos="432"/>
        </w:tabs>
        <w:ind w:left="432" w:hanging="432"/>
      </w:pPr>
      <w:rPr>
        <w:rFonts w:hint="eastAsia"/>
        <w:b/>
        <w:i w:val="0"/>
      </w:rPr>
    </w:lvl>
    <w:lvl w:ilvl="1">
      <w:start w:val="1"/>
      <w:numFmt w:val="decimal"/>
      <w:lvlText w:val="%1.%2"/>
      <w:lvlJc w:val="left"/>
      <w:pPr>
        <w:tabs>
          <w:tab w:val="num" w:pos="576"/>
        </w:tabs>
        <w:ind w:left="576" w:hanging="576"/>
      </w:pPr>
      <w:rPr>
        <w:rFonts w:hint="eastAsia"/>
        <w:b/>
        <w:i w:val="0"/>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ascii="宋体" w:eastAsia="宋体" w:hAnsi="宋体" w:hint="eastAsia"/>
        <w:b/>
        <w:i w:val="0"/>
      </w:rPr>
    </w:lvl>
    <w:lvl w:ilvl="4">
      <w:start w:val="1"/>
      <w:numFmt w:val="decimal"/>
      <w:pStyle w:val="5"/>
      <w:lvlText w:val="%1.%2.%3.%4.%5"/>
      <w:lvlJc w:val="left"/>
      <w:pPr>
        <w:tabs>
          <w:tab w:val="num" w:pos="1008"/>
        </w:tabs>
        <w:ind w:left="1008" w:hanging="1008"/>
      </w:pPr>
      <w:rPr>
        <w:rFonts w:hint="eastAsia"/>
        <w:b/>
        <w:i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3A980F6F"/>
    <w:multiLevelType w:val="hybridMultilevel"/>
    <w:tmpl w:val="F66AF50E"/>
    <w:lvl w:ilvl="0" w:tplc="B52CC73C">
      <w:start w:val="1"/>
      <w:numFmt w:val="bullet"/>
      <w:pStyle w:val="TD-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C759B0"/>
    <w:multiLevelType w:val="multilevel"/>
    <w:tmpl w:val="A00EBAB0"/>
    <w:lvl w:ilvl="0">
      <w:start w:val="1"/>
      <w:numFmt w:val="decimal"/>
      <w:pStyle w:val="1"/>
      <w:suff w:val="space"/>
      <w:lvlText w:val="第%1章"/>
      <w:lvlJc w:val="left"/>
      <w:pPr>
        <w:ind w:left="432" w:hanging="432"/>
      </w:pPr>
      <w:rPr>
        <w:rFonts w:ascii="Arial" w:eastAsia="宋体" w:hAnsi="Arial" w:hint="default"/>
        <w:b w:val="0"/>
        <w:i w:val="0"/>
        <w:spacing w:val="0"/>
        <w:sz w:val="36"/>
        <w:szCs w:val="36"/>
        <w:lang w:val="en-US"/>
      </w:rPr>
    </w:lvl>
    <w:lvl w:ilvl="1">
      <w:start w:val="1"/>
      <w:numFmt w:val="decimal"/>
      <w:pStyle w:val="2"/>
      <w:suff w:val="space"/>
      <w:lvlText w:val="%1.%2"/>
      <w:lvlJc w:val="left"/>
      <w:pPr>
        <w:ind w:left="567" w:hanging="567"/>
      </w:pPr>
      <w:rPr>
        <w:rFonts w:ascii="Arial" w:eastAsia="黑体" w:hAnsi="Arial" w:hint="default"/>
        <w:b/>
        <w:i w:val="0"/>
        <w:color w:val="auto"/>
        <w:sz w:val="32"/>
        <w:szCs w:val="32"/>
      </w:rPr>
    </w:lvl>
    <w:lvl w:ilvl="2">
      <w:start w:val="1"/>
      <w:numFmt w:val="decimal"/>
      <w:pStyle w:val="3"/>
      <w:suff w:val="space"/>
      <w:lvlText w:val="%1.%2.%3"/>
      <w:lvlJc w:val="left"/>
      <w:pPr>
        <w:ind w:left="927" w:hanging="567"/>
      </w:pPr>
      <w:rPr>
        <w:rFonts w:ascii="Arial" w:eastAsia="黑体" w:hAnsi="Arial" w:hint="default"/>
        <w:b w:val="0"/>
        <w:i w:val="0"/>
        <w:sz w:val="30"/>
        <w:szCs w:val="30"/>
      </w:rPr>
    </w:lvl>
    <w:lvl w:ilvl="3">
      <w:start w:val="1"/>
      <w:numFmt w:val="decimal"/>
      <w:pStyle w:val="4"/>
      <w:suff w:val="space"/>
      <w:lvlText w:val="%1.%2.%3.%4"/>
      <w:lvlJc w:val="left"/>
      <w:pPr>
        <w:ind w:left="567" w:hanging="567"/>
      </w:pPr>
      <w:rPr>
        <w:rFonts w:ascii="Arial" w:eastAsia="黑体" w:hAnsi="Arial" w:hint="default"/>
        <w:b w:val="0"/>
        <w:i w:val="0"/>
        <w:sz w:val="28"/>
        <w:szCs w:val="2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68E26952"/>
    <w:multiLevelType w:val="hybridMultilevel"/>
    <w:tmpl w:val="7570A670"/>
    <w:lvl w:ilvl="0" w:tplc="04090001">
      <w:start w:val="1"/>
      <w:numFmt w:val="bullet"/>
      <w:lvlText w:val=""/>
      <w:lvlJc w:val="left"/>
      <w:pPr>
        <w:tabs>
          <w:tab w:val="num" w:pos="720"/>
        </w:tabs>
        <w:ind w:left="720" w:hanging="360"/>
      </w:pPr>
      <w:rPr>
        <w:rFonts w:ascii="Symbol" w:hAnsi="Symbol" w:hint="default"/>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700F4A9A"/>
    <w:multiLevelType w:val="hybridMultilevel"/>
    <w:tmpl w:val="EAC42034"/>
    <w:lvl w:ilvl="0" w:tplc="0AEA16BE">
      <w:start w:val="1"/>
      <w:numFmt w:val="bullet"/>
      <w:lvlText w:val=""/>
      <w:lvlJc w:val="left"/>
      <w:pPr>
        <w:ind w:left="1080" w:hanging="360"/>
      </w:pPr>
      <w:rPr>
        <w:rFonts w:ascii="Wingdings" w:hAnsi="Wingdings" w:hint="default"/>
      </w:rPr>
    </w:lvl>
    <w:lvl w:ilvl="1" w:tplc="5712B17E">
      <w:start w:val="1"/>
      <w:numFmt w:val="bullet"/>
      <w:pStyle w:val="TD-2"/>
      <w:lvlText w:val="−"/>
      <w:lvlJc w:val="left"/>
      <w:pPr>
        <w:ind w:left="1800" w:hanging="360"/>
      </w:pPr>
      <w:rPr>
        <w:rFonts w:ascii="Times New Roman" w:hAnsi="Times New Roman" w:cs="Times New Roman" w:hint="default"/>
      </w:rPr>
    </w:lvl>
    <w:lvl w:ilvl="2" w:tplc="D5FA6870">
      <w:start w:val="1"/>
      <w:numFmt w:val="bullet"/>
      <w:pStyle w:val="TD-3"/>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9B3128"/>
    <w:multiLevelType w:val="hybridMultilevel"/>
    <w:tmpl w:val="2BDC0ED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6"/>
  </w:num>
  <w:num w:numId="2">
    <w:abstractNumId w:val="6"/>
  </w:num>
  <w:num w:numId="3">
    <w:abstractNumId w:val="6"/>
  </w:num>
  <w:num w:numId="4">
    <w:abstractNumId w:val="6"/>
  </w:num>
  <w:num w:numId="5">
    <w:abstractNumId w:val="4"/>
  </w:num>
  <w:num w:numId="6">
    <w:abstractNumId w:val="5"/>
  </w:num>
  <w:num w:numId="7">
    <w:abstractNumId w:val="8"/>
  </w:num>
  <w:num w:numId="8">
    <w:abstractNumId w:val="8"/>
  </w:num>
  <w:num w:numId="9">
    <w:abstractNumId w:val="6"/>
  </w:num>
  <w:num w:numId="10">
    <w:abstractNumId w:val="6"/>
  </w:num>
  <w:num w:numId="11">
    <w:abstractNumId w:val="2"/>
  </w:num>
  <w:num w:numId="12">
    <w:abstractNumId w:val="0"/>
  </w:num>
  <w:num w:numId="13">
    <w:abstractNumId w:val="7"/>
  </w:num>
  <w:num w:numId="14">
    <w:abstractNumId w:val="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35"/>
    <w:rsid w:val="00023E35"/>
    <w:rsid w:val="000272BE"/>
    <w:rsid w:val="00057EE0"/>
    <w:rsid w:val="00090030"/>
    <w:rsid w:val="00091E42"/>
    <w:rsid w:val="00251E80"/>
    <w:rsid w:val="00253704"/>
    <w:rsid w:val="00274B34"/>
    <w:rsid w:val="002A1202"/>
    <w:rsid w:val="00480DC0"/>
    <w:rsid w:val="005119C4"/>
    <w:rsid w:val="00517471"/>
    <w:rsid w:val="005440C7"/>
    <w:rsid w:val="0055357F"/>
    <w:rsid w:val="005A5CDD"/>
    <w:rsid w:val="005B17B4"/>
    <w:rsid w:val="00613D82"/>
    <w:rsid w:val="00903C3A"/>
    <w:rsid w:val="009952C1"/>
    <w:rsid w:val="00A44E61"/>
    <w:rsid w:val="00A64B0F"/>
    <w:rsid w:val="00AF1CE9"/>
    <w:rsid w:val="00AF21DD"/>
    <w:rsid w:val="00BF49D2"/>
    <w:rsid w:val="00C509FD"/>
    <w:rsid w:val="00E626DB"/>
    <w:rsid w:val="00E838D2"/>
    <w:rsid w:val="00ED2D62"/>
    <w:rsid w:val="00F01E18"/>
    <w:rsid w:val="00F95F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DEFE2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aliases w:val="TD-标题1,H1,H11,H12,H13,H14,H15,H16,H17,H18,H19,H110,H111,H112,H121,H131,H141,H151,H161,H171,H181,H191,H1101,H1111,H113,H122,H132,H142,H152,H162,H172,H182,H192,H1102,H1112,H1121,H1211,H1311,H1411,H1511,H1611,H1711,H1811,H1911,H11011,H11111,H114"/>
    <w:basedOn w:val="a"/>
    <w:next w:val="a"/>
    <w:link w:val="10"/>
    <w:autoRedefine/>
    <w:qFormat/>
    <w:rsid w:val="00057EE0"/>
    <w:pPr>
      <w:keepNext/>
      <w:keepLines/>
      <w:pageBreakBefore/>
      <w:numPr>
        <w:numId w:val="4"/>
      </w:numPr>
      <w:spacing w:before="240" w:after="240"/>
      <w:jc w:val="left"/>
      <w:outlineLvl w:val="0"/>
    </w:pPr>
    <w:rPr>
      <w:rFonts w:ascii="宋体" w:eastAsia="宋体" w:hAnsi="宋体" w:cs="Times New Roman"/>
      <w:b/>
      <w:sz w:val="30"/>
      <w:szCs w:val="30"/>
    </w:rPr>
  </w:style>
  <w:style w:type="paragraph" w:styleId="2">
    <w:name w:val="heading 2"/>
    <w:aliases w:val="TD-标题2,Style Heading 2,H2,H21,H22,H23,H24,H25,H26,H27,H28,H29,H210,H211,H212,H221,H231,H241,H251,H261,H271,H281,H291,H2101,H2111,H213,H222,H232,H242,H252,H262,H272,H282,H292,H2102,H2112,H2121,H2211,H2311,H2411,H2511,H2611,H2711,H2811,H2911,2"/>
    <w:basedOn w:val="a"/>
    <w:next w:val="a"/>
    <w:link w:val="20"/>
    <w:autoRedefine/>
    <w:qFormat/>
    <w:rsid w:val="00057EE0"/>
    <w:pPr>
      <w:keepNext/>
      <w:keepLines/>
      <w:numPr>
        <w:ilvl w:val="1"/>
        <w:numId w:val="4"/>
      </w:numPr>
      <w:spacing w:before="480" w:after="120"/>
      <w:outlineLvl w:val="1"/>
    </w:pPr>
    <w:rPr>
      <w:rFonts w:ascii="Arial" w:hAnsi="Arial" w:cs="Arial"/>
      <w:b/>
      <w:bCs/>
      <w:sz w:val="21"/>
      <w:szCs w:val="22"/>
    </w:rPr>
  </w:style>
  <w:style w:type="paragraph" w:styleId="3">
    <w:name w:val="heading 3"/>
    <w:aliases w:val="TD-标题3,Style Heading 3,H3,H31,H32,H33,H34,H35,H36,H37,H38,H39,H310,H311,H321,H331,H341,H351,H361,H371,H381,H391,H3101,H312,H322,H332,H342,H352,H362,H372,H382,H392,H3102,H3111,H3211,H3311,H3411,H3511,H3611,H3711,H3811,H3911,H31011,H313,H323"/>
    <w:basedOn w:val="a"/>
    <w:next w:val="a"/>
    <w:link w:val="30"/>
    <w:autoRedefine/>
    <w:qFormat/>
    <w:rsid w:val="00057EE0"/>
    <w:pPr>
      <w:keepNext/>
      <w:keepLines/>
      <w:numPr>
        <w:ilvl w:val="2"/>
        <w:numId w:val="4"/>
      </w:numPr>
      <w:spacing w:before="156" w:after="156" w:line="360" w:lineRule="auto"/>
      <w:outlineLvl w:val="2"/>
    </w:pPr>
    <w:rPr>
      <w:rFonts w:ascii="宋体" w:eastAsia="宋体" w:hAnsi="宋体" w:cs="Calibri"/>
      <w:b/>
      <w:sz w:val="21"/>
      <w:szCs w:val="22"/>
    </w:rPr>
  </w:style>
  <w:style w:type="paragraph" w:styleId="4">
    <w:name w:val="heading 4"/>
    <w:aliases w:val="TD-标题4,Style Heading 4,H4,H41,H42,H43,H44,H45,H46,H47,H48,H49,H410,H411,H421,H431,H441,H451,H461,H471,H481,H491,H4101,H412,H422,H432,H442,H452,H462,H472,H482,H492,H4102,H4111,H4211,H4311,H4411,H4511,H4611,H4711,H4811,H4911,H41011,H413,H423"/>
    <w:basedOn w:val="a"/>
    <w:next w:val="a"/>
    <w:link w:val="40"/>
    <w:autoRedefine/>
    <w:qFormat/>
    <w:rsid w:val="00057EE0"/>
    <w:pPr>
      <w:keepNext/>
      <w:keepLines/>
      <w:numPr>
        <w:ilvl w:val="3"/>
        <w:numId w:val="4"/>
      </w:numPr>
      <w:spacing w:before="156" w:after="156" w:line="360" w:lineRule="auto"/>
      <w:outlineLvl w:val="3"/>
    </w:pPr>
    <w:rPr>
      <w:rFonts w:ascii="Times New Roman" w:hAnsi="Times New Roman" w:cs="Times New Roman"/>
      <w:bCs/>
      <w:iCs/>
      <w:sz w:val="21"/>
      <w:szCs w:val="28"/>
    </w:rPr>
  </w:style>
  <w:style w:type="paragraph" w:styleId="5">
    <w:name w:val="heading 5"/>
    <w:aliases w:val="TD-标题5"/>
    <w:basedOn w:val="a"/>
    <w:next w:val="a"/>
    <w:link w:val="50"/>
    <w:autoRedefine/>
    <w:qFormat/>
    <w:rsid w:val="00057EE0"/>
    <w:pPr>
      <w:keepNext/>
      <w:keepLines/>
      <w:numPr>
        <w:ilvl w:val="4"/>
        <w:numId w:val="5"/>
      </w:numPr>
      <w:tabs>
        <w:tab w:val="clear" w:pos="1008"/>
        <w:tab w:val="num" w:pos="2410"/>
      </w:tabs>
      <w:spacing w:before="156" w:after="156" w:line="360" w:lineRule="auto"/>
      <w:outlineLvl w:val="4"/>
    </w:pPr>
    <w:rPr>
      <w:rFonts w:ascii="宋体" w:eastAsia="宋体" w:hAnsi="宋体" w:cs="Times New Roman"/>
      <w:bCs/>
      <w:i/>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TD-标题1字符,H1字符,H11字符,H12字符,H13字符,H14字符,H15字符,H16字符,H17字符,H18字符,H19字符,H110字符,H111字符,H112字符,H121字符,H131字符,H141字符,H151字符,H161字符,H171字符,H181字符,H191字符,H1101字符,H1111字符,H113字符,H122字符,H132字符,H142字符,H152字符,H162字符,H172字符,H182字符,H192字符,H1102字符,H1112字符,H114字符"/>
    <w:basedOn w:val="a0"/>
    <w:link w:val="1"/>
    <w:rsid w:val="00057EE0"/>
    <w:rPr>
      <w:rFonts w:ascii="宋体" w:eastAsia="宋体" w:hAnsi="宋体" w:cs="Times New Roman"/>
      <w:b/>
      <w:sz w:val="30"/>
      <w:szCs w:val="30"/>
    </w:rPr>
  </w:style>
  <w:style w:type="character" w:customStyle="1" w:styleId="20">
    <w:name w:val="标题 2字符"/>
    <w:aliases w:val="TD-标题2字符,Style Heading 2字符,H2字符,H21字符,H22字符,H23字符,H24字符,H25字符,H26字符,H27字符,H28字符,H29字符,H210字符,H211字符,H212字符,H221字符,H231字符,H241字符,H251字符,H261字符,H271字符,H281字符,H291字符,H2101字符,H2111字符,H213字符,H222字符,H232字符,H242字符,H252字符,H262字符,H272字符,H282字符,H292字符,2字符"/>
    <w:basedOn w:val="a0"/>
    <w:link w:val="2"/>
    <w:rsid w:val="00057EE0"/>
    <w:rPr>
      <w:rFonts w:ascii="Arial" w:hAnsi="Arial" w:cs="Arial"/>
      <w:b/>
      <w:bCs/>
      <w:sz w:val="21"/>
      <w:szCs w:val="22"/>
    </w:rPr>
  </w:style>
  <w:style w:type="character" w:customStyle="1" w:styleId="30">
    <w:name w:val="标题 3字符"/>
    <w:aliases w:val="TD-标题3字符,Style Heading 3字符,H3字符,H31字符,H32字符,H33字符,H34字符,H35字符,H36字符,H37字符,H38字符,H39字符,H310字符,H311字符,H321字符,H331字符,H341字符,H351字符,H361字符,H371字符,H381字符,H391字符,H3101字符,H312字符,H322字符,H332字符,H342字符,H352字符,H362字符,H372字符,H382字符,H392字符,H3102字符,H3111字符"/>
    <w:basedOn w:val="a0"/>
    <w:link w:val="3"/>
    <w:rsid w:val="00057EE0"/>
    <w:rPr>
      <w:rFonts w:ascii="宋体" w:eastAsia="宋体" w:hAnsi="宋体" w:cs="Calibri"/>
      <w:b/>
      <w:sz w:val="21"/>
      <w:szCs w:val="22"/>
    </w:rPr>
  </w:style>
  <w:style w:type="character" w:customStyle="1" w:styleId="40">
    <w:name w:val="标题 4字符"/>
    <w:aliases w:val="TD-标题4字符,Style Heading 4字符,H4字符,H41字符,H42字符,H43字符,H44字符,H45字符,H46字符,H47字符,H48字符,H49字符,H410字符,H411字符,H421字符,H431字符,H441字符,H451字符,H461字符,H471字符,H481字符,H491字符,H4101字符,H412字符,H422字符,H432字符,H442字符,H452字符,H462字符,H472字符,H482字符,H492字符,H4102字符,H4111字符"/>
    <w:basedOn w:val="a0"/>
    <w:link w:val="4"/>
    <w:rsid w:val="00057EE0"/>
    <w:rPr>
      <w:rFonts w:ascii="Times New Roman" w:hAnsi="Times New Roman" w:cs="Times New Roman"/>
      <w:bCs/>
      <w:iCs/>
      <w:sz w:val="21"/>
      <w:szCs w:val="28"/>
    </w:rPr>
  </w:style>
  <w:style w:type="character" w:customStyle="1" w:styleId="50">
    <w:name w:val="标题 5字符"/>
    <w:aliases w:val="TD-标题5字符"/>
    <w:link w:val="5"/>
    <w:rsid w:val="00057EE0"/>
    <w:rPr>
      <w:rFonts w:ascii="宋体" w:eastAsia="宋体" w:hAnsi="宋体" w:cs="Times New Roman"/>
      <w:bCs/>
      <w:i/>
      <w:sz w:val="21"/>
      <w:szCs w:val="28"/>
    </w:rPr>
  </w:style>
  <w:style w:type="paragraph" w:customStyle="1" w:styleId="TD-">
    <w:name w:val="TD-正文"/>
    <w:basedOn w:val="a"/>
    <w:link w:val="TD-Char"/>
    <w:qFormat/>
    <w:rsid w:val="00057EE0"/>
    <w:pPr>
      <w:widowControl/>
      <w:snapToGrid w:val="0"/>
      <w:spacing w:after="120" w:line="440" w:lineRule="atLeast"/>
      <w:ind w:firstLine="476"/>
    </w:pPr>
    <w:rPr>
      <w:rFonts w:ascii="Times New Roman" w:eastAsia="宋体" w:hAnsi="Times New Roman" w:cs="Times New Roman"/>
      <w:sz w:val="21"/>
      <w:szCs w:val="28"/>
    </w:rPr>
  </w:style>
  <w:style w:type="character" w:customStyle="1" w:styleId="TD-Char">
    <w:name w:val="TD-正文 Char"/>
    <w:basedOn w:val="a0"/>
    <w:link w:val="TD-"/>
    <w:rsid w:val="00057EE0"/>
    <w:rPr>
      <w:rFonts w:ascii="Times New Roman" w:eastAsia="宋体" w:hAnsi="Times New Roman" w:cs="Times New Roman"/>
      <w:sz w:val="21"/>
      <w:szCs w:val="28"/>
    </w:rPr>
  </w:style>
  <w:style w:type="paragraph" w:customStyle="1" w:styleId="TD-1">
    <w:name w:val="TD-项目符号1"/>
    <w:basedOn w:val="TD-"/>
    <w:link w:val="TD-1Char"/>
    <w:qFormat/>
    <w:rsid w:val="00057EE0"/>
    <w:pPr>
      <w:numPr>
        <w:numId w:val="6"/>
      </w:numPr>
    </w:pPr>
    <w:rPr>
      <w:b/>
    </w:rPr>
  </w:style>
  <w:style w:type="character" w:customStyle="1" w:styleId="TD-1Char">
    <w:name w:val="TD-项目符号1 Char"/>
    <w:basedOn w:val="TD-Char"/>
    <w:link w:val="TD-1"/>
    <w:rsid w:val="00057EE0"/>
    <w:rPr>
      <w:rFonts w:ascii="Times New Roman" w:eastAsia="宋体" w:hAnsi="Times New Roman" w:cs="Times New Roman"/>
      <w:b/>
      <w:sz w:val="21"/>
      <w:szCs w:val="28"/>
    </w:rPr>
  </w:style>
  <w:style w:type="paragraph" w:customStyle="1" w:styleId="TD-2">
    <w:name w:val="TD-项目符号2"/>
    <w:basedOn w:val="TD-1"/>
    <w:link w:val="TD-2Char"/>
    <w:qFormat/>
    <w:rsid w:val="00057EE0"/>
    <w:pPr>
      <w:numPr>
        <w:ilvl w:val="1"/>
        <w:numId w:val="8"/>
      </w:numPr>
    </w:pPr>
    <w:rPr>
      <w:b w:val="0"/>
    </w:rPr>
  </w:style>
  <w:style w:type="character" w:customStyle="1" w:styleId="TD-2Char">
    <w:name w:val="TD-项目符号2 Char"/>
    <w:basedOn w:val="TD-1Char"/>
    <w:link w:val="TD-2"/>
    <w:rsid w:val="00057EE0"/>
    <w:rPr>
      <w:rFonts w:ascii="Times New Roman" w:eastAsia="宋体" w:hAnsi="Times New Roman" w:cs="Times New Roman"/>
      <w:b w:val="0"/>
      <w:sz w:val="21"/>
      <w:szCs w:val="28"/>
    </w:rPr>
  </w:style>
  <w:style w:type="paragraph" w:customStyle="1" w:styleId="TD-3">
    <w:name w:val="TD-项目符号3"/>
    <w:basedOn w:val="TD-2"/>
    <w:link w:val="TD-3Char"/>
    <w:qFormat/>
    <w:rsid w:val="00057EE0"/>
    <w:pPr>
      <w:numPr>
        <w:ilvl w:val="2"/>
      </w:numPr>
    </w:pPr>
  </w:style>
  <w:style w:type="character" w:customStyle="1" w:styleId="TD-3Char">
    <w:name w:val="TD-项目符号3 Char"/>
    <w:basedOn w:val="TD-2Char"/>
    <w:link w:val="TD-3"/>
    <w:rsid w:val="00057EE0"/>
    <w:rPr>
      <w:rFonts w:ascii="Times New Roman" w:eastAsia="宋体" w:hAnsi="Times New Roman" w:cs="Times New Roman"/>
      <w:b w:val="0"/>
      <w:sz w:val="21"/>
      <w:szCs w:val="28"/>
    </w:rPr>
  </w:style>
  <w:style w:type="character" w:customStyle="1" w:styleId="styleChar">
    <w:name w:val="正文style Char"/>
    <w:link w:val="style"/>
    <w:rsid w:val="00251E80"/>
    <w:rPr>
      <w:rFonts w:eastAsia="宋体" w:cs="宋体"/>
    </w:rPr>
  </w:style>
  <w:style w:type="paragraph" w:customStyle="1" w:styleId="style">
    <w:name w:val="正文style"/>
    <w:basedOn w:val="a"/>
    <w:link w:val="styleChar"/>
    <w:qFormat/>
    <w:rsid w:val="00251E80"/>
    <w:pPr>
      <w:spacing w:before="120" w:after="120" w:line="360" w:lineRule="auto"/>
      <w:ind w:firstLineChars="225" w:firstLine="540"/>
    </w:pPr>
    <w:rPr>
      <w:rFonts w:eastAsia="宋体" w:cs="宋体"/>
    </w:rPr>
  </w:style>
  <w:style w:type="paragraph" w:customStyle="1" w:styleId="Bullet-BodyText1Level1">
    <w:name w:val="Bullet - Body Text 1 Level 1"/>
    <w:basedOn w:val="a3"/>
    <w:next w:val="a3"/>
    <w:rsid w:val="009952C1"/>
    <w:pPr>
      <w:widowControl/>
      <w:numPr>
        <w:numId w:val="12"/>
      </w:numPr>
      <w:tabs>
        <w:tab w:val="left" w:pos="720"/>
      </w:tabs>
      <w:spacing w:after="0" w:line="360" w:lineRule="auto"/>
      <w:ind w:left="432" w:hanging="432"/>
      <w:jc w:val="left"/>
    </w:pPr>
    <w:rPr>
      <w:rFonts w:ascii="Arial" w:eastAsia="宋体" w:hAnsi="Arial" w:cs="Times New Roman"/>
      <w:kern w:val="0"/>
      <w:szCs w:val="20"/>
      <w:lang w:val="x-none" w:eastAsia="en-US"/>
    </w:rPr>
  </w:style>
  <w:style w:type="paragraph" w:customStyle="1" w:styleId="Body">
    <w:name w:val="Body"/>
    <w:aliases w:val="B, B,BD,by"/>
    <w:basedOn w:val="a"/>
    <w:link w:val="BodyChar"/>
    <w:rsid w:val="009952C1"/>
    <w:pPr>
      <w:jc w:val="left"/>
    </w:pPr>
    <w:rPr>
      <w:rFonts w:ascii="Times New Roman" w:eastAsia="PMingLiU" w:hAnsi="Times New Roman" w:cs="Times New Roman"/>
      <w:kern w:val="0"/>
      <w:szCs w:val="20"/>
      <w:lang w:val="en-AU" w:eastAsia="zh-TW"/>
    </w:rPr>
  </w:style>
  <w:style w:type="character" w:customStyle="1" w:styleId="BodyChar">
    <w:name w:val="Body Char"/>
    <w:aliases w:val="B Char, B Char, B Char2,B Char2,Body Char2,B Char Char,Body Char21,Body Char3,B Char3,BD Char1"/>
    <w:link w:val="Body"/>
    <w:rsid w:val="009952C1"/>
    <w:rPr>
      <w:rFonts w:ascii="Times New Roman" w:eastAsia="PMingLiU" w:hAnsi="Times New Roman" w:cs="Times New Roman"/>
      <w:kern w:val="0"/>
      <w:szCs w:val="20"/>
      <w:lang w:val="en-AU" w:eastAsia="zh-TW"/>
    </w:rPr>
  </w:style>
  <w:style w:type="paragraph" w:styleId="a3">
    <w:name w:val="Body Text"/>
    <w:basedOn w:val="a"/>
    <w:link w:val="a4"/>
    <w:uiPriority w:val="99"/>
    <w:semiHidden/>
    <w:unhideWhenUsed/>
    <w:rsid w:val="009952C1"/>
    <w:pPr>
      <w:spacing w:after="120"/>
    </w:pPr>
  </w:style>
  <w:style w:type="character" w:customStyle="1" w:styleId="a4">
    <w:name w:val="正文文本字符"/>
    <w:basedOn w:val="a0"/>
    <w:link w:val="a3"/>
    <w:uiPriority w:val="99"/>
    <w:semiHidden/>
    <w:rsid w:val="009952C1"/>
  </w:style>
  <w:style w:type="paragraph" w:styleId="a5">
    <w:name w:val="List Paragraph"/>
    <w:basedOn w:val="a"/>
    <w:uiPriority w:val="34"/>
    <w:qFormat/>
    <w:rsid w:val="00613D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479</Words>
  <Characters>2735</Characters>
  <Application>Microsoft Macintosh Word</Application>
  <DocSecurity>0</DocSecurity>
  <Lines>22</Lines>
  <Paragraphs>6</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公司介绍</vt:lpstr>
      <vt:lpstr>    公司简介</vt:lpstr>
      <vt:lpstr>    Teradata产品与服务简介</vt:lpstr>
      <vt:lpstr>    Teradata奖项与赞誉</vt:lpstr>
      <vt:lpstr>        Teradata连续18年被评为数据仓库领域全球第一名</vt:lpstr>
      <vt:lpstr>        Teradata近三年所获奖项</vt:lpstr>
    </vt:vector>
  </TitlesOfParts>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2017-04-01T02:10:00Z</dcterms:created>
  <dcterms:modified xsi:type="dcterms:W3CDTF">2017-04-01T02:14:00Z</dcterms:modified>
</cp:coreProperties>
</file>