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3E8A9" w14:textId="77777777" w:rsidR="0051446D" w:rsidRDefault="0051446D" w:rsidP="0051446D">
      <w:pPr>
        <w:pStyle w:val="2"/>
        <w:numPr>
          <w:ilvl w:val="1"/>
          <w:numId w:val="10"/>
        </w:numPr>
        <w:spacing w:before="260" w:after="260" w:line="413" w:lineRule="auto"/>
        <w:ind w:left="0" w:firstLine="0"/>
        <w:rPr>
          <w:rFonts w:hint="eastAsia"/>
        </w:rPr>
      </w:pPr>
      <w:bookmarkStart w:id="0" w:name="_Toc194244582"/>
      <w:bookmarkStart w:id="1" w:name="_Toc246837772"/>
      <w:bookmarkStart w:id="2" w:name="_Toc246850530"/>
      <w:bookmarkStart w:id="3" w:name="_Toc313544931"/>
      <w:bookmarkStart w:id="4" w:name="_Toc433803058"/>
      <w:r>
        <w:rPr>
          <w:rFonts w:hint="eastAsia"/>
        </w:rPr>
        <w:t>上海证券交易所</w:t>
      </w:r>
      <w:bookmarkEnd w:id="1"/>
      <w:bookmarkEnd w:id="2"/>
      <w:r>
        <w:rPr>
          <w:rFonts w:hint="eastAsia"/>
        </w:rPr>
        <w:t>案例</w:t>
      </w:r>
      <w:bookmarkEnd w:id="3"/>
      <w:bookmarkEnd w:id="4"/>
    </w:p>
    <w:p w14:paraId="496179CE" w14:textId="77777777" w:rsidR="0051446D" w:rsidRDefault="0051446D" w:rsidP="0051446D">
      <w:pPr>
        <w:pStyle w:val="3"/>
        <w:numPr>
          <w:ilvl w:val="2"/>
          <w:numId w:val="10"/>
        </w:numPr>
        <w:spacing w:before="260" w:after="260" w:line="413" w:lineRule="auto"/>
        <w:ind w:left="0" w:firstLine="0"/>
        <w:rPr>
          <w:rFonts w:hint="eastAsia"/>
        </w:rPr>
      </w:pPr>
      <w:bookmarkStart w:id="5" w:name="_Toc313544932"/>
      <w:bookmarkStart w:id="6" w:name="_Toc433803059"/>
      <w:bookmarkEnd w:id="0"/>
      <w:r>
        <w:rPr>
          <w:rFonts w:hint="eastAsia"/>
        </w:rPr>
        <w:t>项目背景</w:t>
      </w:r>
      <w:bookmarkEnd w:id="5"/>
      <w:bookmarkEnd w:id="6"/>
    </w:p>
    <w:p w14:paraId="3B8AA895" w14:textId="77777777" w:rsidR="0051446D" w:rsidRDefault="0051446D" w:rsidP="0051446D">
      <w:pPr>
        <w:spacing w:after="120" w:line="360" w:lineRule="auto"/>
        <w:ind w:firstLineChars="200" w:firstLine="480"/>
        <w:rPr>
          <w:rFonts w:hint="eastAsia"/>
          <w:sz w:val="24"/>
          <w:szCs w:val="24"/>
        </w:rPr>
      </w:pPr>
      <w:r>
        <w:rPr>
          <w:rFonts w:hint="eastAsia"/>
          <w:sz w:val="24"/>
          <w:szCs w:val="24"/>
        </w:rPr>
        <w:t>作为上海证券交易所</w:t>
      </w:r>
      <w:r>
        <w:rPr>
          <w:rFonts w:hint="eastAsia"/>
          <w:sz w:val="24"/>
          <w:szCs w:val="24"/>
        </w:rPr>
        <w:t>(</w:t>
      </w:r>
      <w:r>
        <w:rPr>
          <w:rFonts w:hint="eastAsia"/>
          <w:sz w:val="24"/>
          <w:szCs w:val="24"/>
        </w:rPr>
        <w:t>以下简称“上证所”</w:t>
      </w:r>
      <w:r>
        <w:rPr>
          <w:rFonts w:hint="eastAsia"/>
          <w:sz w:val="24"/>
          <w:szCs w:val="24"/>
        </w:rPr>
        <w:t>)</w:t>
      </w:r>
      <w:r>
        <w:rPr>
          <w:rFonts w:hint="eastAsia"/>
          <w:sz w:val="24"/>
          <w:szCs w:val="24"/>
        </w:rPr>
        <w:t>波士顿咨询规划的新一代项目之一—“新一代信息系统”，也是上证所信息管理的核心项目数据仓库项目（以下简称“该项目”）在交易所领导的关心和支持下，以及全体项目组成员的努力下，经过所领导精心部署和有计划有步骤的安排，建成了目前国内金融行业数据容量最大、数据内容最完整的数据仓库，同时也是亚太区最大的证券业数据仓库项目。</w:t>
      </w:r>
    </w:p>
    <w:p w14:paraId="51722050" w14:textId="77777777" w:rsidR="0051446D" w:rsidRDefault="0051446D" w:rsidP="0051446D">
      <w:pPr>
        <w:spacing w:after="156" w:line="360" w:lineRule="auto"/>
        <w:ind w:firstLineChars="200" w:firstLine="480"/>
        <w:rPr>
          <w:rFonts w:hint="eastAsia"/>
          <w:sz w:val="24"/>
          <w:szCs w:val="24"/>
        </w:rPr>
      </w:pPr>
      <w:r>
        <w:rPr>
          <w:rFonts w:hint="eastAsia"/>
          <w:sz w:val="24"/>
          <w:szCs w:val="24"/>
        </w:rPr>
        <w:t>上证所的企业级数据仓库建成了一个涵盖从数据清洗、数据存储、数据整合、基本查询、统计应用、信息服务到高端的分析、挖掘和预测的企业智能信息平台，具体成功完成目标情况如下：</w:t>
      </w:r>
    </w:p>
    <w:p w14:paraId="224E8225" w14:textId="77777777" w:rsidR="0051446D" w:rsidRDefault="0051446D" w:rsidP="0051446D">
      <w:pPr>
        <w:numPr>
          <w:ilvl w:val="0"/>
          <w:numId w:val="11"/>
        </w:numPr>
        <w:tabs>
          <w:tab w:val="left" w:pos="845"/>
          <w:tab w:val="left" w:pos="1265"/>
        </w:tabs>
        <w:spacing w:line="360" w:lineRule="auto"/>
        <w:rPr>
          <w:rFonts w:hint="eastAsia"/>
          <w:sz w:val="24"/>
          <w:szCs w:val="24"/>
        </w:rPr>
      </w:pPr>
      <w:r>
        <w:rPr>
          <w:rFonts w:hint="eastAsia"/>
          <w:sz w:val="24"/>
          <w:szCs w:val="24"/>
        </w:rPr>
        <w:t>体系架构：目前数据仓库建立了双中心灾备系统，双系统可以互为主</w:t>
      </w:r>
      <w:r>
        <w:rPr>
          <w:rFonts w:hint="eastAsia"/>
          <w:sz w:val="24"/>
          <w:szCs w:val="24"/>
        </w:rPr>
        <w:t>/</w:t>
      </w:r>
      <w:r>
        <w:rPr>
          <w:rFonts w:hint="eastAsia"/>
          <w:sz w:val="24"/>
          <w:szCs w:val="24"/>
        </w:rPr>
        <w:t>备切换对外提供服务，实现了同城异地双中心运营管理；数据仓库系统包含了数据加载及输出、数据仓库存储、数据仓库门户</w:t>
      </w:r>
      <w:r>
        <w:rPr>
          <w:rFonts w:hint="eastAsia"/>
          <w:sz w:val="24"/>
          <w:szCs w:val="24"/>
        </w:rPr>
        <w:t>(Portal)</w:t>
      </w:r>
      <w:r>
        <w:rPr>
          <w:rFonts w:hint="eastAsia"/>
          <w:sz w:val="24"/>
          <w:szCs w:val="24"/>
        </w:rPr>
        <w:t>、元数据管理</w:t>
      </w:r>
      <w:r>
        <w:rPr>
          <w:rFonts w:hint="eastAsia"/>
          <w:sz w:val="24"/>
          <w:szCs w:val="24"/>
        </w:rPr>
        <w:t>(MDS)</w:t>
      </w:r>
      <w:r>
        <w:rPr>
          <w:rFonts w:hint="eastAsia"/>
          <w:sz w:val="24"/>
          <w:szCs w:val="24"/>
        </w:rPr>
        <w:t>、数据仓库管理</w:t>
      </w:r>
      <w:r>
        <w:rPr>
          <w:rFonts w:hint="eastAsia"/>
          <w:sz w:val="24"/>
          <w:szCs w:val="24"/>
        </w:rPr>
        <w:t>(DWM)</w:t>
      </w:r>
      <w:r>
        <w:rPr>
          <w:rFonts w:hint="eastAsia"/>
          <w:sz w:val="24"/>
          <w:szCs w:val="24"/>
        </w:rPr>
        <w:t>、非结构化</w:t>
      </w:r>
      <w:r>
        <w:rPr>
          <w:rFonts w:ascii="Verdana" w:hAnsi="Verdana" w:hint="eastAsia"/>
          <w:sz w:val="24"/>
          <w:szCs w:val="24"/>
        </w:rPr>
        <w:t>数据管理</w:t>
      </w:r>
      <w:r>
        <w:rPr>
          <w:rFonts w:hint="eastAsia"/>
          <w:sz w:val="24"/>
          <w:szCs w:val="24"/>
        </w:rPr>
        <w:t>等子系统。</w:t>
      </w:r>
    </w:p>
    <w:p w14:paraId="38E37A31" w14:textId="77777777" w:rsidR="0051446D" w:rsidRDefault="0051446D" w:rsidP="0051446D">
      <w:pPr>
        <w:numPr>
          <w:ilvl w:val="0"/>
          <w:numId w:val="11"/>
        </w:numPr>
        <w:tabs>
          <w:tab w:val="left" w:pos="845"/>
          <w:tab w:val="left" w:pos="1265"/>
        </w:tabs>
        <w:spacing w:line="360" w:lineRule="auto"/>
        <w:rPr>
          <w:rFonts w:hint="eastAsia"/>
          <w:sz w:val="24"/>
          <w:szCs w:val="24"/>
        </w:rPr>
      </w:pPr>
      <w:r>
        <w:rPr>
          <w:rFonts w:hint="eastAsia"/>
          <w:sz w:val="24"/>
          <w:szCs w:val="24"/>
        </w:rPr>
        <w:t>数据存储；整个数据仓库的数据涵盖了</w:t>
      </w:r>
      <w:r>
        <w:rPr>
          <w:rFonts w:hint="eastAsia"/>
          <w:sz w:val="24"/>
          <w:szCs w:val="24"/>
        </w:rPr>
        <w:t>1990</w:t>
      </w:r>
      <w:r>
        <w:rPr>
          <w:rFonts w:hint="eastAsia"/>
          <w:sz w:val="24"/>
          <w:szCs w:val="24"/>
        </w:rPr>
        <w:t>年上证所建所以来的全部历史数据及最新增量数据，范围包括交易核心数据和交易相关数据，类型则包含结构化数据和非结构化数据，密级分类刚包含机密数据、秘密数据、开公数据。</w:t>
      </w:r>
    </w:p>
    <w:p w14:paraId="09D37ED9" w14:textId="77777777" w:rsidR="0051446D" w:rsidRDefault="0051446D" w:rsidP="0051446D">
      <w:pPr>
        <w:numPr>
          <w:ilvl w:val="0"/>
          <w:numId w:val="11"/>
        </w:numPr>
        <w:tabs>
          <w:tab w:val="left" w:pos="845"/>
          <w:tab w:val="left" w:pos="1265"/>
        </w:tabs>
        <w:spacing w:line="360" w:lineRule="auto"/>
        <w:rPr>
          <w:rFonts w:hint="eastAsia"/>
          <w:sz w:val="24"/>
          <w:szCs w:val="24"/>
        </w:rPr>
      </w:pPr>
      <w:r>
        <w:rPr>
          <w:rFonts w:hint="eastAsia"/>
          <w:sz w:val="24"/>
          <w:szCs w:val="24"/>
        </w:rPr>
        <w:t>信息服务：数据仓库系统目前为上证所仅次于核心交易系统的运营管理系统，面向所内、监管部门、证券市场提供各种数据服务，如：上证所</w:t>
      </w:r>
      <w:r>
        <w:rPr>
          <w:rFonts w:hint="eastAsia"/>
          <w:sz w:val="24"/>
          <w:szCs w:val="24"/>
        </w:rPr>
        <w:lastRenderedPageBreak/>
        <w:t>月报、证监会数据报送、</w:t>
      </w:r>
      <w:proofErr w:type="spellStart"/>
      <w:r>
        <w:rPr>
          <w:rFonts w:hint="eastAsia"/>
          <w:sz w:val="24"/>
          <w:szCs w:val="24"/>
        </w:rPr>
        <w:t>TopView</w:t>
      </w:r>
      <w:proofErr w:type="spellEnd"/>
      <w:r>
        <w:rPr>
          <w:rFonts w:hint="eastAsia"/>
          <w:sz w:val="24"/>
          <w:szCs w:val="24"/>
        </w:rPr>
        <w:t>数据加工、公开信息披露等；同时数据仓库门户</w:t>
      </w:r>
      <w:r>
        <w:rPr>
          <w:rFonts w:ascii="Verdana" w:hAnsi="Verdana" w:hint="eastAsia"/>
          <w:sz w:val="24"/>
          <w:szCs w:val="24"/>
        </w:rPr>
        <w:t>系统</w:t>
      </w:r>
      <w:r>
        <w:rPr>
          <w:rFonts w:hint="eastAsia"/>
          <w:sz w:val="24"/>
          <w:szCs w:val="24"/>
        </w:rPr>
        <w:t>包含了查询、报表、</w:t>
      </w:r>
      <w:r>
        <w:rPr>
          <w:rFonts w:hint="eastAsia"/>
          <w:sz w:val="24"/>
          <w:szCs w:val="24"/>
        </w:rPr>
        <w:t>OLAP</w:t>
      </w:r>
      <w:r>
        <w:rPr>
          <w:rFonts w:hint="eastAsia"/>
          <w:sz w:val="24"/>
          <w:szCs w:val="24"/>
        </w:rPr>
        <w:t>等应用达</w:t>
      </w:r>
      <w:r>
        <w:rPr>
          <w:rFonts w:hint="eastAsia"/>
          <w:sz w:val="24"/>
          <w:szCs w:val="24"/>
        </w:rPr>
        <w:t>600</w:t>
      </w:r>
      <w:r>
        <w:rPr>
          <w:rFonts w:hint="eastAsia"/>
          <w:sz w:val="24"/>
          <w:szCs w:val="24"/>
        </w:rPr>
        <w:t>多个，部署了九个应用专区，用户数超过</w:t>
      </w:r>
      <w:r>
        <w:rPr>
          <w:rFonts w:hint="eastAsia"/>
          <w:sz w:val="24"/>
          <w:szCs w:val="24"/>
        </w:rPr>
        <w:t>250</w:t>
      </w:r>
      <w:r>
        <w:rPr>
          <w:rFonts w:hint="eastAsia"/>
          <w:sz w:val="24"/>
          <w:szCs w:val="24"/>
        </w:rPr>
        <w:t>人，遍及</w:t>
      </w:r>
      <w:r>
        <w:rPr>
          <w:rFonts w:hint="eastAsia"/>
          <w:sz w:val="24"/>
          <w:szCs w:val="24"/>
        </w:rPr>
        <w:t>12</w:t>
      </w:r>
      <w:r>
        <w:rPr>
          <w:rFonts w:hint="eastAsia"/>
          <w:sz w:val="24"/>
          <w:szCs w:val="24"/>
        </w:rPr>
        <w:t>个所内部门。</w:t>
      </w:r>
    </w:p>
    <w:p w14:paraId="11B60488" w14:textId="77777777" w:rsidR="0051446D" w:rsidRDefault="0051446D" w:rsidP="0051446D">
      <w:pPr>
        <w:numPr>
          <w:ilvl w:val="0"/>
          <w:numId w:val="11"/>
        </w:numPr>
        <w:tabs>
          <w:tab w:val="left" w:pos="845"/>
          <w:tab w:val="left" w:pos="1265"/>
        </w:tabs>
        <w:spacing w:line="360" w:lineRule="auto"/>
        <w:rPr>
          <w:rFonts w:hint="eastAsia"/>
          <w:sz w:val="24"/>
          <w:szCs w:val="24"/>
        </w:rPr>
      </w:pPr>
      <w:r>
        <w:rPr>
          <w:rFonts w:ascii="Verdana" w:hAnsi="Verdana" w:hint="eastAsia"/>
          <w:sz w:val="24"/>
          <w:szCs w:val="24"/>
        </w:rPr>
        <w:t>高端</w:t>
      </w:r>
      <w:r>
        <w:rPr>
          <w:rFonts w:hint="eastAsia"/>
          <w:sz w:val="24"/>
          <w:szCs w:val="24"/>
        </w:rPr>
        <w:t>分析：数据仓库系统作为所内</w:t>
      </w:r>
      <w:r>
        <w:rPr>
          <w:rFonts w:hint="eastAsia"/>
          <w:sz w:val="24"/>
          <w:szCs w:val="24"/>
        </w:rPr>
        <w:t>SAS</w:t>
      </w:r>
      <w:r>
        <w:rPr>
          <w:rFonts w:hint="eastAsia"/>
          <w:sz w:val="24"/>
          <w:szCs w:val="24"/>
        </w:rPr>
        <w:t>分析的基础数据库提供数据挖掘分析的信息平台，同时支持市场监管、新产品研发的核心数据统计分析，为规范市场和产品创新提供了有力的决策支持。</w:t>
      </w:r>
    </w:p>
    <w:p w14:paraId="0ED883A4" w14:textId="77777777" w:rsidR="0051446D" w:rsidRDefault="0051446D" w:rsidP="0051446D">
      <w:pPr>
        <w:numPr>
          <w:ilvl w:val="0"/>
          <w:numId w:val="11"/>
        </w:numPr>
        <w:tabs>
          <w:tab w:val="left" w:pos="845"/>
          <w:tab w:val="left" w:pos="1265"/>
        </w:tabs>
        <w:spacing w:line="360" w:lineRule="auto"/>
        <w:rPr>
          <w:rFonts w:hint="eastAsia"/>
          <w:sz w:val="24"/>
          <w:szCs w:val="24"/>
        </w:rPr>
      </w:pPr>
      <w:r>
        <w:rPr>
          <w:rFonts w:hint="eastAsia"/>
          <w:sz w:val="24"/>
          <w:szCs w:val="24"/>
        </w:rPr>
        <w:t>系统管理：建成了数据仓库管理系统、元数据管理系统、非结构化数据管理系统等辅助数据仓库管理，同时制定了一系列配套的项目和系统开发维护管理制度。</w:t>
      </w:r>
    </w:p>
    <w:p w14:paraId="233EE0D4" w14:textId="77777777" w:rsidR="0051446D" w:rsidRDefault="0051446D" w:rsidP="0051446D">
      <w:pPr>
        <w:spacing w:after="156" w:line="360" w:lineRule="auto"/>
        <w:ind w:firstLineChars="200" w:firstLine="480"/>
        <w:rPr>
          <w:rFonts w:hint="eastAsia"/>
          <w:sz w:val="24"/>
          <w:szCs w:val="24"/>
        </w:rPr>
      </w:pPr>
    </w:p>
    <w:p w14:paraId="3E43EBF9" w14:textId="77777777" w:rsidR="0051446D" w:rsidRDefault="0051446D" w:rsidP="0051446D">
      <w:pPr>
        <w:pStyle w:val="3"/>
        <w:numPr>
          <w:ilvl w:val="2"/>
          <w:numId w:val="10"/>
        </w:numPr>
        <w:spacing w:before="260" w:after="260" w:line="413" w:lineRule="auto"/>
        <w:ind w:left="0" w:firstLine="0"/>
        <w:rPr>
          <w:rFonts w:hint="eastAsia"/>
        </w:rPr>
      </w:pPr>
      <w:bookmarkStart w:id="7" w:name="_Toc313544933"/>
      <w:bookmarkStart w:id="8" w:name="_Toc433803060"/>
      <w:bookmarkStart w:id="9" w:name="_GoBack"/>
      <w:bookmarkEnd w:id="9"/>
      <w:r>
        <w:rPr>
          <w:rFonts w:hint="eastAsia"/>
        </w:rPr>
        <w:t>项目成果</w:t>
      </w:r>
      <w:bookmarkEnd w:id="7"/>
      <w:bookmarkEnd w:id="8"/>
    </w:p>
    <w:p w14:paraId="4EC089D2" w14:textId="77777777" w:rsidR="0051446D" w:rsidRDefault="0051446D" w:rsidP="0051446D">
      <w:pPr>
        <w:numPr>
          <w:ilvl w:val="0"/>
          <w:numId w:val="12"/>
        </w:numPr>
        <w:spacing w:line="360" w:lineRule="auto"/>
        <w:rPr>
          <w:rFonts w:hint="eastAsia"/>
          <w:b/>
          <w:bCs/>
          <w:sz w:val="24"/>
          <w:szCs w:val="24"/>
        </w:rPr>
      </w:pPr>
      <w:bookmarkStart w:id="10" w:name="_Toc194244583"/>
      <w:r>
        <w:rPr>
          <w:rFonts w:hint="eastAsia"/>
          <w:b/>
          <w:bCs/>
          <w:sz w:val="24"/>
          <w:szCs w:val="24"/>
        </w:rPr>
        <w:t>建设实施历程</w:t>
      </w:r>
      <w:bookmarkEnd w:id="10"/>
      <w:r>
        <w:rPr>
          <w:rFonts w:hint="eastAsia"/>
          <w:b/>
          <w:bCs/>
          <w:sz w:val="24"/>
          <w:szCs w:val="24"/>
        </w:rPr>
        <w:t>和成果</w:t>
      </w:r>
    </w:p>
    <w:p w14:paraId="4B741960" w14:textId="77777777" w:rsidR="0051446D" w:rsidRDefault="0051446D" w:rsidP="0051446D">
      <w:pPr>
        <w:numPr>
          <w:ilvl w:val="1"/>
          <w:numId w:val="13"/>
        </w:numPr>
        <w:tabs>
          <w:tab w:val="clear" w:pos="1320"/>
          <w:tab w:val="left" w:pos="360"/>
        </w:tabs>
        <w:spacing w:line="360" w:lineRule="auto"/>
        <w:ind w:left="360"/>
        <w:rPr>
          <w:rFonts w:hint="eastAsia"/>
          <w:b/>
          <w:bCs/>
          <w:sz w:val="24"/>
          <w:szCs w:val="24"/>
        </w:rPr>
      </w:pPr>
      <w:bookmarkStart w:id="11" w:name="_Toc194244584"/>
      <w:r>
        <w:rPr>
          <w:rFonts w:hint="eastAsia"/>
          <w:b/>
          <w:bCs/>
          <w:sz w:val="24"/>
          <w:szCs w:val="24"/>
        </w:rPr>
        <w:t>概述</w:t>
      </w:r>
      <w:bookmarkEnd w:id="11"/>
    </w:p>
    <w:p w14:paraId="3FFE5AC8" w14:textId="77777777" w:rsidR="0051446D" w:rsidRDefault="0051446D" w:rsidP="0051446D">
      <w:pPr>
        <w:spacing w:after="156" w:line="360" w:lineRule="auto"/>
        <w:ind w:firstLineChars="200" w:firstLine="480"/>
        <w:rPr>
          <w:rFonts w:hint="eastAsia"/>
          <w:sz w:val="24"/>
          <w:szCs w:val="24"/>
        </w:rPr>
      </w:pPr>
      <w:r>
        <w:rPr>
          <w:rFonts w:hint="eastAsia"/>
          <w:sz w:val="24"/>
          <w:szCs w:val="24"/>
        </w:rPr>
        <w:t>上证所数据仓库的建设到目前为止在大阶段上经过了数据仓库一期、数据仓库二期、信息增值服务建设、数据仓库灾备系统建设四个过程，整个建设过程遵循合理的规划、科学的部署原则，完成了数据集中存储、应用平台搭建、信息集中服务、安全运营保障的建设历程。</w:t>
      </w:r>
    </w:p>
    <w:p w14:paraId="1BED7B82" w14:textId="77777777" w:rsidR="0051446D" w:rsidRDefault="0051446D" w:rsidP="0051446D">
      <w:pPr>
        <w:numPr>
          <w:ilvl w:val="1"/>
          <w:numId w:val="13"/>
        </w:numPr>
        <w:tabs>
          <w:tab w:val="clear" w:pos="1320"/>
          <w:tab w:val="left" w:pos="360"/>
        </w:tabs>
        <w:spacing w:line="360" w:lineRule="auto"/>
        <w:ind w:left="360"/>
        <w:rPr>
          <w:rFonts w:hint="eastAsia"/>
          <w:b/>
          <w:bCs/>
          <w:sz w:val="24"/>
          <w:szCs w:val="24"/>
        </w:rPr>
      </w:pPr>
      <w:bookmarkStart w:id="12" w:name="_Toc194244585"/>
      <w:r>
        <w:rPr>
          <w:rFonts w:hint="eastAsia"/>
          <w:b/>
          <w:bCs/>
          <w:sz w:val="24"/>
          <w:szCs w:val="24"/>
        </w:rPr>
        <w:t>数据仓库一期建设</w:t>
      </w:r>
      <w:bookmarkEnd w:id="12"/>
    </w:p>
    <w:p w14:paraId="00A7DD55" w14:textId="77777777" w:rsidR="0051446D" w:rsidRDefault="0051446D" w:rsidP="0051446D">
      <w:pPr>
        <w:numPr>
          <w:ilvl w:val="0"/>
          <w:numId w:val="11"/>
        </w:numPr>
        <w:tabs>
          <w:tab w:val="left" w:pos="845"/>
          <w:tab w:val="left" w:pos="1265"/>
        </w:tabs>
        <w:spacing w:line="360" w:lineRule="auto"/>
        <w:rPr>
          <w:rFonts w:ascii="Verdana" w:hAnsi="Verdana" w:hint="eastAsia"/>
          <w:sz w:val="24"/>
          <w:szCs w:val="24"/>
        </w:rPr>
      </w:pPr>
      <w:bookmarkStart w:id="13" w:name="_Toc194244586"/>
      <w:r>
        <w:rPr>
          <w:rFonts w:ascii="Verdana" w:hAnsi="Verdana" w:hint="eastAsia"/>
          <w:sz w:val="24"/>
          <w:szCs w:val="24"/>
        </w:rPr>
        <w:t>建设目标</w:t>
      </w:r>
      <w:bookmarkEnd w:id="13"/>
    </w:p>
    <w:p w14:paraId="42E2B4B6" w14:textId="77777777" w:rsidR="0051446D" w:rsidRDefault="0051446D" w:rsidP="0051446D">
      <w:pPr>
        <w:spacing w:after="156" w:line="360" w:lineRule="auto"/>
        <w:ind w:firstLineChars="200" w:firstLine="480"/>
        <w:rPr>
          <w:rFonts w:hint="eastAsia"/>
          <w:sz w:val="24"/>
          <w:szCs w:val="24"/>
        </w:rPr>
      </w:pPr>
      <w:r>
        <w:rPr>
          <w:rFonts w:hint="eastAsia"/>
          <w:sz w:val="24"/>
          <w:szCs w:val="24"/>
        </w:rPr>
        <w:t>数据仓库一期的建设目标是完成</w:t>
      </w:r>
      <w:r>
        <w:rPr>
          <w:sz w:val="24"/>
          <w:szCs w:val="24"/>
        </w:rPr>
        <w:t>上证所基本信息平台的搭建。通过集中、统一的数据中心对所有结构化信息和非结构化信息的整合机制，最大程度地保证了上证所自建所以来所积累的全部历史信息，以及以后新增的所有有价值数据的完整性和可用性。</w:t>
      </w:r>
    </w:p>
    <w:p w14:paraId="0E3B71C1" w14:textId="77777777" w:rsidR="0051446D" w:rsidRDefault="0051446D" w:rsidP="0051446D">
      <w:pPr>
        <w:numPr>
          <w:ilvl w:val="0"/>
          <w:numId w:val="11"/>
        </w:numPr>
        <w:tabs>
          <w:tab w:val="left" w:pos="845"/>
          <w:tab w:val="left" w:pos="1265"/>
        </w:tabs>
        <w:spacing w:line="360" w:lineRule="auto"/>
        <w:rPr>
          <w:rFonts w:ascii="Verdana" w:hAnsi="Verdana" w:hint="eastAsia"/>
          <w:sz w:val="24"/>
          <w:szCs w:val="24"/>
        </w:rPr>
      </w:pPr>
      <w:bookmarkStart w:id="14" w:name="_Toc194244587"/>
      <w:r>
        <w:rPr>
          <w:rFonts w:ascii="Verdana" w:hAnsi="Verdana" w:hint="eastAsia"/>
          <w:sz w:val="24"/>
          <w:szCs w:val="24"/>
        </w:rPr>
        <w:t>建设过程</w:t>
      </w:r>
      <w:bookmarkEnd w:id="14"/>
    </w:p>
    <w:p w14:paraId="1987AA92" w14:textId="77777777" w:rsidR="0051446D" w:rsidRDefault="0051446D" w:rsidP="0051446D">
      <w:pPr>
        <w:spacing w:after="156" w:line="360" w:lineRule="auto"/>
        <w:ind w:firstLineChars="200" w:firstLine="480"/>
        <w:rPr>
          <w:rFonts w:hint="eastAsia"/>
          <w:sz w:val="24"/>
          <w:szCs w:val="24"/>
        </w:rPr>
      </w:pPr>
      <w:r>
        <w:rPr>
          <w:rFonts w:hint="eastAsia"/>
          <w:sz w:val="24"/>
          <w:szCs w:val="24"/>
        </w:rPr>
        <w:t>上证所于</w:t>
      </w:r>
      <w:r>
        <w:rPr>
          <w:rFonts w:hint="eastAsia"/>
          <w:sz w:val="24"/>
          <w:szCs w:val="24"/>
        </w:rPr>
        <w:t>2002</w:t>
      </w:r>
      <w:r>
        <w:rPr>
          <w:rFonts w:hint="eastAsia"/>
          <w:sz w:val="24"/>
          <w:szCs w:val="24"/>
        </w:rPr>
        <w:t>年启动数据仓库一期</w:t>
      </w:r>
      <w:r>
        <w:rPr>
          <w:rFonts w:hint="eastAsia"/>
          <w:sz w:val="24"/>
          <w:szCs w:val="24"/>
        </w:rPr>
        <w:t>(</w:t>
      </w:r>
      <w:r>
        <w:rPr>
          <w:rFonts w:hint="eastAsia"/>
          <w:sz w:val="24"/>
          <w:szCs w:val="24"/>
        </w:rPr>
        <w:t>交易历史数据存储项目</w:t>
      </w:r>
      <w:r>
        <w:rPr>
          <w:rFonts w:hint="eastAsia"/>
          <w:sz w:val="24"/>
          <w:szCs w:val="24"/>
        </w:rPr>
        <w:t>)</w:t>
      </w:r>
      <w:r>
        <w:rPr>
          <w:rFonts w:hint="eastAsia"/>
          <w:sz w:val="24"/>
          <w:szCs w:val="24"/>
        </w:rPr>
        <w:t>的建设，</w:t>
      </w:r>
      <w:r>
        <w:rPr>
          <w:sz w:val="24"/>
          <w:szCs w:val="24"/>
        </w:rPr>
        <w:t>经过将近一年的持续努力</w:t>
      </w:r>
      <w:r>
        <w:rPr>
          <w:rFonts w:hint="eastAsia"/>
          <w:sz w:val="24"/>
          <w:szCs w:val="24"/>
        </w:rPr>
        <w:t>，</w:t>
      </w:r>
      <w:r>
        <w:rPr>
          <w:sz w:val="24"/>
          <w:szCs w:val="24"/>
        </w:rPr>
        <w:t>正式建成</w:t>
      </w:r>
      <w:r>
        <w:rPr>
          <w:rFonts w:hint="eastAsia"/>
          <w:sz w:val="24"/>
          <w:szCs w:val="24"/>
        </w:rPr>
        <w:t>了</w:t>
      </w:r>
      <w:r>
        <w:rPr>
          <w:sz w:val="24"/>
          <w:szCs w:val="24"/>
        </w:rPr>
        <w:t>国内证券行业数据容量最大、数据内容最完整的</w:t>
      </w:r>
      <w:r>
        <w:rPr>
          <w:sz w:val="24"/>
          <w:szCs w:val="24"/>
        </w:rPr>
        <w:t>TB</w:t>
      </w:r>
      <w:r>
        <w:rPr>
          <w:sz w:val="24"/>
          <w:szCs w:val="24"/>
        </w:rPr>
        <w:t>级数据仓库一期工程。数据仓库一期的建成标志着上证所构建起了基本信息平台</w:t>
      </w:r>
      <w:r>
        <w:rPr>
          <w:rFonts w:hint="eastAsia"/>
          <w:sz w:val="24"/>
          <w:szCs w:val="24"/>
        </w:rPr>
        <w:t>，</w:t>
      </w:r>
      <w:r>
        <w:rPr>
          <w:sz w:val="24"/>
          <w:szCs w:val="24"/>
        </w:rPr>
        <w:t>通过集中、统一的数据中心对所有结构化信息和非结构化信息的整合机制</w:t>
      </w:r>
      <w:r>
        <w:rPr>
          <w:rFonts w:hint="eastAsia"/>
          <w:sz w:val="24"/>
          <w:szCs w:val="24"/>
        </w:rPr>
        <w:t>，</w:t>
      </w:r>
      <w:r>
        <w:rPr>
          <w:sz w:val="24"/>
          <w:szCs w:val="24"/>
        </w:rPr>
        <w:t>最大程度地保证了上证所自建所以来所积累的全部历史信息，以及以后新增的所有有价值数据的完整性和可用性。</w:t>
      </w:r>
    </w:p>
    <w:p w14:paraId="04A75206" w14:textId="77777777" w:rsidR="0051446D" w:rsidRDefault="0051446D" w:rsidP="0051446D">
      <w:pPr>
        <w:spacing w:after="156" w:line="360" w:lineRule="auto"/>
        <w:ind w:firstLineChars="200" w:firstLine="480"/>
        <w:rPr>
          <w:rFonts w:hint="eastAsia"/>
          <w:sz w:val="24"/>
          <w:szCs w:val="24"/>
        </w:rPr>
      </w:pPr>
      <w:r>
        <w:rPr>
          <w:sz w:val="24"/>
          <w:szCs w:val="24"/>
        </w:rPr>
        <w:t>交易历史数据存储项目于</w:t>
      </w:r>
      <w:r>
        <w:rPr>
          <w:sz w:val="24"/>
          <w:szCs w:val="24"/>
        </w:rPr>
        <w:t>2002</w:t>
      </w:r>
      <w:r>
        <w:rPr>
          <w:sz w:val="24"/>
          <w:szCs w:val="24"/>
        </w:rPr>
        <w:t>年</w:t>
      </w:r>
      <w:r>
        <w:rPr>
          <w:sz w:val="24"/>
          <w:szCs w:val="24"/>
        </w:rPr>
        <w:t>10</w:t>
      </w:r>
      <w:r>
        <w:rPr>
          <w:sz w:val="24"/>
          <w:szCs w:val="24"/>
        </w:rPr>
        <w:t>月正式进入项目实施阶段</w:t>
      </w:r>
      <w:r>
        <w:rPr>
          <w:rFonts w:hint="eastAsia"/>
          <w:sz w:val="24"/>
          <w:szCs w:val="24"/>
        </w:rPr>
        <w:t>，</w:t>
      </w:r>
      <w:r>
        <w:rPr>
          <w:sz w:val="24"/>
          <w:szCs w:val="24"/>
        </w:rPr>
        <w:t>上证所抽调精兵强将，组成项目组，制定了项目管理、文档规范、安全保密、变更控制、汇报制度等；专门设立项目管理委员会，所有重大事项均通过管理委员会进行决策。根据项目内容，划分了介质、数据分析、加载、应用等多条主线。全部实施过程经过了信息调查分析、业务需求分析、逻辑数据模型设计、体系结构设计、物理数据库设计、</w:t>
      </w:r>
      <w:r>
        <w:rPr>
          <w:sz w:val="24"/>
          <w:szCs w:val="24"/>
        </w:rPr>
        <w:t>ETL</w:t>
      </w:r>
      <w:r>
        <w:rPr>
          <w:sz w:val="24"/>
          <w:szCs w:val="24"/>
        </w:rPr>
        <w:t>设计开发、历史数据加载、备份、业务应用设计开发、系统测试、验收移交、用户培训及知识转移等各个环节。</w:t>
      </w:r>
    </w:p>
    <w:p w14:paraId="22025F63" w14:textId="77777777" w:rsidR="0051446D" w:rsidRDefault="0051446D" w:rsidP="0051446D">
      <w:pPr>
        <w:spacing w:after="156" w:line="360" w:lineRule="auto"/>
        <w:ind w:firstLineChars="200" w:firstLine="480"/>
        <w:rPr>
          <w:rFonts w:hint="eastAsia"/>
          <w:sz w:val="24"/>
          <w:szCs w:val="24"/>
        </w:rPr>
      </w:pPr>
      <w:r>
        <w:rPr>
          <w:sz w:val="24"/>
          <w:szCs w:val="24"/>
        </w:rPr>
        <w:t>由于前期做了充分的准备，采用科学的工作方法。在</w:t>
      </w:r>
      <w:r>
        <w:rPr>
          <w:sz w:val="24"/>
          <w:szCs w:val="24"/>
        </w:rPr>
        <w:t>2003</w:t>
      </w:r>
      <w:r>
        <w:rPr>
          <w:sz w:val="24"/>
          <w:szCs w:val="24"/>
        </w:rPr>
        <w:t>年初，上证所就建立了自动数据加载机制，并开始对</w:t>
      </w:r>
      <w:r>
        <w:rPr>
          <w:sz w:val="24"/>
          <w:szCs w:val="24"/>
        </w:rPr>
        <w:t>2003</w:t>
      </w:r>
      <w:r>
        <w:rPr>
          <w:sz w:val="24"/>
          <w:szCs w:val="24"/>
        </w:rPr>
        <w:t>年新产生的每日增量交易数据进行抽取、转换、加载；一方面不断清洗历史存量数据，另一方面根据用户的反馈，不断完善各种功能。</w:t>
      </w:r>
      <w:r>
        <w:rPr>
          <w:sz w:val="24"/>
          <w:szCs w:val="24"/>
        </w:rPr>
        <w:t>2003</w:t>
      </w:r>
      <w:r>
        <w:rPr>
          <w:sz w:val="24"/>
          <w:szCs w:val="24"/>
        </w:rPr>
        <w:t>年</w:t>
      </w:r>
      <w:r>
        <w:rPr>
          <w:sz w:val="24"/>
          <w:szCs w:val="24"/>
        </w:rPr>
        <w:t>11</w:t>
      </w:r>
      <w:r>
        <w:rPr>
          <w:sz w:val="24"/>
          <w:szCs w:val="24"/>
        </w:rPr>
        <w:t>月，开发工作全部完成，其后的测试、验收、全面试运行均取得了圆满成功。</w:t>
      </w:r>
    </w:p>
    <w:p w14:paraId="50121D13" w14:textId="77777777" w:rsidR="0051446D" w:rsidRDefault="0051446D" w:rsidP="0051446D">
      <w:pPr>
        <w:numPr>
          <w:ilvl w:val="0"/>
          <w:numId w:val="11"/>
        </w:numPr>
        <w:tabs>
          <w:tab w:val="left" w:pos="845"/>
          <w:tab w:val="left" w:pos="1265"/>
        </w:tabs>
        <w:spacing w:line="360" w:lineRule="auto"/>
        <w:rPr>
          <w:rFonts w:ascii="Verdana" w:hAnsi="Verdana" w:hint="eastAsia"/>
          <w:sz w:val="24"/>
          <w:szCs w:val="24"/>
        </w:rPr>
      </w:pPr>
      <w:bookmarkStart w:id="15" w:name="_Toc194244588"/>
      <w:r>
        <w:rPr>
          <w:rFonts w:ascii="Verdana" w:hAnsi="Verdana" w:hint="eastAsia"/>
          <w:sz w:val="24"/>
          <w:szCs w:val="24"/>
        </w:rPr>
        <w:t>建设成果</w:t>
      </w:r>
      <w:bookmarkEnd w:id="15"/>
    </w:p>
    <w:p w14:paraId="61F24003" w14:textId="77777777" w:rsidR="0051446D" w:rsidRDefault="0051446D" w:rsidP="0051446D">
      <w:pPr>
        <w:spacing w:after="156" w:line="360" w:lineRule="auto"/>
        <w:ind w:firstLineChars="200" w:firstLine="480"/>
        <w:rPr>
          <w:rFonts w:hint="eastAsia"/>
          <w:sz w:val="24"/>
          <w:szCs w:val="24"/>
        </w:rPr>
      </w:pPr>
      <w:r>
        <w:rPr>
          <w:sz w:val="24"/>
          <w:szCs w:val="24"/>
        </w:rPr>
        <w:t>在科学的逻辑数据模型基础上，上证所通过恢复历史备份的数千张光盘和磁带，完成了</w:t>
      </w:r>
      <w:r>
        <w:rPr>
          <w:sz w:val="24"/>
          <w:szCs w:val="24"/>
        </w:rPr>
        <w:t>1990</w:t>
      </w:r>
      <w:r>
        <w:rPr>
          <w:sz w:val="24"/>
          <w:szCs w:val="24"/>
        </w:rPr>
        <w:t>年以来</w:t>
      </w:r>
      <w:r>
        <w:rPr>
          <w:rFonts w:hint="eastAsia"/>
          <w:sz w:val="24"/>
          <w:szCs w:val="24"/>
        </w:rPr>
        <w:t>所有</w:t>
      </w:r>
      <w:r>
        <w:rPr>
          <w:sz w:val="24"/>
          <w:szCs w:val="24"/>
        </w:rPr>
        <w:t>交易历史数据的整合与存储；通过对多个交易相关业务子系统的处理，完成了交易相关上市公司、会员、基金、债券、指数、板块、统计数据等信息的整合；通过设计对非结构化数据的整合方案，完成了交易所</w:t>
      </w:r>
      <w:r>
        <w:rPr>
          <w:rFonts w:hint="eastAsia"/>
          <w:sz w:val="24"/>
          <w:szCs w:val="24"/>
        </w:rPr>
        <w:t>8</w:t>
      </w:r>
      <w:r>
        <w:rPr>
          <w:sz w:val="24"/>
          <w:szCs w:val="24"/>
        </w:rPr>
        <w:t>大业务部门长期积累的数百万页非结构化文档信息的存储；并且通过建立了数据自动加载机制，完成了对于以后日常业务增量信息的自动加载处理。</w:t>
      </w:r>
    </w:p>
    <w:p w14:paraId="258E9253" w14:textId="77777777" w:rsidR="0051446D" w:rsidRDefault="0051446D" w:rsidP="0051446D">
      <w:pPr>
        <w:spacing w:after="156" w:line="360" w:lineRule="auto"/>
        <w:ind w:firstLineChars="200" w:firstLine="480"/>
        <w:rPr>
          <w:rFonts w:hint="eastAsia"/>
          <w:sz w:val="24"/>
          <w:szCs w:val="24"/>
        </w:rPr>
      </w:pPr>
    </w:p>
    <w:p w14:paraId="69904ED2" w14:textId="77777777" w:rsidR="0051446D" w:rsidRDefault="0051446D" w:rsidP="0051446D">
      <w:pPr>
        <w:numPr>
          <w:ilvl w:val="1"/>
          <w:numId w:val="13"/>
        </w:numPr>
        <w:tabs>
          <w:tab w:val="clear" w:pos="1320"/>
          <w:tab w:val="left" w:pos="360"/>
        </w:tabs>
        <w:spacing w:line="360" w:lineRule="auto"/>
        <w:ind w:left="360"/>
        <w:rPr>
          <w:rFonts w:hint="eastAsia"/>
          <w:b/>
          <w:bCs/>
          <w:sz w:val="24"/>
          <w:szCs w:val="24"/>
        </w:rPr>
      </w:pPr>
      <w:bookmarkStart w:id="16" w:name="_Toc194244589"/>
      <w:r>
        <w:rPr>
          <w:rFonts w:hint="eastAsia"/>
          <w:b/>
          <w:bCs/>
          <w:sz w:val="24"/>
          <w:szCs w:val="24"/>
        </w:rPr>
        <w:t>数据仓库二期建设</w:t>
      </w:r>
      <w:bookmarkEnd w:id="16"/>
    </w:p>
    <w:p w14:paraId="602CB1DE" w14:textId="77777777" w:rsidR="0051446D" w:rsidRDefault="0051446D" w:rsidP="0051446D">
      <w:pPr>
        <w:numPr>
          <w:ilvl w:val="0"/>
          <w:numId w:val="11"/>
        </w:numPr>
        <w:tabs>
          <w:tab w:val="left" w:pos="845"/>
          <w:tab w:val="left" w:pos="1265"/>
        </w:tabs>
        <w:spacing w:line="360" w:lineRule="auto"/>
        <w:rPr>
          <w:rFonts w:ascii="Verdana" w:hAnsi="Verdana" w:hint="eastAsia"/>
          <w:sz w:val="24"/>
          <w:szCs w:val="24"/>
        </w:rPr>
      </w:pPr>
      <w:bookmarkStart w:id="17" w:name="_Toc194244590"/>
      <w:r>
        <w:rPr>
          <w:rFonts w:ascii="Verdana" w:hAnsi="Verdana" w:hint="eastAsia"/>
          <w:sz w:val="24"/>
          <w:szCs w:val="24"/>
        </w:rPr>
        <w:t>建设目标</w:t>
      </w:r>
      <w:bookmarkEnd w:id="17"/>
    </w:p>
    <w:p w14:paraId="2DB07AD9" w14:textId="77777777" w:rsidR="0051446D" w:rsidRDefault="0051446D" w:rsidP="0051446D">
      <w:pPr>
        <w:spacing w:after="156" w:line="360" w:lineRule="auto"/>
        <w:ind w:firstLineChars="200" w:firstLine="480"/>
        <w:rPr>
          <w:rFonts w:hint="eastAsia"/>
          <w:sz w:val="24"/>
          <w:szCs w:val="24"/>
        </w:rPr>
      </w:pPr>
      <w:r>
        <w:rPr>
          <w:rFonts w:hint="eastAsia"/>
          <w:sz w:val="24"/>
          <w:szCs w:val="24"/>
        </w:rPr>
        <w:t>在完成数据仓库一期建设的基础上，于</w:t>
      </w:r>
      <w:r>
        <w:rPr>
          <w:rFonts w:hint="eastAsia"/>
          <w:sz w:val="24"/>
          <w:szCs w:val="24"/>
        </w:rPr>
        <w:t>2005</w:t>
      </w:r>
      <w:r>
        <w:rPr>
          <w:rFonts w:hint="eastAsia"/>
          <w:sz w:val="24"/>
          <w:szCs w:val="24"/>
        </w:rPr>
        <w:t>年启动数据仓库二期建设，数据仓库二期建设目标是在数据仓库一期的基础上开发信息服务平台及应用服务体系，使信息产生价值为所内外提供数据加工、统计分析、市场监管、决策支持服务，为进一步发挥数据仓库的价值服务打下良好的基础。</w:t>
      </w:r>
    </w:p>
    <w:p w14:paraId="6665B191" w14:textId="77777777" w:rsidR="0051446D" w:rsidRDefault="0051446D" w:rsidP="0051446D">
      <w:pPr>
        <w:numPr>
          <w:ilvl w:val="0"/>
          <w:numId w:val="11"/>
        </w:numPr>
        <w:tabs>
          <w:tab w:val="left" w:pos="845"/>
          <w:tab w:val="left" w:pos="1265"/>
        </w:tabs>
        <w:spacing w:line="360" w:lineRule="auto"/>
        <w:rPr>
          <w:rFonts w:ascii="Verdana" w:hAnsi="Verdana" w:hint="eastAsia"/>
          <w:sz w:val="24"/>
          <w:szCs w:val="24"/>
        </w:rPr>
      </w:pPr>
      <w:bookmarkStart w:id="18" w:name="_Toc194244591"/>
      <w:r>
        <w:rPr>
          <w:rFonts w:ascii="Verdana" w:hAnsi="Verdana" w:hint="eastAsia"/>
          <w:sz w:val="24"/>
          <w:szCs w:val="24"/>
        </w:rPr>
        <w:t>建设过程</w:t>
      </w:r>
      <w:bookmarkEnd w:id="18"/>
    </w:p>
    <w:p w14:paraId="665A069A" w14:textId="77777777" w:rsidR="0051446D" w:rsidRDefault="0051446D" w:rsidP="0051446D">
      <w:pPr>
        <w:spacing w:after="156" w:line="360" w:lineRule="auto"/>
        <w:ind w:firstLineChars="200" w:firstLine="480"/>
        <w:rPr>
          <w:rFonts w:hint="eastAsia"/>
          <w:sz w:val="24"/>
          <w:szCs w:val="24"/>
        </w:rPr>
      </w:pPr>
      <w:r>
        <w:rPr>
          <w:rFonts w:hint="eastAsia"/>
          <w:sz w:val="24"/>
          <w:szCs w:val="24"/>
        </w:rPr>
        <w:t>数据仓库二期项目于</w:t>
      </w:r>
      <w:r>
        <w:rPr>
          <w:rFonts w:hint="eastAsia"/>
          <w:sz w:val="24"/>
          <w:szCs w:val="24"/>
        </w:rPr>
        <w:t>2005</w:t>
      </w:r>
      <w:r>
        <w:rPr>
          <w:rFonts w:hint="eastAsia"/>
          <w:sz w:val="24"/>
          <w:szCs w:val="24"/>
        </w:rPr>
        <w:t>年</w:t>
      </w:r>
      <w:r>
        <w:rPr>
          <w:rFonts w:hint="eastAsia"/>
          <w:sz w:val="24"/>
          <w:szCs w:val="24"/>
        </w:rPr>
        <w:t>1</w:t>
      </w:r>
      <w:r>
        <w:rPr>
          <w:rFonts w:hint="eastAsia"/>
          <w:sz w:val="24"/>
          <w:szCs w:val="24"/>
        </w:rPr>
        <w:t>月从业务部门的集中需求访谈开始，向所内</w:t>
      </w:r>
      <w:r>
        <w:rPr>
          <w:rFonts w:hint="eastAsia"/>
          <w:sz w:val="24"/>
          <w:szCs w:val="24"/>
        </w:rPr>
        <w:t>9</w:t>
      </w:r>
      <w:r>
        <w:rPr>
          <w:rFonts w:hint="eastAsia"/>
          <w:sz w:val="24"/>
          <w:szCs w:val="24"/>
        </w:rPr>
        <w:t>大业务部门共进行了</w:t>
      </w:r>
      <w:r>
        <w:rPr>
          <w:rFonts w:hint="eastAsia"/>
          <w:sz w:val="24"/>
          <w:szCs w:val="24"/>
        </w:rPr>
        <w:t>32</w:t>
      </w:r>
      <w:r>
        <w:rPr>
          <w:rFonts w:hint="eastAsia"/>
          <w:sz w:val="24"/>
          <w:szCs w:val="24"/>
        </w:rPr>
        <w:t>次的需求访谈，访问了业务部门领导和业务人员共</w:t>
      </w:r>
      <w:r>
        <w:rPr>
          <w:rFonts w:hint="eastAsia"/>
          <w:sz w:val="24"/>
          <w:szCs w:val="24"/>
        </w:rPr>
        <w:t>40</w:t>
      </w:r>
      <w:r>
        <w:rPr>
          <w:rFonts w:hint="eastAsia"/>
          <w:sz w:val="24"/>
          <w:szCs w:val="24"/>
        </w:rPr>
        <w:t>余人次，共收集了</w:t>
      </w:r>
      <w:r>
        <w:rPr>
          <w:rFonts w:hint="eastAsia"/>
          <w:sz w:val="24"/>
          <w:szCs w:val="24"/>
        </w:rPr>
        <w:t>511</w:t>
      </w:r>
      <w:r>
        <w:rPr>
          <w:rFonts w:hint="eastAsia"/>
          <w:sz w:val="24"/>
          <w:szCs w:val="24"/>
        </w:rPr>
        <w:t>个原始需求。项目组对原始需求进行了归纳整理，建立了全所级的</w:t>
      </w:r>
      <w:r>
        <w:rPr>
          <w:rFonts w:hint="eastAsia"/>
          <w:sz w:val="24"/>
          <w:szCs w:val="24"/>
        </w:rPr>
        <w:t>10</w:t>
      </w:r>
      <w:r>
        <w:rPr>
          <w:rFonts w:hint="eastAsia"/>
          <w:sz w:val="24"/>
          <w:szCs w:val="24"/>
        </w:rPr>
        <w:t>大需求分类，并在部门原始需求的基础上归纳整理形成</w:t>
      </w:r>
      <w:r>
        <w:rPr>
          <w:rFonts w:hint="eastAsia"/>
          <w:sz w:val="24"/>
          <w:szCs w:val="24"/>
        </w:rPr>
        <w:t>311</w:t>
      </w:r>
      <w:r>
        <w:rPr>
          <w:rFonts w:hint="eastAsia"/>
          <w:sz w:val="24"/>
          <w:szCs w:val="24"/>
        </w:rPr>
        <w:t>个全所级作为应用开发的业务需求。</w:t>
      </w:r>
    </w:p>
    <w:p w14:paraId="26BC369C" w14:textId="77777777" w:rsidR="0051446D" w:rsidRDefault="0051446D" w:rsidP="0051446D">
      <w:pPr>
        <w:spacing w:after="156" w:line="360" w:lineRule="auto"/>
        <w:ind w:firstLineChars="200" w:firstLine="480"/>
        <w:rPr>
          <w:rFonts w:hint="eastAsia"/>
          <w:sz w:val="24"/>
          <w:szCs w:val="24"/>
        </w:rPr>
      </w:pPr>
      <w:r>
        <w:rPr>
          <w:rFonts w:hint="eastAsia"/>
          <w:sz w:val="24"/>
          <w:szCs w:val="24"/>
        </w:rPr>
        <w:t>在</w:t>
      </w:r>
      <w:r>
        <w:rPr>
          <w:rFonts w:hint="eastAsia"/>
          <w:sz w:val="24"/>
          <w:szCs w:val="24"/>
        </w:rPr>
        <w:t>2005</w:t>
      </w:r>
      <w:r>
        <w:rPr>
          <w:rFonts w:hint="eastAsia"/>
          <w:sz w:val="24"/>
          <w:szCs w:val="24"/>
        </w:rPr>
        <w:t>年</w:t>
      </w:r>
      <w:r>
        <w:rPr>
          <w:rFonts w:hint="eastAsia"/>
          <w:sz w:val="24"/>
          <w:szCs w:val="24"/>
        </w:rPr>
        <w:t>6</w:t>
      </w:r>
      <w:r>
        <w:rPr>
          <w:rFonts w:hint="eastAsia"/>
          <w:sz w:val="24"/>
          <w:szCs w:val="24"/>
        </w:rPr>
        <w:t>月底完成了第一阶段应用的开发工作，与此同时面向业务部门进行了大规模的应用推广工作，向业务部门使用人员全面地介绍数据仓库系统的操作和分析的使用方法，经过推广工作体现了系统各项开发技术都已成熟，业务部门对数据仓库系统有了全面的认识。</w:t>
      </w:r>
    </w:p>
    <w:p w14:paraId="1D87D165" w14:textId="77777777" w:rsidR="0051446D" w:rsidRDefault="0051446D" w:rsidP="0051446D">
      <w:pPr>
        <w:spacing w:after="156" w:line="360" w:lineRule="auto"/>
        <w:ind w:firstLineChars="200" w:firstLine="480"/>
        <w:rPr>
          <w:rFonts w:hint="eastAsia"/>
          <w:sz w:val="24"/>
          <w:szCs w:val="24"/>
        </w:rPr>
      </w:pPr>
      <w:r>
        <w:rPr>
          <w:rFonts w:hint="eastAsia"/>
          <w:sz w:val="24"/>
          <w:szCs w:val="24"/>
        </w:rPr>
        <w:t>项目于</w:t>
      </w:r>
      <w:r>
        <w:rPr>
          <w:rFonts w:hint="eastAsia"/>
          <w:sz w:val="24"/>
          <w:szCs w:val="24"/>
        </w:rPr>
        <w:t>2005</w:t>
      </w:r>
      <w:r>
        <w:rPr>
          <w:rFonts w:hint="eastAsia"/>
          <w:sz w:val="24"/>
          <w:szCs w:val="24"/>
        </w:rPr>
        <w:t>年</w:t>
      </w:r>
      <w:r>
        <w:rPr>
          <w:rFonts w:hint="eastAsia"/>
          <w:sz w:val="24"/>
          <w:szCs w:val="24"/>
        </w:rPr>
        <w:t>10</w:t>
      </w:r>
      <w:r>
        <w:rPr>
          <w:rFonts w:hint="eastAsia"/>
          <w:sz w:val="24"/>
          <w:szCs w:val="24"/>
        </w:rPr>
        <w:t>完成了第二阶段大规模的开发工作，于此同时元数据管理子项目、非结构化数据管理子项目、数据仓库管理子项目也已经完成，并在生产环境下完成了全面的部署。</w:t>
      </w:r>
      <w:r>
        <w:rPr>
          <w:rFonts w:hint="eastAsia"/>
          <w:sz w:val="24"/>
          <w:szCs w:val="24"/>
        </w:rPr>
        <w:t>2005</w:t>
      </w:r>
      <w:r>
        <w:rPr>
          <w:rFonts w:hint="eastAsia"/>
          <w:sz w:val="24"/>
          <w:szCs w:val="24"/>
        </w:rPr>
        <w:t>年</w:t>
      </w:r>
      <w:r>
        <w:rPr>
          <w:rFonts w:hint="eastAsia"/>
          <w:sz w:val="24"/>
          <w:szCs w:val="24"/>
        </w:rPr>
        <w:t>10</w:t>
      </w:r>
      <w:r>
        <w:rPr>
          <w:rFonts w:hint="eastAsia"/>
          <w:sz w:val="24"/>
          <w:szCs w:val="24"/>
        </w:rPr>
        <w:t>月至</w:t>
      </w:r>
      <w:r>
        <w:rPr>
          <w:rFonts w:hint="eastAsia"/>
          <w:sz w:val="24"/>
          <w:szCs w:val="24"/>
        </w:rPr>
        <w:t>11</w:t>
      </w:r>
      <w:r>
        <w:rPr>
          <w:rFonts w:hint="eastAsia"/>
          <w:sz w:val="24"/>
          <w:szCs w:val="24"/>
        </w:rPr>
        <w:t>月期间进行了大规模的集成测试工作，对系统非功能性和功能性的各项指标全面进行了测试，为系统的投产打下了良好的基础。</w:t>
      </w:r>
    </w:p>
    <w:p w14:paraId="7E78D78B" w14:textId="77777777" w:rsidR="0051446D" w:rsidRDefault="0051446D" w:rsidP="0051446D">
      <w:pPr>
        <w:spacing w:after="156" w:line="360" w:lineRule="auto"/>
        <w:ind w:firstLineChars="200" w:firstLine="480"/>
        <w:rPr>
          <w:rFonts w:hint="eastAsia"/>
          <w:sz w:val="24"/>
          <w:szCs w:val="24"/>
        </w:rPr>
      </w:pPr>
      <w:r>
        <w:rPr>
          <w:rFonts w:hint="eastAsia"/>
          <w:sz w:val="24"/>
          <w:szCs w:val="24"/>
        </w:rPr>
        <w:t>项目于</w:t>
      </w:r>
      <w:r>
        <w:rPr>
          <w:rFonts w:hint="eastAsia"/>
          <w:sz w:val="24"/>
          <w:szCs w:val="24"/>
        </w:rPr>
        <w:t>2005</w:t>
      </w:r>
      <w:r>
        <w:rPr>
          <w:rFonts w:hint="eastAsia"/>
          <w:sz w:val="24"/>
          <w:szCs w:val="24"/>
        </w:rPr>
        <w:t>年</w:t>
      </w:r>
      <w:r>
        <w:rPr>
          <w:rFonts w:hint="eastAsia"/>
          <w:sz w:val="24"/>
          <w:szCs w:val="24"/>
        </w:rPr>
        <w:t>12</w:t>
      </w:r>
      <w:r>
        <w:rPr>
          <w:rFonts w:hint="eastAsia"/>
          <w:sz w:val="24"/>
          <w:szCs w:val="24"/>
        </w:rPr>
        <w:t>月之后进入试运行，于</w:t>
      </w:r>
      <w:r>
        <w:rPr>
          <w:rFonts w:hint="eastAsia"/>
          <w:sz w:val="24"/>
          <w:szCs w:val="24"/>
        </w:rPr>
        <w:t>2006</w:t>
      </w:r>
      <w:r>
        <w:rPr>
          <w:rFonts w:hint="eastAsia"/>
          <w:sz w:val="24"/>
          <w:szCs w:val="24"/>
        </w:rPr>
        <w:t>年</w:t>
      </w:r>
      <w:r>
        <w:rPr>
          <w:rFonts w:hint="eastAsia"/>
          <w:sz w:val="24"/>
          <w:szCs w:val="24"/>
        </w:rPr>
        <w:t>2</w:t>
      </w:r>
      <w:r>
        <w:rPr>
          <w:rFonts w:hint="eastAsia"/>
          <w:sz w:val="24"/>
          <w:szCs w:val="24"/>
        </w:rPr>
        <w:t>月转入了正式运行。系统运行的情况完全达到了项目的各项指标的要求，同时也作为上证所建成</w:t>
      </w:r>
      <w:r>
        <w:rPr>
          <w:rFonts w:hint="eastAsia"/>
          <w:sz w:val="24"/>
          <w:szCs w:val="24"/>
        </w:rPr>
        <w:t>15</w:t>
      </w:r>
      <w:r>
        <w:rPr>
          <w:rFonts w:hint="eastAsia"/>
          <w:sz w:val="24"/>
          <w:szCs w:val="24"/>
        </w:rPr>
        <w:t>周年的所庆献礼。</w:t>
      </w:r>
    </w:p>
    <w:p w14:paraId="7CF1F71D" w14:textId="77777777" w:rsidR="0051446D" w:rsidRDefault="0051446D" w:rsidP="0051446D">
      <w:pPr>
        <w:numPr>
          <w:ilvl w:val="0"/>
          <w:numId w:val="11"/>
        </w:numPr>
        <w:tabs>
          <w:tab w:val="left" w:pos="845"/>
          <w:tab w:val="left" w:pos="1265"/>
        </w:tabs>
        <w:spacing w:line="360" w:lineRule="auto"/>
        <w:rPr>
          <w:rFonts w:ascii="Verdana" w:hAnsi="Verdana" w:hint="eastAsia"/>
          <w:sz w:val="24"/>
          <w:szCs w:val="24"/>
        </w:rPr>
      </w:pPr>
      <w:bookmarkStart w:id="19" w:name="_Toc194244592"/>
      <w:r>
        <w:rPr>
          <w:rFonts w:ascii="Verdana" w:hAnsi="Verdana" w:hint="eastAsia"/>
          <w:sz w:val="24"/>
          <w:szCs w:val="24"/>
        </w:rPr>
        <w:t>建设成果</w:t>
      </w:r>
      <w:bookmarkEnd w:id="19"/>
    </w:p>
    <w:p w14:paraId="69A20B0B" w14:textId="77777777" w:rsidR="0051446D" w:rsidRDefault="0051446D" w:rsidP="0051446D">
      <w:pPr>
        <w:spacing w:after="156" w:line="360" w:lineRule="auto"/>
        <w:ind w:firstLine="420"/>
        <w:rPr>
          <w:rFonts w:hint="eastAsia"/>
          <w:sz w:val="24"/>
          <w:szCs w:val="24"/>
        </w:rPr>
      </w:pPr>
      <w:r>
        <w:rPr>
          <w:rFonts w:hint="eastAsia"/>
          <w:sz w:val="24"/>
          <w:szCs w:val="24"/>
        </w:rPr>
        <w:t>数据仓库二期项目的建设完成了前端应用开发共完成了</w:t>
      </w:r>
      <w:r>
        <w:rPr>
          <w:rFonts w:hint="eastAsia"/>
          <w:sz w:val="24"/>
          <w:szCs w:val="24"/>
        </w:rPr>
        <w:t>600</w:t>
      </w:r>
      <w:r>
        <w:rPr>
          <w:rFonts w:hint="eastAsia"/>
          <w:sz w:val="24"/>
          <w:szCs w:val="24"/>
        </w:rPr>
        <w:t>多个包含报表、查询、多维分析、</w:t>
      </w:r>
      <w:r>
        <w:rPr>
          <w:rFonts w:hint="eastAsia"/>
          <w:sz w:val="24"/>
          <w:szCs w:val="24"/>
        </w:rPr>
        <w:t>KPI</w:t>
      </w:r>
      <w:r>
        <w:rPr>
          <w:rFonts w:hint="eastAsia"/>
          <w:sz w:val="24"/>
          <w:szCs w:val="24"/>
        </w:rPr>
        <w:t>等多种形式的应用，为上证所各业务部门提供统计报表、数据查询、关联分析等信息服务；数据仓库二期的</w:t>
      </w:r>
      <w:r>
        <w:rPr>
          <w:rFonts w:hint="eastAsia"/>
          <w:sz w:val="24"/>
          <w:szCs w:val="24"/>
        </w:rPr>
        <w:t>Portal</w:t>
      </w:r>
      <w:r>
        <w:rPr>
          <w:rFonts w:hint="eastAsia"/>
          <w:sz w:val="24"/>
          <w:szCs w:val="24"/>
        </w:rPr>
        <w:t>集成了系统的各个子项目的功能，包括：前端应用、元数据管理、非结构化数据管理、数据仓库管理等。通过统一的门户入口，用户根据权限分配情况可使用数据仓库二期提供的各项服务，实现单点登入的功能；对用户使用数据仓库系统的用户进行统一的管理；元数据管理子项目包含了元数据管理和数据管理，提供了完整的元数据管理和应用功能，包括：信息浏览、流程管理、在线帮助、影响分析、安全管理等内容。</w:t>
      </w:r>
    </w:p>
    <w:p w14:paraId="088E9A6A" w14:textId="77777777" w:rsidR="0051446D" w:rsidRDefault="0051446D" w:rsidP="0051446D">
      <w:pPr>
        <w:spacing w:after="156" w:line="360" w:lineRule="auto"/>
        <w:ind w:firstLineChars="200" w:firstLine="480"/>
        <w:rPr>
          <w:rFonts w:hint="eastAsia"/>
          <w:sz w:val="24"/>
          <w:szCs w:val="24"/>
        </w:rPr>
      </w:pPr>
    </w:p>
    <w:p w14:paraId="61C679D2" w14:textId="77777777" w:rsidR="0051446D" w:rsidRDefault="0051446D" w:rsidP="0051446D">
      <w:pPr>
        <w:numPr>
          <w:ilvl w:val="1"/>
          <w:numId w:val="13"/>
        </w:numPr>
        <w:tabs>
          <w:tab w:val="clear" w:pos="1320"/>
          <w:tab w:val="left" w:pos="360"/>
        </w:tabs>
        <w:spacing w:line="360" w:lineRule="auto"/>
        <w:ind w:left="360"/>
        <w:rPr>
          <w:rFonts w:hint="eastAsia"/>
          <w:b/>
          <w:bCs/>
          <w:sz w:val="24"/>
          <w:szCs w:val="24"/>
        </w:rPr>
      </w:pPr>
      <w:bookmarkStart w:id="20" w:name="_Toc194244593"/>
      <w:r>
        <w:rPr>
          <w:rFonts w:hint="eastAsia"/>
          <w:b/>
          <w:bCs/>
          <w:sz w:val="24"/>
          <w:szCs w:val="24"/>
        </w:rPr>
        <w:t>信息增值服务建设</w:t>
      </w:r>
      <w:bookmarkEnd w:id="20"/>
    </w:p>
    <w:p w14:paraId="163C58AA" w14:textId="77777777" w:rsidR="0051446D" w:rsidRDefault="0051446D" w:rsidP="0051446D">
      <w:pPr>
        <w:numPr>
          <w:ilvl w:val="0"/>
          <w:numId w:val="11"/>
        </w:numPr>
        <w:tabs>
          <w:tab w:val="left" w:pos="845"/>
          <w:tab w:val="left" w:pos="1265"/>
        </w:tabs>
        <w:spacing w:line="360" w:lineRule="auto"/>
        <w:rPr>
          <w:rFonts w:hint="eastAsia"/>
          <w:sz w:val="24"/>
          <w:szCs w:val="24"/>
        </w:rPr>
      </w:pPr>
      <w:bookmarkStart w:id="21" w:name="_Toc194244594"/>
      <w:r>
        <w:rPr>
          <w:rFonts w:hint="eastAsia"/>
          <w:sz w:val="24"/>
          <w:szCs w:val="24"/>
        </w:rPr>
        <w:t>建设目标</w:t>
      </w:r>
      <w:bookmarkEnd w:id="21"/>
    </w:p>
    <w:p w14:paraId="24223066" w14:textId="77777777" w:rsidR="0051446D" w:rsidRDefault="0051446D" w:rsidP="0051446D">
      <w:pPr>
        <w:spacing w:after="156" w:line="360" w:lineRule="auto"/>
        <w:ind w:firstLineChars="200" w:firstLine="480"/>
        <w:rPr>
          <w:rFonts w:hint="eastAsia"/>
          <w:sz w:val="24"/>
          <w:szCs w:val="24"/>
        </w:rPr>
      </w:pPr>
      <w:r>
        <w:rPr>
          <w:rFonts w:hint="eastAsia"/>
          <w:sz w:val="24"/>
          <w:szCs w:val="24"/>
        </w:rPr>
        <w:t>通过数据仓库二期的建设，塔建的信息服务的基础平台已初步显现出数据仓库关联分析、数据统计的威力；上证所于</w:t>
      </w:r>
      <w:r>
        <w:rPr>
          <w:rFonts w:hint="eastAsia"/>
          <w:sz w:val="24"/>
          <w:szCs w:val="24"/>
        </w:rPr>
        <w:t>2006</w:t>
      </w:r>
      <w:r>
        <w:rPr>
          <w:rFonts w:hint="eastAsia"/>
          <w:sz w:val="24"/>
          <w:szCs w:val="24"/>
        </w:rPr>
        <w:t>年基于数据仓库平台逐步加大信息增值服务的开发，完成了</w:t>
      </w:r>
      <w:r>
        <w:rPr>
          <w:rFonts w:hint="eastAsia"/>
          <w:sz w:val="24"/>
          <w:szCs w:val="24"/>
        </w:rPr>
        <w:t>Top-View</w:t>
      </w:r>
      <w:r>
        <w:rPr>
          <w:rFonts w:hint="eastAsia"/>
          <w:sz w:val="24"/>
          <w:szCs w:val="24"/>
        </w:rPr>
        <w:t>信息产品加工、统计报表移植、债券统计系统移植、异动股票统计、交易公开信息披露统计、计费系统移植、权证信息披露等。</w:t>
      </w:r>
    </w:p>
    <w:p w14:paraId="4EA78D33" w14:textId="77777777" w:rsidR="0051446D" w:rsidRDefault="0051446D" w:rsidP="0051446D">
      <w:pPr>
        <w:numPr>
          <w:ilvl w:val="0"/>
          <w:numId w:val="11"/>
        </w:numPr>
        <w:tabs>
          <w:tab w:val="left" w:pos="845"/>
          <w:tab w:val="left" w:pos="1265"/>
        </w:tabs>
        <w:spacing w:line="360" w:lineRule="auto"/>
        <w:rPr>
          <w:rFonts w:ascii="Verdana" w:hAnsi="Verdana" w:hint="eastAsia"/>
          <w:sz w:val="24"/>
          <w:szCs w:val="24"/>
        </w:rPr>
      </w:pPr>
      <w:bookmarkStart w:id="22" w:name="_Toc194244595"/>
      <w:r>
        <w:rPr>
          <w:rFonts w:ascii="Verdana" w:hAnsi="Verdana" w:hint="eastAsia"/>
          <w:sz w:val="24"/>
          <w:szCs w:val="24"/>
        </w:rPr>
        <w:t>建设过程</w:t>
      </w:r>
      <w:bookmarkEnd w:id="22"/>
    </w:p>
    <w:p w14:paraId="0CE0B6B2" w14:textId="77777777" w:rsidR="0051446D" w:rsidRDefault="0051446D" w:rsidP="0051446D">
      <w:pPr>
        <w:spacing w:after="156" w:line="360" w:lineRule="auto"/>
        <w:ind w:firstLineChars="200" w:firstLine="480"/>
        <w:rPr>
          <w:rFonts w:hint="eastAsia"/>
          <w:sz w:val="24"/>
          <w:szCs w:val="24"/>
        </w:rPr>
      </w:pPr>
      <w:r>
        <w:rPr>
          <w:rFonts w:hint="eastAsia"/>
          <w:sz w:val="24"/>
          <w:szCs w:val="24"/>
        </w:rPr>
        <w:t>在完成基础数据存储平台、应用服务平台搭建的基础上，上证所不断扩大数据仓库系统的应用支持服务；面向所外提供各种信息发布和增值服务支持，如：异动股票信息发布、权证信息披露、交易公开信息披露、</w:t>
      </w:r>
      <w:r>
        <w:rPr>
          <w:rFonts w:hint="eastAsia"/>
          <w:sz w:val="24"/>
          <w:szCs w:val="24"/>
        </w:rPr>
        <w:t>Top-View</w:t>
      </w:r>
      <w:r>
        <w:rPr>
          <w:rFonts w:hint="eastAsia"/>
          <w:sz w:val="24"/>
          <w:szCs w:val="24"/>
        </w:rPr>
        <w:t>信息产品数据加工、上证所统计月报</w:t>
      </w:r>
      <w:r>
        <w:rPr>
          <w:rFonts w:hint="eastAsia"/>
          <w:sz w:val="24"/>
          <w:szCs w:val="24"/>
        </w:rPr>
        <w:t>/</w:t>
      </w:r>
      <w:r>
        <w:rPr>
          <w:rFonts w:hint="eastAsia"/>
          <w:sz w:val="24"/>
          <w:szCs w:val="24"/>
        </w:rPr>
        <w:t>季报</w:t>
      </w:r>
      <w:r>
        <w:rPr>
          <w:rFonts w:hint="eastAsia"/>
          <w:sz w:val="24"/>
          <w:szCs w:val="24"/>
        </w:rPr>
        <w:t>/</w:t>
      </w:r>
      <w:r>
        <w:rPr>
          <w:rFonts w:hint="eastAsia"/>
          <w:sz w:val="24"/>
          <w:szCs w:val="24"/>
        </w:rPr>
        <w:t>年鉴等，使上证所数据仓库系统与证券市场息息相连，特别是</w:t>
      </w:r>
      <w:r>
        <w:rPr>
          <w:rFonts w:hint="eastAsia"/>
          <w:sz w:val="24"/>
          <w:szCs w:val="24"/>
        </w:rPr>
        <w:t>Top-View</w:t>
      </w:r>
      <w:r>
        <w:rPr>
          <w:rFonts w:hint="eastAsia"/>
          <w:sz w:val="24"/>
          <w:szCs w:val="24"/>
        </w:rPr>
        <w:t>信息产品数据加工通过向市场投资者提供信息增值服务为上证所带来了可观的经济创收；面向市场监管单位提供证监会数据报送、证监会统计报告、证监局外派机构监管信息统计等；面向所内除了提供前端应用查询、分析外，向所内提供的数据加工服务有：成交概貌统计、指数概况统计、债券信息统计、会员计费统计、决策数据支持等，同时向</w:t>
      </w:r>
      <w:r>
        <w:rPr>
          <w:rFonts w:hint="eastAsia"/>
          <w:sz w:val="24"/>
          <w:szCs w:val="24"/>
        </w:rPr>
        <w:t>SAS</w:t>
      </w:r>
      <w:r>
        <w:rPr>
          <w:rFonts w:hint="eastAsia"/>
          <w:sz w:val="24"/>
          <w:szCs w:val="24"/>
        </w:rPr>
        <w:t>信息挖掘系统提供数据分析支持。</w:t>
      </w:r>
    </w:p>
    <w:p w14:paraId="23CD83FC" w14:textId="77777777" w:rsidR="0051446D" w:rsidRDefault="0051446D" w:rsidP="0051446D">
      <w:pPr>
        <w:numPr>
          <w:ilvl w:val="0"/>
          <w:numId w:val="11"/>
        </w:numPr>
        <w:tabs>
          <w:tab w:val="left" w:pos="845"/>
          <w:tab w:val="left" w:pos="1265"/>
        </w:tabs>
        <w:spacing w:line="360" w:lineRule="auto"/>
        <w:rPr>
          <w:rFonts w:ascii="Verdana" w:hAnsi="Verdana"/>
          <w:sz w:val="24"/>
          <w:szCs w:val="24"/>
        </w:rPr>
      </w:pPr>
      <w:bookmarkStart w:id="23" w:name="_Toc194244596"/>
      <w:r>
        <w:rPr>
          <w:rFonts w:ascii="Verdana" w:hAnsi="Verdana" w:hint="eastAsia"/>
          <w:sz w:val="24"/>
          <w:szCs w:val="24"/>
        </w:rPr>
        <w:t>建设成果</w:t>
      </w:r>
      <w:bookmarkEnd w:id="23"/>
    </w:p>
    <w:p w14:paraId="1E4D32AA" w14:textId="77777777" w:rsidR="0051446D" w:rsidRDefault="0051446D" w:rsidP="0051446D">
      <w:pPr>
        <w:spacing w:after="156" w:line="360" w:lineRule="auto"/>
        <w:ind w:firstLineChars="200" w:firstLine="480"/>
        <w:rPr>
          <w:rFonts w:hint="eastAsia"/>
          <w:sz w:val="24"/>
          <w:szCs w:val="24"/>
        </w:rPr>
      </w:pPr>
      <w:r>
        <w:rPr>
          <w:rFonts w:hint="eastAsia"/>
          <w:sz w:val="24"/>
          <w:szCs w:val="24"/>
        </w:rPr>
        <w:t>通过信息增值服务的建设，上证所一方面基于数据仓库统一视图的数据管理提供最权威的数据统计信息，确保数据统计口径的一致性和真实性，另一方面减少了重复投资代价。在确保数据仓库系统安全稳定运行的基础上，所内相关的统计报表系统逐步迁移到数据仓库的应用平台上，通过单一的数据中心向辐射提供各方面的信息支持服务，通过单一的门户网站集成所内相关的应用系统向所内相关人员提供信息查询服务。</w:t>
      </w:r>
    </w:p>
    <w:p w14:paraId="129D6E9D" w14:textId="77777777" w:rsidR="0051446D" w:rsidRDefault="0051446D" w:rsidP="0051446D">
      <w:pPr>
        <w:spacing w:after="156" w:line="360" w:lineRule="auto"/>
        <w:ind w:firstLineChars="200" w:firstLine="480"/>
        <w:rPr>
          <w:rFonts w:hint="eastAsia"/>
          <w:sz w:val="24"/>
          <w:szCs w:val="24"/>
        </w:rPr>
      </w:pPr>
    </w:p>
    <w:p w14:paraId="3CA9421F" w14:textId="77777777" w:rsidR="0051446D" w:rsidRDefault="0051446D" w:rsidP="0051446D">
      <w:pPr>
        <w:numPr>
          <w:ilvl w:val="1"/>
          <w:numId w:val="13"/>
        </w:numPr>
        <w:tabs>
          <w:tab w:val="clear" w:pos="1320"/>
          <w:tab w:val="left" w:pos="360"/>
        </w:tabs>
        <w:spacing w:line="360" w:lineRule="auto"/>
        <w:ind w:left="360"/>
        <w:rPr>
          <w:rFonts w:hint="eastAsia"/>
          <w:b/>
          <w:bCs/>
          <w:sz w:val="24"/>
          <w:szCs w:val="24"/>
        </w:rPr>
      </w:pPr>
      <w:bookmarkStart w:id="24" w:name="_Toc194244597"/>
      <w:r>
        <w:rPr>
          <w:rFonts w:hint="eastAsia"/>
          <w:b/>
          <w:bCs/>
          <w:sz w:val="24"/>
          <w:szCs w:val="24"/>
        </w:rPr>
        <w:t>数据仓库灾备系统建设</w:t>
      </w:r>
      <w:bookmarkEnd w:id="24"/>
    </w:p>
    <w:p w14:paraId="445A64DF" w14:textId="77777777" w:rsidR="0051446D" w:rsidRDefault="0051446D" w:rsidP="0051446D">
      <w:pPr>
        <w:spacing w:after="156" w:line="360" w:lineRule="auto"/>
        <w:ind w:firstLineChars="200" w:firstLine="480"/>
        <w:rPr>
          <w:rFonts w:hint="eastAsia"/>
          <w:sz w:val="24"/>
          <w:szCs w:val="24"/>
        </w:rPr>
      </w:pPr>
      <w:r>
        <w:rPr>
          <w:rFonts w:hint="eastAsia"/>
          <w:sz w:val="24"/>
          <w:szCs w:val="24"/>
        </w:rPr>
        <w:t>由于上证所数据仓库系统越来越成为企业运营不可缺失的支持平台，一旦数据仓库系统停止服务将有可能影响整个证券市场的正常运转，因此建立双中心的运营保障数据仓库体系对确保证券市场稳定发展是非常必要的。</w:t>
      </w:r>
    </w:p>
    <w:p w14:paraId="5ADC8F09" w14:textId="77777777" w:rsidR="0051446D" w:rsidRDefault="0051446D" w:rsidP="0051446D">
      <w:pPr>
        <w:spacing w:after="156" w:line="360" w:lineRule="auto"/>
        <w:ind w:firstLineChars="200" w:firstLine="480"/>
        <w:rPr>
          <w:rFonts w:hint="eastAsia"/>
          <w:sz w:val="24"/>
          <w:szCs w:val="24"/>
        </w:rPr>
      </w:pPr>
      <w:r>
        <w:rPr>
          <w:rFonts w:hint="eastAsia"/>
          <w:sz w:val="24"/>
          <w:szCs w:val="24"/>
        </w:rPr>
        <w:t>于</w:t>
      </w:r>
      <w:r>
        <w:rPr>
          <w:rFonts w:hint="eastAsia"/>
          <w:sz w:val="24"/>
          <w:szCs w:val="24"/>
        </w:rPr>
        <w:t>2007</w:t>
      </w:r>
      <w:r>
        <w:rPr>
          <w:rFonts w:hint="eastAsia"/>
          <w:sz w:val="24"/>
          <w:szCs w:val="24"/>
        </w:rPr>
        <w:t>年上证所开始着手数据仓库灾备系统的建设，通过建立两套数据仓库系统实现双中心可主</w:t>
      </w:r>
      <w:r>
        <w:rPr>
          <w:rFonts w:hint="eastAsia"/>
          <w:sz w:val="24"/>
          <w:szCs w:val="24"/>
        </w:rPr>
        <w:t>/</w:t>
      </w:r>
      <w:r>
        <w:rPr>
          <w:rFonts w:hint="eastAsia"/>
          <w:sz w:val="24"/>
          <w:szCs w:val="24"/>
        </w:rPr>
        <w:t>备切换，达到同城异地灾备的目的，从而确保数据仓库系统提供持续稳定的对外服务，目前该项目在建设过程中。</w:t>
      </w:r>
    </w:p>
    <w:p w14:paraId="5A6825CF" w14:textId="77777777" w:rsidR="0051446D" w:rsidRDefault="0051446D" w:rsidP="0051446D">
      <w:pPr>
        <w:spacing w:after="156" w:line="360" w:lineRule="auto"/>
        <w:ind w:firstLineChars="200" w:firstLine="480"/>
        <w:rPr>
          <w:rFonts w:hint="eastAsia"/>
          <w:sz w:val="24"/>
          <w:szCs w:val="24"/>
        </w:rPr>
      </w:pPr>
      <w:r>
        <w:rPr>
          <w:rFonts w:hint="eastAsia"/>
          <w:sz w:val="24"/>
          <w:szCs w:val="24"/>
        </w:rPr>
        <w:t>通过双加载实现主从系统数据的同步，为确保双系统数据的一致性在系统之间增加数据一致性检查，在数据加载的事前、事中、事后进行数据的一致性检查，确保双系统的数据相一致，建制两套对等的应用服务系统使其可任意切换数据库服务，以松偶合方式增强系统的容错能力，任何一套数据仓库系统都可独立运行，通过简单的设置实现主</w:t>
      </w:r>
      <w:r>
        <w:rPr>
          <w:rFonts w:hint="eastAsia"/>
          <w:sz w:val="24"/>
          <w:szCs w:val="24"/>
        </w:rPr>
        <w:t>/</w:t>
      </w:r>
      <w:r>
        <w:rPr>
          <w:rFonts w:hint="eastAsia"/>
          <w:sz w:val="24"/>
          <w:szCs w:val="24"/>
        </w:rPr>
        <w:t>从系统的切换，达到互为备份的目的。</w:t>
      </w:r>
    </w:p>
    <w:p w14:paraId="687F525C" w14:textId="77777777" w:rsidR="0051446D" w:rsidRDefault="0051446D" w:rsidP="0051446D">
      <w:pPr>
        <w:spacing w:after="156" w:line="360" w:lineRule="auto"/>
        <w:jc w:val="center"/>
        <w:rPr>
          <w:rFonts w:hint="eastAsia"/>
          <w:sz w:val="24"/>
          <w:szCs w:val="24"/>
        </w:rPr>
      </w:pPr>
    </w:p>
    <w:p w14:paraId="77877D4B" w14:textId="77777777" w:rsidR="0051446D" w:rsidRDefault="0051446D" w:rsidP="0051446D">
      <w:pPr>
        <w:numPr>
          <w:ilvl w:val="0"/>
          <w:numId w:val="12"/>
        </w:numPr>
        <w:spacing w:line="360" w:lineRule="auto"/>
        <w:rPr>
          <w:rFonts w:hint="eastAsia"/>
          <w:b/>
          <w:bCs/>
          <w:sz w:val="24"/>
          <w:szCs w:val="24"/>
        </w:rPr>
      </w:pPr>
      <w:bookmarkStart w:id="25" w:name="_Toc194244598"/>
      <w:r>
        <w:rPr>
          <w:rFonts w:hint="eastAsia"/>
          <w:b/>
          <w:bCs/>
          <w:sz w:val="24"/>
          <w:szCs w:val="24"/>
        </w:rPr>
        <w:t>数据仓库未来展望</w:t>
      </w:r>
      <w:bookmarkEnd w:id="25"/>
    </w:p>
    <w:p w14:paraId="23DE9957" w14:textId="77777777" w:rsidR="0051446D" w:rsidRDefault="0051446D" w:rsidP="0051446D">
      <w:pPr>
        <w:spacing w:after="156" w:line="360" w:lineRule="auto"/>
        <w:ind w:firstLineChars="200" w:firstLine="480"/>
        <w:rPr>
          <w:rFonts w:hint="eastAsia"/>
          <w:sz w:val="24"/>
          <w:szCs w:val="24"/>
        </w:rPr>
      </w:pPr>
      <w:r>
        <w:rPr>
          <w:rFonts w:hint="eastAsia"/>
          <w:sz w:val="24"/>
          <w:szCs w:val="24"/>
        </w:rPr>
        <w:t>上证所数据仓库系统在上证所领导的规划下以科学的发展观逐步实现新一代信息系统的建设，根据上证所信息系统长期发展的战略规划，结合</w:t>
      </w:r>
      <w:r>
        <w:rPr>
          <w:rFonts w:hint="eastAsia"/>
          <w:sz w:val="24"/>
          <w:szCs w:val="24"/>
        </w:rPr>
        <w:t>Teradata</w:t>
      </w:r>
      <w:r>
        <w:rPr>
          <w:rFonts w:hint="eastAsia"/>
          <w:sz w:val="24"/>
          <w:szCs w:val="24"/>
        </w:rPr>
        <w:t>数据仓库技术不断的发展，从广度和深度上不断拓展和加深数据仓库系统的建设。</w:t>
      </w:r>
    </w:p>
    <w:p w14:paraId="2DAD5215" w14:textId="77777777" w:rsidR="0051446D" w:rsidRDefault="0051446D" w:rsidP="0051446D">
      <w:pPr>
        <w:spacing w:after="156" w:line="360" w:lineRule="auto"/>
        <w:ind w:firstLineChars="200" w:firstLine="480"/>
        <w:rPr>
          <w:rFonts w:hint="eastAsia"/>
          <w:sz w:val="24"/>
          <w:szCs w:val="24"/>
        </w:rPr>
      </w:pPr>
      <w:r>
        <w:rPr>
          <w:rFonts w:hint="eastAsia"/>
          <w:sz w:val="24"/>
          <w:szCs w:val="24"/>
        </w:rPr>
        <w:t>在现有数据仓库服务对象和服务内容的基础上，为更大地发挥上证所数据仓库的作用，扩大数据仓库服务的对象和内容是未来规划需要开展的工作；在服务对象方面，在考虑信息安全的前提下，进行面向全市场提供数据仓库服务的探研，使市场参与者能够直接或间接受益于数据仓库的服务；在服务内容方面将不断丰富上市公司、会员公司、证券市场的服务内容，为更好地服务于市场提供全面的服务。</w:t>
      </w:r>
    </w:p>
    <w:p w14:paraId="6D32C14C" w14:textId="77777777" w:rsidR="0051446D" w:rsidRDefault="0051446D" w:rsidP="0051446D">
      <w:pPr>
        <w:spacing w:after="156" w:line="360" w:lineRule="auto"/>
        <w:ind w:firstLineChars="200" w:firstLine="480"/>
        <w:rPr>
          <w:rFonts w:hint="eastAsia"/>
          <w:sz w:val="24"/>
          <w:szCs w:val="24"/>
        </w:rPr>
      </w:pPr>
      <w:r>
        <w:rPr>
          <w:rFonts w:hint="eastAsia"/>
          <w:sz w:val="24"/>
          <w:szCs w:val="24"/>
        </w:rPr>
        <w:t>随着上证所一新代交易系统的推出，</w:t>
      </w:r>
      <w:r>
        <w:rPr>
          <w:rFonts w:hint="eastAsia"/>
          <w:sz w:val="24"/>
          <w:szCs w:val="24"/>
        </w:rPr>
        <w:t>EAI</w:t>
      </w:r>
      <w:r>
        <w:rPr>
          <w:rFonts w:hint="eastAsia"/>
          <w:sz w:val="24"/>
          <w:szCs w:val="24"/>
        </w:rPr>
        <w:t>消息总线的投入使用，结合</w:t>
      </w:r>
      <w:r>
        <w:rPr>
          <w:rFonts w:hint="eastAsia"/>
          <w:sz w:val="24"/>
          <w:szCs w:val="24"/>
        </w:rPr>
        <w:t>Teradata</w:t>
      </w:r>
      <w:r>
        <w:rPr>
          <w:rFonts w:hint="eastAsia"/>
          <w:sz w:val="24"/>
          <w:szCs w:val="24"/>
        </w:rPr>
        <w:t>数据仓库系统已具有的</w:t>
      </w:r>
      <w:r>
        <w:rPr>
          <w:rFonts w:hint="eastAsia"/>
          <w:sz w:val="24"/>
          <w:szCs w:val="24"/>
        </w:rPr>
        <w:t xml:space="preserve"> </w:t>
      </w:r>
      <w:r>
        <w:rPr>
          <w:sz w:val="24"/>
          <w:szCs w:val="24"/>
        </w:rPr>
        <w:t>AEI</w:t>
      </w:r>
      <w:r>
        <w:rPr>
          <w:rFonts w:hint="eastAsia"/>
          <w:sz w:val="24"/>
          <w:szCs w:val="24"/>
        </w:rPr>
        <w:t>(</w:t>
      </w:r>
      <w:r>
        <w:rPr>
          <w:sz w:val="24"/>
          <w:szCs w:val="24"/>
        </w:rPr>
        <w:t>Active Enterprise Intelligence</w:t>
      </w:r>
      <w:r>
        <w:rPr>
          <w:rFonts w:hint="eastAsia"/>
          <w:sz w:val="24"/>
          <w:szCs w:val="24"/>
        </w:rPr>
        <w:t>)</w:t>
      </w:r>
      <w:r>
        <w:rPr>
          <w:rFonts w:hint="eastAsia"/>
          <w:sz w:val="24"/>
          <w:szCs w:val="24"/>
        </w:rPr>
        <w:t>数据仓库技术，这些都为上证所</w:t>
      </w:r>
      <w:r>
        <w:rPr>
          <w:rFonts w:hint="eastAsia"/>
          <w:sz w:val="24"/>
          <w:szCs w:val="24"/>
        </w:rPr>
        <w:t>ADW(Active Data Warehouse)</w:t>
      </w:r>
      <w:r>
        <w:rPr>
          <w:rFonts w:hint="eastAsia"/>
          <w:sz w:val="24"/>
          <w:szCs w:val="24"/>
        </w:rPr>
        <w:t>的建设具备了良好的基础，为再度提升上证所数据仓库的服务能力，使其符合</w:t>
      </w:r>
      <w:r>
        <w:rPr>
          <w:rFonts w:hint="eastAsia"/>
          <w:sz w:val="24"/>
          <w:szCs w:val="24"/>
        </w:rPr>
        <w:t>AEI</w:t>
      </w:r>
      <w:r>
        <w:rPr>
          <w:rFonts w:hint="eastAsia"/>
          <w:sz w:val="24"/>
          <w:szCs w:val="24"/>
        </w:rPr>
        <w:t>型的数据仓库已成为可能，从而能够更加紧密地跟踪市场的变化、提高服务效率和效能、加强市场监管力度，为更好地服务市场和监管市场都将起到重大的作用。</w:t>
      </w:r>
    </w:p>
    <w:p w14:paraId="4F2E805D" w14:textId="77777777" w:rsidR="0051446D" w:rsidRDefault="0051446D" w:rsidP="0051446D">
      <w:pPr>
        <w:spacing w:after="156" w:line="360" w:lineRule="auto"/>
        <w:ind w:firstLineChars="200" w:firstLine="480"/>
        <w:rPr>
          <w:rFonts w:hint="eastAsia"/>
          <w:sz w:val="24"/>
          <w:szCs w:val="24"/>
        </w:rPr>
      </w:pPr>
    </w:p>
    <w:p w14:paraId="45FF3E16" w14:textId="77777777" w:rsidR="00F96808" w:rsidRPr="0051446D" w:rsidRDefault="0051446D"/>
    <w:sectPr w:rsidR="00F96808" w:rsidRPr="0051446D" w:rsidSect="00A64B0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E5C099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none"/>
      <w:pStyle w:val="9"/>
      <w:suff w:val="nothing"/>
      <w:lvlText w:val=""/>
      <w:lvlJc w:val="left"/>
    </w:lvl>
  </w:abstractNum>
  <w:abstractNum w:abstractNumId="1">
    <w:nsid w:val="00000019"/>
    <w:multiLevelType w:val="multilevel"/>
    <w:tmpl w:val="00000019"/>
    <w:lvl w:ilvl="0">
      <w:start w:val="1"/>
      <w:numFmt w:val="bullet"/>
      <w:lvlText w:val=""/>
      <w:lvlJc w:val="left"/>
      <w:pPr>
        <w:tabs>
          <w:tab w:val="num" w:pos="845"/>
        </w:tabs>
        <w:ind w:left="845" w:hanging="420"/>
      </w:pPr>
      <w:rPr>
        <w:rFonts w:ascii="Wingdings" w:hAnsi="Wingdings" w:hint="default"/>
      </w:rPr>
    </w:lvl>
    <w:lvl w:ilvl="1">
      <w:start w:val="1"/>
      <w:numFmt w:val="bullet"/>
      <w:lvlText w:val=""/>
      <w:lvlJc w:val="left"/>
      <w:pPr>
        <w:tabs>
          <w:tab w:val="num" w:pos="845"/>
        </w:tabs>
        <w:ind w:left="845" w:hanging="420"/>
      </w:pPr>
      <w:rPr>
        <w:rFonts w:ascii="Wingdings" w:hAnsi="Wingdings" w:hint="default"/>
      </w:rPr>
    </w:lvl>
    <w:lvl w:ilvl="2">
      <w:start w:val="1"/>
      <w:numFmt w:val="bullet"/>
      <w:lvlText w:val=""/>
      <w:lvlJc w:val="left"/>
      <w:pPr>
        <w:tabs>
          <w:tab w:val="num" w:pos="1265"/>
        </w:tabs>
        <w:ind w:left="1265" w:hanging="420"/>
      </w:pPr>
      <w:rPr>
        <w:rFonts w:ascii="Wingdings" w:hAnsi="Wingdings" w:hint="default"/>
      </w:rPr>
    </w:lvl>
    <w:lvl w:ilvl="3">
      <w:start w:val="1"/>
      <w:numFmt w:val="bullet"/>
      <w:lvlText w:val=""/>
      <w:lvlJc w:val="left"/>
      <w:pPr>
        <w:tabs>
          <w:tab w:val="num" w:pos="1685"/>
        </w:tabs>
        <w:ind w:left="1685" w:hanging="420"/>
      </w:pPr>
      <w:rPr>
        <w:rFonts w:ascii="Wingdings" w:hAnsi="Wingdings" w:hint="default"/>
      </w:rPr>
    </w:lvl>
    <w:lvl w:ilvl="4">
      <w:start w:val="1"/>
      <w:numFmt w:val="bullet"/>
      <w:lvlText w:val=""/>
      <w:lvlJc w:val="left"/>
      <w:pPr>
        <w:tabs>
          <w:tab w:val="num" w:pos="2105"/>
        </w:tabs>
        <w:ind w:left="2105" w:hanging="420"/>
      </w:pPr>
      <w:rPr>
        <w:rFonts w:ascii="Wingdings" w:hAnsi="Wingdings" w:hint="default"/>
      </w:rPr>
    </w:lvl>
    <w:lvl w:ilvl="5">
      <w:start w:val="1"/>
      <w:numFmt w:val="bullet"/>
      <w:lvlText w:val=""/>
      <w:lvlJc w:val="left"/>
      <w:pPr>
        <w:tabs>
          <w:tab w:val="num" w:pos="2525"/>
        </w:tabs>
        <w:ind w:left="2525" w:hanging="420"/>
      </w:pPr>
      <w:rPr>
        <w:rFonts w:ascii="Wingdings" w:hAnsi="Wingdings" w:hint="default"/>
      </w:rPr>
    </w:lvl>
    <w:lvl w:ilvl="6">
      <w:start w:val="1"/>
      <w:numFmt w:val="bullet"/>
      <w:lvlText w:val=""/>
      <w:lvlJc w:val="left"/>
      <w:pPr>
        <w:tabs>
          <w:tab w:val="num" w:pos="2945"/>
        </w:tabs>
        <w:ind w:left="2945" w:hanging="420"/>
      </w:pPr>
      <w:rPr>
        <w:rFonts w:ascii="Wingdings" w:hAnsi="Wingdings" w:hint="default"/>
      </w:rPr>
    </w:lvl>
    <w:lvl w:ilvl="7">
      <w:start w:val="1"/>
      <w:numFmt w:val="bullet"/>
      <w:lvlText w:val=""/>
      <w:lvlJc w:val="left"/>
      <w:pPr>
        <w:tabs>
          <w:tab w:val="num" w:pos="3365"/>
        </w:tabs>
        <w:ind w:left="3365" w:hanging="420"/>
      </w:pPr>
      <w:rPr>
        <w:rFonts w:ascii="Wingdings" w:hAnsi="Wingdings" w:hint="default"/>
      </w:rPr>
    </w:lvl>
    <w:lvl w:ilvl="8">
      <w:start w:val="1"/>
      <w:numFmt w:val="bullet"/>
      <w:lvlText w:val=""/>
      <w:lvlJc w:val="left"/>
      <w:pPr>
        <w:tabs>
          <w:tab w:val="num" w:pos="3785"/>
        </w:tabs>
        <w:ind w:left="3785" w:hanging="420"/>
      </w:pPr>
      <w:rPr>
        <w:rFonts w:ascii="Wingdings" w:hAnsi="Wingdings" w:hint="default"/>
      </w:rPr>
    </w:lvl>
  </w:abstractNum>
  <w:abstractNum w:abstractNumId="2">
    <w:nsid w:val="0000002F"/>
    <w:multiLevelType w:val="multilevel"/>
    <w:tmpl w:val="0000002F"/>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
    <w:nsid w:val="0000003E"/>
    <w:multiLevelType w:val="multilevel"/>
    <w:tmpl w:val="0000003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none"/>
      <w:suff w:val="nothing"/>
      <w:lvlText w:val=""/>
      <w:lvlJc w:val="left"/>
    </w:lvl>
  </w:abstractNum>
  <w:abstractNum w:abstractNumId="4">
    <w:nsid w:val="00000040"/>
    <w:multiLevelType w:val="multilevel"/>
    <w:tmpl w:val="00000040"/>
    <w:lvl w:ilvl="0">
      <w:start w:val="1"/>
      <w:numFmt w:val="chineseCountingThousand"/>
      <w:lvlText w:val="%1、"/>
      <w:lvlJc w:val="left"/>
      <w:pPr>
        <w:tabs>
          <w:tab w:val="num" w:pos="-425"/>
        </w:tabs>
        <w:ind w:left="420" w:hanging="420"/>
      </w:pPr>
      <w:rPr>
        <w:rFonts w:hint="eastAsia"/>
      </w:rPr>
    </w:lvl>
    <w:lvl w:ilvl="1">
      <w:start w:val="1"/>
      <w:numFmt w:val="lowerLetter"/>
      <w:lvlText w:val="%2)"/>
      <w:lvlJc w:val="left"/>
      <w:pPr>
        <w:tabs>
          <w:tab w:val="num" w:pos="415"/>
        </w:tabs>
        <w:ind w:left="415" w:hanging="420"/>
      </w:pPr>
    </w:lvl>
    <w:lvl w:ilvl="2">
      <w:start w:val="1"/>
      <w:numFmt w:val="lowerRoman"/>
      <w:lvlText w:val="%3."/>
      <w:lvlJc w:val="right"/>
      <w:pPr>
        <w:tabs>
          <w:tab w:val="num" w:pos="835"/>
        </w:tabs>
        <w:ind w:left="835" w:hanging="420"/>
      </w:pPr>
    </w:lvl>
    <w:lvl w:ilvl="3">
      <w:start w:val="1"/>
      <w:numFmt w:val="decimal"/>
      <w:lvlText w:val="%4."/>
      <w:lvlJc w:val="left"/>
      <w:pPr>
        <w:tabs>
          <w:tab w:val="num" w:pos="1255"/>
        </w:tabs>
        <w:ind w:left="1255" w:hanging="420"/>
      </w:pPr>
    </w:lvl>
    <w:lvl w:ilvl="4">
      <w:start w:val="1"/>
      <w:numFmt w:val="lowerLetter"/>
      <w:lvlText w:val="%5)"/>
      <w:lvlJc w:val="left"/>
      <w:pPr>
        <w:tabs>
          <w:tab w:val="num" w:pos="1675"/>
        </w:tabs>
        <w:ind w:left="1675" w:hanging="420"/>
      </w:pPr>
    </w:lvl>
    <w:lvl w:ilvl="5">
      <w:start w:val="1"/>
      <w:numFmt w:val="lowerRoman"/>
      <w:lvlText w:val="%6."/>
      <w:lvlJc w:val="right"/>
      <w:pPr>
        <w:tabs>
          <w:tab w:val="num" w:pos="2095"/>
        </w:tabs>
        <w:ind w:left="2095" w:hanging="420"/>
      </w:pPr>
    </w:lvl>
    <w:lvl w:ilvl="6">
      <w:start w:val="1"/>
      <w:numFmt w:val="decimal"/>
      <w:lvlText w:val="%7."/>
      <w:lvlJc w:val="left"/>
      <w:pPr>
        <w:tabs>
          <w:tab w:val="num" w:pos="2515"/>
        </w:tabs>
        <w:ind w:left="2515" w:hanging="420"/>
      </w:pPr>
    </w:lvl>
    <w:lvl w:ilvl="7">
      <w:start w:val="1"/>
      <w:numFmt w:val="lowerLetter"/>
      <w:lvlText w:val="%8)"/>
      <w:lvlJc w:val="left"/>
      <w:pPr>
        <w:tabs>
          <w:tab w:val="num" w:pos="2935"/>
        </w:tabs>
        <w:ind w:left="2935" w:hanging="420"/>
      </w:pPr>
    </w:lvl>
    <w:lvl w:ilvl="8">
      <w:start w:val="1"/>
      <w:numFmt w:val="lowerRoman"/>
      <w:lvlText w:val="%9."/>
      <w:lvlJc w:val="right"/>
      <w:pPr>
        <w:tabs>
          <w:tab w:val="num" w:pos="3355"/>
        </w:tabs>
        <w:ind w:left="3355" w:hanging="420"/>
      </w:pPr>
    </w:lvl>
  </w:abstractNum>
  <w:abstractNum w:abstractNumId="5">
    <w:nsid w:val="1BCA555C"/>
    <w:multiLevelType w:val="multilevel"/>
    <w:tmpl w:val="1F067F6A"/>
    <w:lvl w:ilvl="0">
      <w:start w:val="1"/>
      <w:numFmt w:val="decimal"/>
      <w:lvlText w:val="%1"/>
      <w:lvlJc w:val="left"/>
      <w:pPr>
        <w:tabs>
          <w:tab w:val="num" w:pos="432"/>
        </w:tabs>
        <w:ind w:left="432" w:hanging="432"/>
      </w:pPr>
      <w:rPr>
        <w:rFonts w:hint="eastAsia"/>
        <w:b/>
        <w:i w:val="0"/>
      </w:rPr>
    </w:lvl>
    <w:lvl w:ilvl="1">
      <w:start w:val="1"/>
      <w:numFmt w:val="decimal"/>
      <w:lvlText w:val="%1.%2"/>
      <w:lvlJc w:val="left"/>
      <w:pPr>
        <w:tabs>
          <w:tab w:val="num" w:pos="576"/>
        </w:tabs>
        <w:ind w:left="576" w:hanging="576"/>
      </w:pPr>
      <w:rPr>
        <w:rFonts w:hint="eastAsia"/>
        <w:b/>
        <w:i w:val="0"/>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ascii="宋体" w:eastAsia="宋体" w:hAnsi="宋体" w:hint="eastAsia"/>
        <w:b/>
        <w:i w:val="0"/>
      </w:rPr>
    </w:lvl>
    <w:lvl w:ilvl="4">
      <w:start w:val="1"/>
      <w:numFmt w:val="decimal"/>
      <w:pStyle w:val="5"/>
      <w:lvlText w:val="%1.%2.%3.%4.%5"/>
      <w:lvlJc w:val="left"/>
      <w:pPr>
        <w:tabs>
          <w:tab w:val="num" w:pos="1008"/>
        </w:tabs>
        <w:ind w:left="1008" w:hanging="1008"/>
      </w:pPr>
      <w:rPr>
        <w:rFonts w:hint="eastAsia"/>
        <w:b/>
        <w:i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3A980F6F"/>
    <w:multiLevelType w:val="hybridMultilevel"/>
    <w:tmpl w:val="F66AF50E"/>
    <w:lvl w:ilvl="0" w:tplc="B52CC73C">
      <w:start w:val="1"/>
      <w:numFmt w:val="bullet"/>
      <w:pStyle w:val="TD-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4C759B0"/>
    <w:multiLevelType w:val="multilevel"/>
    <w:tmpl w:val="A00EBAB0"/>
    <w:lvl w:ilvl="0">
      <w:start w:val="1"/>
      <w:numFmt w:val="decimal"/>
      <w:pStyle w:val="1"/>
      <w:suff w:val="space"/>
      <w:lvlText w:val="第%1章"/>
      <w:lvlJc w:val="left"/>
      <w:pPr>
        <w:ind w:left="432" w:hanging="432"/>
      </w:pPr>
      <w:rPr>
        <w:rFonts w:ascii="Arial" w:eastAsia="宋体" w:hAnsi="Arial" w:hint="default"/>
        <w:b w:val="0"/>
        <w:i w:val="0"/>
        <w:spacing w:val="0"/>
        <w:sz w:val="36"/>
        <w:szCs w:val="36"/>
        <w:lang w:val="en-US"/>
      </w:rPr>
    </w:lvl>
    <w:lvl w:ilvl="1">
      <w:start w:val="1"/>
      <w:numFmt w:val="decimal"/>
      <w:pStyle w:val="2"/>
      <w:suff w:val="space"/>
      <w:lvlText w:val="%1.%2"/>
      <w:lvlJc w:val="left"/>
      <w:pPr>
        <w:ind w:left="567" w:hanging="567"/>
      </w:pPr>
      <w:rPr>
        <w:rFonts w:ascii="Arial" w:eastAsia="黑体" w:hAnsi="Arial" w:hint="default"/>
        <w:b/>
        <w:i w:val="0"/>
        <w:color w:val="auto"/>
        <w:sz w:val="32"/>
        <w:szCs w:val="32"/>
      </w:rPr>
    </w:lvl>
    <w:lvl w:ilvl="2">
      <w:start w:val="1"/>
      <w:numFmt w:val="decimal"/>
      <w:pStyle w:val="3"/>
      <w:suff w:val="space"/>
      <w:lvlText w:val="%1.%2.%3"/>
      <w:lvlJc w:val="left"/>
      <w:pPr>
        <w:ind w:left="927" w:hanging="567"/>
      </w:pPr>
      <w:rPr>
        <w:rFonts w:ascii="Arial" w:eastAsia="黑体" w:hAnsi="Arial" w:hint="default"/>
        <w:b w:val="0"/>
        <w:i w:val="0"/>
        <w:sz w:val="30"/>
        <w:szCs w:val="30"/>
      </w:rPr>
    </w:lvl>
    <w:lvl w:ilvl="3">
      <w:start w:val="1"/>
      <w:numFmt w:val="decimal"/>
      <w:pStyle w:val="4"/>
      <w:suff w:val="space"/>
      <w:lvlText w:val="%1.%2.%3.%4"/>
      <w:lvlJc w:val="left"/>
      <w:pPr>
        <w:ind w:left="567" w:hanging="567"/>
      </w:pPr>
      <w:rPr>
        <w:rFonts w:ascii="Arial" w:eastAsia="黑体" w:hAnsi="Arial" w:hint="default"/>
        <w:b w:val="0"/>
        <w:i w:val="0"/>
        <w:sz w:val="28"/>
        <w:szCs w:val="2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700F4A9A"/>
    <w:multiLevelType w:val="hybridMultilevel"/>
    <w:tmpl w:val="EAC42034"/>
    <w:lvl w:ilvl="0" w:tplc="0AEA16BE">
      <w:start w:val="1"/>
      <w:numFmt w:val="bullet"/>
      <w:lvlText w:val=""/>
      <w:lvlJc w:val="left"/>
      <w:pPr>
        <w:ind w:left="1080" w:hanging="360"/>
      </w:pPr>
      <w:rPr>
        <w:rFonts w:ascii="Wingdings" w:hAnsi="Wingdings" w:hint="default"/>
      </w:rPr>
    </w:lvl>
    <w:lvl w:ilvl="1" w:tplc="5712B17E">
      <w:start w:val="1"/>
      <w:numFmt w:val="bullet"/>
      <w:pStyle w:val="TD-2"/>
      <w:lvlText w:val="−"/>
      <w:lvlJc w:val="left"/>
      <w:pPr>
        <w:ind w:left="1800" w:hanging="360"/>
      </w:pPr>
      <w:rPr>
        <w:rFonts w:ascii="Times New Roman" w:hAnsi="Times New Roman" w:cs="Times New Roman" w:hint="default"/>
      </w:rPr>
    </w:lvl>
    <w:lvl w:ilvl="2" w:tplc="D5FA6870">
      <w:start w:val="1"/>
      <w:numFmt w:val="bullet"/>
      <w:pStyle w:val="TD-3"/>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7"/>
  </w:num>
  <w:num w:numId="3">
    <w:abstractNumId w:val="7"/>
  </w:num>
  <w:num w:numId="4">
    <w:abstractNumId w:val="7"/>
  </w:num>
  <w:num w:numId="5">
    <w:abstractNumId w:val="5"/>
  </w:num>
  <w:num w:numId="6">
    <w:abstractNumId w:val="6"/>
  </w:num>
  <w:num w:numId="7">
    <w:abstractNumId w:val="8"/>
  </w:num>
  <w:num w:numId="8">
    <w:abstractNumId w:val="8"/>
  </w:num>
  <w:num w:numId="9">
    <w:abstractNumId w:val="0"/>
  </w:num>
  <w:num w:numId="10">
    <w:abstractNumId w:val="3"/>
  </w:num>
  <w:num w:numId="11">
    <w:abstractNumId w:val="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46D"/>
    <w:rsid w:val="00057EE0"/>
    <w:rsid w:val="0051446D"/>
    <w:rsid w:val="00517471"/>
    <w:rsid w:val="00A64B0F"/>
    <w:rsid w:val="00ED2D6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03FFD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1446D"/>
    <w:pPr>
      <w:widowControl w:val="0"/>
      <w:jc w:val="both"/>
    </w:pPr>
    <w:rPr>
      <w:rFonts w:ascii="Times New Roman" w:eastAsia="宋体" w:hAnsi="Times New Roman" w:cs="Times New Roman"/>
      <w:sz w:val="21"/>
      <w:szCs w:val="21"/>
    </w:rPr>
  </w:style>
  <w:style w:type="paragraph" w:styleId="1">
    <w:name w:val="heading 1"/>
    <w:aliases w:val="TD-标题1,H1,H11,H12,H13,H14,H15,H16,H17,H18,H19,H110,H111,H112,H121,H131,H141,H151,H161,H171,H181,H191,H1101,H1111,H113,H122,H132,H142,H152,H162,H172,H182,H192,H1102,H1112,H1121,H1211,H1311,H1411,H1511,H1611,H1711,H1811,H1911,H11011,H11111,H114,H123,1"/>
    <w:basedOn w:val="a"/>
    <w:next w:val="a"/>
    <w:link w:val="10"/>
    <w:autoRedefine/>
    <w:qFormat/>
    <w:rsid w:val="00057EE0"/>
    <w:pPr>
      <w:keepNext/>
      <w:keepLines/>
      <w:pageBreakBefore/>
      <w:numPr>
        <w:numId w:val="4"/>
      </w:numPr>
      <w:spacing w:before="240" w:after="240"/>
      <w:jc w:val="left"/>
      <w:outlineLvl w:val="0"/>
    </w:pPr>
    <w:rPr>
      <w:rFonts w:ascii="宋体" w:hAnsi="宋体"/>
      <w:b/>
      <w:sz w:val="30"/>
      <w:szCs w:val="30"/>
    </w:rPr>
  </w:style>
  <w:style w:type="paragraph" w:styleId="2">
    <w:name w:val="heading 2"/>
    <w:aliases w:val="TD-标题2,Style Heading 2,H2,H21,H22,H23,H24,H25,H26,H27,H28,H29,H210,H211,H212,H221,H231,H241,H251,H261,H271,H281,H291,H2101,H2111,H213,H222,H232,H242,H252,H262,H272,H282,H292,H2102,H2112,H2121,H2211,H2311,H2411,H2511,H2611,H2711,H2811,H2911,2,H21011"/>
    <w:basedOn w:val="a"/>
    <w:next w:val="a"/>
    <w:link w:val="20"/>
    <w:autoRedefine/>
    <w:qFormat/>
    <w:rsid w:val="00057EE0"/>
    <w:pPr>
      <w:keepNext/>
      <w:keepLines/>
      <w:numPr>
        <w:ilvl w:val="1"/>
        <w:numId w:val="4"/>
      </w:numPr>
      <w:spacing w:before="480" w:after="120"/>
      <w:outlineLvl w:val="1"/>
    </w:pPr>
    <w:rPr>
      <w:rFonts w:ascii="Arial" w:hAnsi="Arial" w:cs="Arial"/>
      <w:b/>
      <w:bCs/>
      <w:szCs w:val="22"/>
    </w:rPr>
  </w:style>
  <w:style w:type="paragraph" w:styleId="3">
    <w:name w:val="heading 3"/>
    <w:aliases w:val="TD-标题3,Style Heading 3,H3,H31,H32,H33,H34,H35,H36,H37,H38,H39,H310,H311,H321,H331,H341,H351,H361,H371,H381,H391,H3101,H312,H322,H332,H342,H352,H362,H372,H382,H392,H3102,H3111,H3211,H3311,H3411,H3511,H3611,H3711,H3811,H3911,H31011,H313,H323,H333,H343"/>
    <w:basedOn w:val="a"/>
    <w:next w:val="a"/>
    <w:link w:val="30"/>
    <w:autoRedefine/>
    <w:qFormat/>
    <w:rsid w:val="00057EE0"/>
    <w:pPr>
      <w:keepNext/>
      <w:keepLines/>
      <w:numPr>
        <w:ilvl w:val="2"/>
        <w:numId w:val="4"/>
      </w:numPr>
      <w:spacing w:before="156" w:after="156" w:line="360" w:lineRule="auto"/>
      <w:outlineLvl w:val="2"/>
    </w:pPr>
    <w:rPr>
      <w:rFonts w:ascii="宋体" w:hAnsi="宋体" w:cs="Calibri"/>
      <w:b/>
      <w:szCs w:val="22"/>
    </w:rPr>
  </w:style>
  <w:style w:type="paragraph" w:styleId="4">
    <w:name w:val="heading 4"/>
    <w:aliases w:val="TD-标题4,Style Heading 4,H4,H41,H42,H43,H44,H45,H46,H47,H48,H49,H410,H411,H421,H431,H441,H451,H461,H471,H481,H491,H4101,H412,H422,H432,H442,H452,H462,H472,H482,H492,H4102,H4111,H4211,H4311,H4411,H4511,H4611,H4711,H4811,H4911,H41011,H413,H423,H433,H443"/>
    <w:basedOn w:val="a"/>
    <w:next w:val="a"/>
    <w:link w:val="40"/>
    <w:autoRedefine/>
    <w:qFormat/>
    <w:rsid w:val="00057EE0"/>
    <w:pPr>
      <w:keepNext/>
      <w:keepLines/>
      <w:numPr>
        <w:ilvl w:val="3"/>
        <w:numId w:val="4"/>
      </w:numPr>
      <w:spacing w:before="156" w:after="156" w:line="360" w:lineRule="auto"/>
      <w:outlineLvl w:val="3"/>
    </w:pPr>
    <w:rPr>
      <w:bCs/>
      <w:iCs/>
      <w:szCs w:val="28"/>
    </w:rPr>
  </w:style>
  <w:style w:type="paragraph" w:styleId="5">
    <w:name w:val="heading 5"/>
    <w:aliases w:val="TD-标题5,dash,ds,dd,h5,H5,ITT t5,PA Pico Section,5,H5-Heading 5,l5,heading5,PIM 5,heading 5,Level 3 - i,Roman list,Block Label,正文五级标题,dash1,ds1,dd1,dash2,ds2,dd2,dash3,ds3,dd3,dash4,ds4,dd4,dash5,ds5,dd5,dash6,ds6,dd6,dash7,ds7,dd7,dash8,ds8,dd8,dash9"/>
    <w:basedOn w:val="a"/>
    <w:next w:val="a"/>
    <w:link w:val="50"/>
    <w:autoRedefine/>
    <w:qFormat/>
    <w:rsid w:val="00057EE0"/>
    <w:pPr>
      <w:keepNext/>
      <w:keepLines/>
      <w:numPr>
        <w:ilvl w:val="4"/>
        <w:numId w:val="5"/>
      </w:numPr>
      <w:tabs>
        <w:tab w:val="clear" w:pos="1008"/>
        <w:tab w:val="num" w:pos="2410"/>
      </w:tabs>
      <w:spacing w:before="156" w:after="156" w:line="360" w:lineRule="auto"/>
      <w:outlineLvl w:val="4"/>
    </w:pPr>
    <w:rPr>
      <w:rFonts w:ascii="宋体" w:hAnsi="宋体"/>
      <w:bCs/>
      <w:i/>
      <w:szCs w:val="28"/>
    </w:rPr>
  </w:style>
  <w:style w:type="paragraph" w:styleId="6">
    <w:name w:val="heading 6"/>
    <w:aliases w:val="PIM 6,H6,BOD 4,Bullet (Single Lines),h6,1.1.1.1.1.1标题 6,PIM 61,H61,BOD 41,PIM 62,H62,BOD 42,PIM 63,H63,PIM 64,H64,PIM 65,H65,BOD 43,PIM 611,H611,BOD 411,PIM 621,H621,BOD 421,PIM 631,H631,PIM 641,H641,PIM 66,H66,BOD 44,PIM 612,H612,BOD 412,6,标号"/>
    <w:basedOn w:val="a"/>
    <w:next w:val="a"/>
    <w:link w:val="60"/>
    <w:qFormat/>
    <w:rsid w:val="0051446D"/>
    <w:pPr>
      <w:keepNext/>
      <w:keepLines/>
      <w:spacing w:before="240" w:after="64" w:line="320" w:lineRule="auto"/>
      <w:outlineLvl w:val="5"/>
    </w:pPr>
    <w:rPr>
      <w:rFonts w:ascii="Arial" w:eastAsia="黑体" w:hAnsi="Arial" w:cs="Arial"/>
      <w:b/>
      <w:bCs/>
      <w:sz w:val="24"/>
      <w:szCs w:val="24"/>
    </w:rPr>
  </w:style>
  <w:style w:type="paragraph" w:styleId="7">
    <w:name w:val="heading 7"/>
    <w:aliases w:val="PIM 7,1.标题 6,H7,不用,H TIMES1,1.1.1.1.1.1.1标题 7,PIM 71,H71,PIM 72,H72,PIM 73,PIM 74,PIM 75,H73,PIM 711,H711,PIM 721,H721,PIM 731,PIM 741,PIM 76,H74,PIM 712,H712,PIM 722,H722,PIM 732,PIM 742,PIM 77,H75,PIM 713,H713,PIM 723,H723,PIM 733,PIM 743,•H"/>
    <w:basedOn w:val="a"/>
    <w:next w:val="a"/>
    <w:link w:val="70"/>
    <w:qFormat/>
    <w:rsid w:val="0051446D"/>
    <w:pPr>
      <w:keepNext/>
      <w:keepLines/>
      <w:spacing w:before="240" w:after="64" w:line="320" w:lineRule="auto"/>
      <w:outlineLvl w:val="6"/>
    </w:pPr>
    <w:rPr>
      <w:b/>
      <w:bCs/>
      <w:sz w:val="24"/>
      <w:szCs w:val="24"/>
    </w:rPr>
  </w:style>
  <w:style w:type="paragraph" w:styleId="8">
    <w:name w:val="heading 8"/>
    <w:aliases w:val="H8,不用8,H81,H82,H83,H811,H821,H84,H812,H822,H85,H813,H823,注意框体,Legal Level 1.1.1.,Level 1.1.1,t,heading 8,resume,（A）,图名,Do Not Use2,h8,ctp,Caption text (page-wide),tt,Center Bold,ITT t8,PA Appendix Minor,Center Bold1,Center Bold2,Center Bold3,标"/>
    <w:basedOn w:val="a"/>
    <w:next w:val="a"/>
    <w:link w:val="80"/>
    <w:qFormat/>
    <w:rsid w:val="0051446D"/>
    <w:pPr>
      <w:keepNext/>
      <w:keepLines/>
      <w:spacing w:before="240" w:after="64" w:line="320" w:lineRule="auto"/>
      <w:outlineLvl w:val="7"/>
    </w:pPr>
    <w:rPr>
      <w:rFonts w:ascii="Arial" w:eastAsia="黑体" w:hAnsi="Arial" w:cs="Arial"/>
      <w:sz w:val="24"/>
      <w:szCs w:val="24"/>
    </w:rPr>
  </w:style>
  <w:style w:type="paragraph" w:styleId="9">
    <w:name w:val="heading 9"/>
    <w:aliases w:val="PIM 9,H9,不用9,PIM 91,H91,PIM 92,H92,PIM 93,PIM 94,PIM 95,H93,PIM 911,H911,PIM 921,H921,PIM 931,PIM 941,PIM 96,H94,PIM 912,H912,PIM 922,H922,PIM 932,PIM 942,PIM 97,H95,PIM 913,H913,PIM 923,H923,PIM 933,PIM 943,三级标题,Legal Level 1.1.1.1.,Level (a)"/>
    <w:basedOn w:val="a"/>
    <w:next w:val="a"/>
    <w:link w:val="90"/>
    <w:qFormat/>
    <w:rsid w:val="0051446D"/>
    <w:pPr>
      <w:keepNext/>
      <w:keepLines/>
      <w:spacing w:before="240" w:after="64" w:line="320" w:lineRule="auto"/>
      <w:outlineLvl w:val="8"/>
    </w:pPr>
    <w:rPr>
      <w:rFonts w:ascii="Arial" w:eastAsia="黑体"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TD-标题1字符,H1字符,H11字符,H12字符,H13字符,H14字符,H15字符,H16字符,H17字符,H18字符,H19字符,H110字符,H111字符,H112字符,H121字符,H131字符,H141字符,H151字符,H161字符,H171字符,H181字符,H191字符,H1101字符,H1111字符,H113字符,H122字符,H132字符,H142字符,H152字符,H162字符,H172字符,H182字符,H192字符,H1102字符,H1112字符,H114字符"/>
    <w:basedOn w:val="a0"/>
    <w:link w:val="1"/>
    <w:rsid w:val="00057EE0"/>
    <w:rPr>
      <w:rFonts w:ascii="宋体" w:eastAsia="宋体" w:hAnsi="宋体" w:cs="Times New Roman"/>
      <w:b/>
      <w:sz w:val="30"/>
      <w:szCs w:val="30"/>
    </w:rPr>
  </w:style>
  <w:style w:type="character" w:customStyle="1" w:styleId="20">
    <w:name w:val="标题 2字符"/>
    <w:aliases w:val="TD-标题2字符,Style Heading 2字符,H2字符,H21字符,H22字符,H23字符,H24字符,H25字符,H26字符,H27字符,H28字符,H29字符,H210字符,H211字符,H212字符,H221字符,H231字符,H241字符,H251字符,H261字符,H271字符,H281字符,H291字符,H2101字符,H2111字符,H213字符,H222字符,H232字符,H242字符,H252字符,H262字符,H272字符,H282字符,H292字符,2字符"/>
    <w:basedOn w:val="a0"/>
    <w:link w:val="2"/>
    <w:rsid w:val="00057EE0"/>
    <w:rPr>
      <w:rFonts w:ascii="Arial" w:hAnsi="Arial" w:cs="Arial"/>
      <w:b/>
      <w:bCs/>
      <w:sz w:val="21"/>
      <w:szCs w:val="22"/>
    </w:rPr>
  </w:style>
  <w:style w:type="character" w:customStyle="1" w:styleId="30">
    <w:name w:val="标题 3字符"/>
    <w:aliases w:val="TD-标题3字符,Style Heading 3字符,H3字符,H31字符,H32字符,H33字符,H34字符,H35字符,H36字符,H37字符,H38字符,H39字符,H310字符,H311字符,H321字符,H331字符,H341字符,H351字符,H361字符,H371字符,H381字符,H391字符,H3101字符,H312字符,H322字符,H332字符,H342字符,H352字符,H362字符,H372字符,H382字符,H392字符,H3102字符,H3111字符"/>
    <w:basedOn w:val="a0"/>
    <w:link w:val="3"/>
    <w:rsid w:val="00057EE0"/>
    <w:rPr>
      <w:rFonts w:ascii="宋体" w:eastAsia="宋体" w:hAnsi="宋体" w:cs="Calibri"/>
      <w:b/>
      <w:sz w:val="21"/>
      <w:szCs w:val="22"/>
    </w:rPr>
  </w:style>
  <w:style w:type="character" w:customStyle="1" w:styleId="40">
    <w:name w:val="标题 4字符"/>
    <w:aliases w:val="TD-标题4字符,Style Heading 4字符,H4字符,H41字符,H42字符,H43字符,H44字符,H45字符,H46字符,H47字符,H48字符,H49字符,H410字符,H411字符,H421字符,H431字符,H441字符,H451字符,H461字符,H471字符,H481字符,H491字符,H4101字符,H412字符,H422字符,H432字符,H442字符,H452字符,H462字符,H472字符,H482字符,H492字符,H4102字符,H4111字符"/>
    <w:basedOn w:val="a0"/>
    <w:link w:val="4"/>
    <w:rsid w:val="00057EE0"/>
    <w:rPr>
      <w:rFonts w:ascii="Times New Roman" w:hAnsi="Times New Roman" w:cs="Times New Roman"/>
      <w:bCs/>
      <w:iCs/>
      <w:sz w:val="21"/>
      <w:szCs w:val="28"/>
    </w:rPr>
  </w:style>
  <w:style w:type="character" w:customStyle="1" w:styleId="50">
    <w:name w:val="标题 5字符"/>
    <w:aliases w:val="TD-标题5字符"/>
    <w:link w:val="5"/>
    <w:rsid w:val="00057EE0"/>
    <w:rPr>
      <w:rFonts w:ascii="宋体" w:eastAsia="宋体" w:hAnsi="宋体" w:cs="Times New Roman"/>
      <w:bCs/>
      <w:i/>
      <w:sz w:val="21"/>
      <w:szCs w:val="28"/>
    </w:rPr>
  </w:style>
  <w:style w:type="paragraph" w:customStyle="1" w:styleId="TD-">
    <w:name w:val="TD-正文"/>
    <w:basedOn w:val="a"/>
    <w:link w:val="TD-Char"/>
    <w:qFormat/>
    <w:rsid w:val="00057EE0"/>
    <w:pPr>
      <w:widowControl/>
      <w:snapToGrid w:val="0"/>
      <w:spacing w:after="120" w:line="440" w:lineRule="atLeast"/>
      <w:ind w:firstLine="476"/>
    </w:pPr>
    <w:rPr>
      <w:szCs w:val="28"/>
    </w:rPr>
  </w:style>
  <w:style w:type="character" w:customStyle="1" w:styleId="TD-Char">
    <w:name w:val="TD-正文 Char"/>
    <w:basedOn w:val="a0"/>
    <w:link w:val="TD-"/>
    <w:rsid w:val="00057EE0"/>
    <w:rPr>
      <w:rFonts w:ascii="Times New Roman" w:eastAsia="宋体" w:hAnsi="Times New Roman" w:cs="Times New Roman"/>
      <w:sz w:val="21"/>
      <w:szCs w:val="28"/>
    </w:rPr>
  </w:style>
  <w:style w:type="paragraph" w:customStyle="1" w:styleId="TD-1">
    <w:name w:val="TD-项目符号1"/>
    <w:basedOn w:val="TD-"/>
    <w:link w:val="TD-1Char"/>
    <w:qFormat/>
    <w:rsid w:val="00057EE0"/>
    <w:pPr>
      <w:numPr>
        <w:numId w:val="6"/>
      </w:numPr>
    </w:pPr>
    <w:rPr>
      <w:b/>
    </w:rPr>
  </w:style>
  <w:style w:type="character" w:customStyle="1" w:styleId="TD-1Char">
    <w:name w:val="TD-项目符号1 Char"/>
    <w:basedOn w:val="TD-Char"/>
    <w:link w:val="TD-1"/>
    <w:rsid w:val="00057EE0"/>
    <w:rPr>
      <w:rFonts w:ascii="Times New Roman" w:eastAsia="宋体" w:hAnsi="Times New Roman" w:cs="Times New Roman"/>
      <w:b/>
      <w:sz w:val="21"/>
      <w:szCs w:val="28"/>
    </w:rPr>
  </w:style>
  <w:style w:type="paragraph" w:customStyle="1" w:styleId="TD-2">
    <w:name w:val="TD-项目符号2"/>
    <w:basedOn w:val="TD-1"/>
    <w:link w:val="TD-2Char"/>
    <w:qFormat/>
    <w:rsid w:val="00057EE0"/>
    <w:pPr>
      <w:numPr>
        <w:ilvl w:val="1"/>
        <w:numId w:val="8"/>
      </w:numPr>
    </w:pPr>
    <w:rPr>
      <w:b w:val="0"/>
    </w:rPr>
  </w:style>
  <w:style w:type="character" w:customStyle="1" w:styleId="TD-2Char">
    <w:name w:val="TD-项目符号2 Char"/>
    <w:basedOn w:val="TD-1Char"/>
    <w:link w:val="TD-2"/>
    <w:rsid w:val="00057EE0"/>
    <w:rPr>
      <w:rFonts w:ascii="Times New Roman" w:eastAsia="宋体" w:hAnsi="Times New Roman" w:cs="Times New Roman"/>
      <w:b w:val="0"/>
      <w:sz w:val="21"/>
      <w:szCs w:val="28"/>
    </w:rPr>
  </w:style>
  <w:style w:type="paragraph" w:customStyle="1" w:styleId="TD-3">
    <w:name w:val="TD-项目符号3"/>
    <w:basedOn w:val="TD-2"/>
    <w:link w:val="TD-3Char"/>
    <w:qFormat/>
    <w:rsid w:val="00057EE0"/>
    <w:pPr>
      <w:numPr>
        <w:ilvl w:val="2"/>
      </w:numPr>
    </w:pPr>
  </w:style>
  <w:style w:type="character" w:customStyle="1" w:styleId="TD-3Char">
    <w:name w:val="TD-项目符号3 Char"/>
    <w:basedOn w:val="TD-2Char"/>
    <w:link w:val="TD-3"/>
    <w:rsid w:val="00057EE0"/>
    <w:rPr>
      <w:rFonts w:ascii="Times New Roman" w:eastAsia="宋体" w:hAnsi="Times New Roman" w:cs="Times New Roman"/>
      <w:b w:val="0"/>
      <w:sz w:val="21"/>
      <w:szCs w:val="28"/>
    </w:rPr>
  </w:style>
  <w:style w:type="character" w:customStyle="1" w:styleId="60">
    <w:name w:val="标题 6字符"/>
    <w:basedOn w:val="a0"/>
    <w:link w:val="6"/>
    <w:rsid w:val="0051446D"/>
    <w:rPr>
      <w:rFonts w:ascii="Arial" w:eastAsia="黑体" w:hAnsi="Arial" w:cs="Arial"/>
      <w:b/>
      <w:bCs/>
    </w:rPr>
  </w:style>
  <w:style w:type="character" w:customStyle="1" w:styleId="70">
    <w:name w:val="标题 7字符"/>
    <w:basedOn w:val="a0"/>
    <w:link w:val="7"/>
    <w:rsid w:val="0051446D"/>
    <w:rPr>
      <w:rFonts w:ascii="Times New Roman" w:eastAsia="宋体" w:hAnsi="Times New Roman" w:cs="Times New Roman"/>
      <w:b/>
      <w:bCs/>
    </w:rPr>
  </w:style>
  <w:style w:type="character" w:customStyle="1" w:styleId="80">
    <w:name w:val="标题 8字符"/>
    <w:basedOn w:val="a0"/>
    <w:link w:val="8"/>
    <w:rsid w:val="0051446D"/>
    <w:rPr>
      <w:rFonts w:ascii="Arial" w:eastAsia="黑体" w:hAnsi="Arial" w:cs="Arial"/>
    </w:rPr>
  </w:style>
  <w:style w:type="character" w:customStyle="1" w:styleId="90">
    <w:name w:val="标题 9字符"/>
    <w:basedOn w:val="a0"/>
    <w:link w:val="9"/>
    <w:rsid w:val="0051446D"/>
    <w:rPr>
      <w:rFonts w:ascii="Arial" w:eastAsia="黑体" w:hAnsi="Arial"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660</Words>
  <Characters>3763</Characters>
  <Application>Microsoft Macintosh Word</Application>
  <DocSecurity>0</DocSecurity>
  <Lines>31</Lines>
  <Paragraphs>8</Paragraphs>
  <ScaleCrop>false</ScaleCrop>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2017-04-01T03:23:00Z</dcterms:created>
  <dcterms:modified xsi:type="dcterms:W3CDTF">2017-04-01T03:23:00Z</dcterms:modified>
</cp:coreProperties>
</file>