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sn-social-security-number"/>
    <w:p>
      <w:pPr>
        <w:pStyle w:val="2"/>
      </w:pPr>
      <w:r>
        <w:rPr>
          <w:b/>
          <w:bCs/>
        </w:rPr>
        <w:t xml:space="preserve">SSN (Social Security Number)</w:t>
      </w:r>
    </w:p>
    <w:bookmarkStart w:id="20" w:name="X6fb4a92f0fe8d0e3e522000004e40ff9ba4f998"/>
    <w:p>
      <w:pPr>
        <w:pStyle w:val="3"/>
      </w:pPr>
      <w:r>
        <w:rPr>
          <w:b/>
          <w:bCs/>
        </w:rPr>
        <w:t xml:space="preserve">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XXX-XX-XXXX</w:t>
      </w:r>
      <w:r>
        <w:t xml:space="preserve"> </w:t>
      </w:r>
      <w:r>
        <w:t xml:space="preserve">(3-digit area number - 2-digit group number - 4-digit serial number)</w:t>
      </w:r>
    </w:p>
    <w:bookmarkEnd w:id="20"/>
    <w:bookmarkStart w:id="21" w:name="generation-rules"/>
    <w:p>
      <w:pPr>
        <w:pStyle w:val="3"/>
      </w:pPr>
      <w:r>
        <w:rPr>
          <w:b/>
          <w:bCs/>
        </w:rPr>
        <w:t xml:space="preserve">Generation Rules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Valid SSN</w:t>
      </w:r>
      <w:r>
        <w:t xml:space="preserve">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Area Number (first 3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1-899</w:t>
      </w:r>
      <w:r>
        <w:t xml:space="preserve"> </w:t>
      </w:r>
      <w:r>
        <w:t xml:space="preserve">(excluding</w:t>
      </w:r>
      <w:r>
        <w:t xml:space="preserve"> </w:t>
      </w:r>
      <w:r>
        <w:rPr>
          <w:rStyle w:val="VerbatimChar"/>
        </w:rPr>
        <w:t xml:space="preserve">666</w:t>
      </w:r>
      <w:r>
        <w:t xml:space="preserve">).</w:t>
      </w:r>
    </w:p>
    <w:p>
      <w:pPr>
        <w:numPr>
          <w:ilvl w:val="2"/>
          <w:numId w:val="1003"/>
        </w:numPr>
      </w:pPr>
      <w:r>
        <w:t xml:space="preserve">If the generated area number is</w:t>
      </w:r>
      <w:r>
        <w:t xml:space="preserve"> </w:t>
      </w:r>
      <w:r>
        <w:rPr>
          <w:rStyle w:val="VerbatimChar"/>
        </w:rPr>
        <w:t xml:space="preserve">666</w:t>
      </w:r>
      <w:r>
        <w:t xml:space="preserve">, it is automatically incremented by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 become</w:t>
      </w:r>
      <w:r>
        <w:t xml:space="preserve"> </w:t>
      </w:r>
      <w:r>
        <w:rPr>
          <w:rStyle w:val="VerbatimChar"/>
        </w:rPr>
        <w:t xml:space="preserve">667</w:t>
      </w:r>
      <w:r>
        <w:t xml:space="preserve">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Group Number (middle 2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01-99</w:t>
      </w:r>
      <w:r>
        <w:t xml:space="preserve"> </w:t>
      </w:r>
      <w:r>
        <w:t xml:space="preserve">(cannot be</w:t>
      </w:r>
      <w:r>
        <w:t xml:space="preserve"> </w:t>
      </w:r>
      <w:r>
        <w:rPr>
          <w:rStyle w:val="VerbatimChar"/>
        </w:rPr>
        <w:t xml:space="preserve">00</w:t>
      </w:r>
      <w:r>
        <w:t xml:space="preserve">).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Serial Number (last 4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0001-9999</w:t>
      </w:r>
      <w:r>
        <w:t xml:space="preserve"> </w:t>
      </w:r>
      <w:r>
        <w:t xml:space="preserve">(cannot be</w:t>
      </w:r>
      <w:r>
        <w:t xml:space="preserve"> </w:t>
      </w:r>
      <w:r>
        <w:rPr>
          <w:rStyle w:val="VerbatimChar"/>
        </w:rPr>
        <w:t xml:space="preserve">0000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Invalid SSN</w:t>
      </w:r>
      <w:r>
        <w:t xml:space="preserve"> </w:t>
      </w:r>
      <w:r>
        <w:t xml:space="preserve">(must satisfy at least one of the following):</w:t>
      </w:r>
    </w:p>
    <w:p>
      <w:pPr>
        <w:numPr>
          <w:ilvl w:val="1"/>
          <w:numId w:val="1004"/>
        </w:numPr>
      </w:pPr>
      <w:r>
        <w:t xml:space="preserve">Area number starts with</w:t>
      </w:r>
      <w:r>
        <w:t xml:space="preserve"> </w:t>
      </w:r>
      <w:r>
        <w:rPr>
          <w:rStyle w:val="VerbatimChar"/>
        </w:rPr>
        <w:t xml:space="preserve">000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Area number is</w:t>
      </w:r>
      <w:r>
        <w:t xml:space="preserve"> </w:t>
      </w:r>
      <w:r>
        <w:rPr>
          <w:rStyle w:val="VerbatimChar"/>
        </w:rPr>
        <w:t xml:space="preserve">666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900-999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Group number is</w:t>
      </w:r>
      <w:r>
        <w:t xml:space="preserve"> </w:t>
      </w:r>
      <w:r>
        <w:rPr>
          <w:rStyle w:val="VerbatimChar"/>
        </w:rPr>
        <w:t xml:space="preserve">00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Serial number is</w:t>
      </w:r>
      <w:r>
        <w:t xml:space="preserve"> </w:t>
      </w:r>
      <w:r>
        <w:rPr>
          <w:rStyle w:val="VerbatimChar"/>
        </w:rPr>
        <w:t xml:space="preserve">0000</w:t>
      </w:r>
      <w:r>
        <w:t xml:space="preserve">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Additional Constraint</w:t>
      </w:r>
      <w:r>
        <w:t xml:space="preserve">: An invalid SSN must not be a valid ITIN (i.e., the area number cannot be</w:t>
      </w:r>
      <w:r>
        <w:t xml:space="preserve"> </w:t>
      </w:r>
      <w:r>
        <w:rPr>
          <w:rStyle w:val="VerbatimChar"/>
        </w:rPr>
        <w:t xml:space="preserve">900-999</w:t>
      </w:r>
      <w:r>
        <w:t xml:space="preserve">, and the group number cannot be within the valid range for ITINs).</w:t>
      </w:r>
    </w:p>
    <w:bookmarkEnd w:id="21"/>
    <w:bookmarkStart w:id="23" w:name="reference"/>
    <w:p>
      <w:pPr>
        <w:pStyle w:val="3"/>
      </w:pPr>
      <w:r>
        <w:t xml:space="preserve">Reference</w:t>
      </w:r>
      <w:r>
        <w:t xml:space="preserve"> </w:t>
      </w:r>
    </w:p>
    <w:p>
      <w:pPr>
        <w:pStyle w:val="FirstParagraph"/>
      </w:pPr>
      <w:r>
        <w:t xml:space="preserve"> </w:t>
      </w:r>
      <w:hyperlink r:id="rId22">
        <w:r>
          <w:rPr>
            <w:rStyle w:val="ae"/>
          </w:rPr>
          <w:t xml:space="preserve">https://www.ssa.gov/kc/SSAFactSheet--IssuingSSNs.pdf</w:t>
        </w:r>
      </w:hyperlink>
      <w:r>
        <w:t xml:space="preserve"> </w:t>
      </w:r>
    </w:p>
    <w:p>
      <w:pPr>
        <w:pStyle w:val="a0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Xa2d022d8a721484885764fb337c47853c9278b2"/>
    <w:p>
      <w:pPr>
        <w:pStyle w:val="2"/>
      </w:pPr>
      <w:r>
        <w:rPr>
          <w:b/>
          <w:bCs/>
        </w:rPr>
        <w:t xml:space="preserve">ITIN (Individual Taxpayer Identification Number)</w:t>
      </w:r>
    </w:p>
    <w:bookmarkStart w:id="25" w:name="format-9xx-xx-xxxx-must-start-with-9"/>
    <w:p>
      <w:pPr>
        <w:pStyle w:val="3"/>
      </w:pPr>
      <w:r>
        <w:rPr>
          <w:b/>
          <w:bCs/>
        </w:rPr>
        <w:t xml:space="preserve">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9XX-XX-XXXX</w:t>
      </w:r>
      <w:r>
        <w:t xml:space="preserve"> </w:t>
      </w:r>
      <w:r>
        <w:t xml:space="preserve">(must start with</w:t>
      </w:r>
      <w:r>
        <w:t xml:space="preserve"> </w:t>
      </w:r>
      <w:r>
        <w:rPr>
          <w:rStyle w:val="VerbatimChar"/>
        </w:rPr>
        <w:t xml:space="preserve">9</w:t>
      </w:r>
      <w:r>
        <w:t xml:space="preserve">)</w:t>
      </w:r>
    </w:p>
    <w:bookmarkEnd w:id="25"/>
    <w:bookmarkStart w:id="26" w:name="generation-rules-2"/>
    <w:p>
      <w:pPr>
        <w:pStyle w:val="3"/>
      </w:pPr>
      <w:r>
        <w:rPr>
          <w:b/>
          <w:bCs/>
        </w:rPr>
        <w:t xml:space="preserve">Generation Rules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Area Number (first 3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900-999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Group Number (middle 2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70-99</w:t>
      </w:r>
      <w:r>
        <w:t xml:space="preserve">, but excluding</w:t>
      </w:r>
      <w:r>
        <w:t xml:space="preserve"> </w:t>
      </w:r>
      <w:r>
        <w:rPr>
          <w:rStyle w:val="VerbatimChar"/>
        </w:rPr>
        <w:t xml:space="preserve">89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93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Serial Number (last 4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0000-9999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Special Range Expansion</w:t>
      </w:r>
      <w:r>
        <w:t xml:space="preserve">:</w:t>
      </w:r>
    </w:p>
    <w:p>
      <w:pPr>
        <w:numPr>
          <w:ilvl w:val="1"/>
          <w:numId w:val="1006"/>
        </w:numPr>
      </w:pPr>
      <w:r>
        <w:t xml:space="preserve">Allows</w:t>
      </w:r>
      <w:r>
        <w:t xml:space="preserve"> </w:t>
      </w:r>
      <w:r>
        <w:rPr>
          <w:rStyle w:val="VerbatimChar"/>
        </w:rPr>
        <w:t xml:space="preserve">900-70-0000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999-88-9999</w:t>
      </w:r>
      <w:r>
        <w:t xml:space="preserve">,</w:t>
      </w:r>
      <w:r>
        <w:t xml:space="preserve"> </w:t>
      </w:r>
      <w:r>
        <w:rPr>
          <w:rStyle w:val="VerbatimChar"/>
        </w:rPr>
        <w:t xml:space="preserve">900-90-0000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999-92-9999</w:t>
      </w:r>
      <w:r>
        <w:t xml:space="preserve">,</w:t>
      </w:r>
      <w:r>
        <w:t xml:space="preserve"> </w:t>
      </w:r>
      <w:r>
        <w:rPr>
          <w:rStyle w:val="VerbatimChar"/>
        </w:rPr>
        <w:t xml:space="preserve">900-94-0000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999-99-9999</w:t>
      </w:r>
      <w:r>
        <w:t xml:space="preserve">.</w:t>
      </w:r>
    </w:p>
    <w:bookmarkEnd w:id="26"/>
    <w:bookmarkStart w:id="28" w:name="reference-2"/>
    <w:p>
      <w:pPr>
        <w:pStyle w:val="3"/>
      </w:pPr>
      <w:r>
        <w:t xml:space="preserve">Reference</w:t>
      </w:r>
    </w:p>
    <w:p>
      <w:pPr>
        <w:pStyle w:val="FirstParagraph"/>
      </w:pPr>
      <w:r>
        <w:t xml:space="preserve"> </w:t>
      </w:r>
      <w:hyperlink r:id="rId27">
        <w:r>
          <w:rPr>
            <w:rStyle w:val="ae"/>
          </w:rPr>
          <w:t xml:space="preserve">https://www.irs.gov/individuals/international-taxpayers/general-itin-information</w:t>
        </w:r>
      </w:hyperlink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ein-employer-identification-number"/>
    <w:p>
      <w:pPr>
        <w:pStyle w:val="2"/>
      </w:pPr>
      <w:r>
        <w:rPr>
          <w:b/>
          <w:bCs/>
        </w:rPr>
        <w:t xml:space="preserve">EIN (Employer Identification Number)</w:t>
      </w:r>
    </w:p>
    <w:bookmarkStart w:id="30" w:name="Xf51375f225d6cf2b8d31669503f4f1e76bc2c29"/>
    <w:p>
      <w:pPr>
        <w:pStyle w:val="3"/>
      </w:pPr>
      <w:r>
        <w:rPr>
          <w:b/>
          <w:bCs/>
        </w:rPr>
        <w:t xml:space="preserve">Format</w:t>
      </w:r>
      <w:r>
        <w:t xml:space="preserve">:</w:t>
      </w:r>
      <w:r>
        <w:t xml:space="preserve"> </w:t>
      </w:r>
      <w:r>
        <w:rPr>
          <w:rStyle w:val="VerbatimChar"/>
        </w:rPr>
        <w:t xml:space="preserve">XX-XXXXXXX</w:t>
      </w:r>
      <w:r>
        <w:t xml:space="preserve"> </w:t>
      </w:r>
      <w:r>
        <w:t xml:space="preserve">(2-digit prefix - 7-digit serial number)</w:t>
      </w:r>
    </w:p>
    <w:bookmarkEnd w:id="30"/>
    <w:bookmarkStart w:id="31" w:name="generation-rules-3"/>
    <w:p>
      <w:pPr>
        <w:pStyle w:val="3"/>
      </w:pPr>
      <w:r>
        <w:rPr>
          <w:b/>
          <w:bCs/>
        </w:rPr>
        <w:t xml:space="preserve">Generation Rules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Prefix (first 2 digits)</w:t>
      </w:r>
      <w:r>
        <w:t xml:space="preserve">: Must be one of the following specific values: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01, 02, 03, 04, 05, 06, 10, 11, 12, 13, 14, 15, 16,</w:t>
      </w:r>
      <w:r>
        <w:br/>
      </w:r>
      <w:r>
        <w:rPr>
          <w:rStyle w:val="VerbatimChar"/>
        </w:rPr>
        <w:t xml:space="preserve">20, 21, 22, 23, 24, 25, 26, 27, 30, 31, 32, 33, 34,</w:t>
      </w:r>
      <w:r>
        <w:br/>
      </w:r>
      <w:r>
        <w:rPr>
          <w:rStyle w:val="VerbatimChar"/>
        </w:rPr>
        <w:t xml:space="preserve">35, 36, 37, 38, 39, 40, 41, 42, 43, 44, 45, 46, 47,</w:t>
      </w:r>
      <w:r>
        <w:br/>
      </w:r>
      <w:r>
        <w:rPr>
          <w:rStyle w:val="VerbatimChar"/>
        </w:rPr>
        <w:t xml:space="preserve">48, 50, 51, 52, 53, 54, 55, 56, 57, 58, 59, 60, 61,</w:t>
      </w:r>
      <w:r>
        <w:br/>
      </w:r>
      <w:r>
        <w:rPr>
          <w:rStyle w:val="VerbatimChar"/>
        </w:rPr>
        <w:t xml:space="preserve">62, 63, 64, 65, 66, 67, 68, 71, 72, 73, 74, 75, 76,</w:t>
      </w:r>
      <w:r>
        <w:br/>
      </w:r>
      <w:r>
        <w:rPr>
          <w:rStyle w:val="VerbatimChar"/>
        </w:rPr>
        <w:t xml:space="preserve">77, 80, 81, 82, 83, 84, 85, 86, 87, 88, 90, 91, 92,</w:t>
      </w:r>
      <w:r>
        <w:br/>
      </w:r>
      <w:r>
        <w:rPr>
          <w:rStyle w:val="VerbatimChar"/>
        </w:rPr>
        <w:t xml:space="preserve">93, 94, 95, 98, 99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Serial Number (last 7 digits)</w:t>
      </w:r>
      <w:r>
        <w:t xml:space="preserve">:</w:t>
      </w:r>
      <w:r>
        <w:t xml:space="preserve"> </w:t>
      </w:r>
      <w:r>
        <w:rPr>
          <w:rStyle w:val="VerbatimChar"/>
        </w:rPr>
        <w:t xml:space="preserve">0000000-9999999</w:t>
      </w:r>
      <w:r>
        <w:t xml:space="preserve">.</w:t>
      </w:r>
    </w:p>
    <w:bookmarkEnd w:id="31"/>
    <w:bookmarkStart w:id="33" w:name="reference-3"/>
    <w:p>
      <w:pPr>
        <w:pStyle w:val="3"/>
      </w:pPr>
      <w:r>
        <w:t xml:space="preserve">Reference</w:t>
      </w:r>
    </w:p>
    <w:p>
      <w:pPr>
        <w:pStyle w:val="FirstParagraph"/>
      </w:pPr>
      <w:r>
        <w:t xml:space="preserve"> </w:t>
      </w:r>
      <w:r>
        <w:t xml:space="preserve"> </w:t>
      </w:r>
      <w:hyperlink r:id="rId32">
        <w:r>
          <w:rPr>
            <w:rStyle w:val="ae"/>
          </w:rPr>
          <w:t xml:space="preserve">https://www.irs.gov/businesses/small-businesses-self-employed/employer-id-numbers</w:t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key-differences-summary"/>
    <w:p>
      <w:pPr>
        <w:pStyle w:val="2"/>
      </w:pPr>
      <w:r>
        <w:rPr>
          <w:b/>
          <w:bCs/>
        </w:rPr>
        <w:t xml:space="preserve">Key Differences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Prefix Rule</w:t>
            </w:r>
          </w:p>
        </w:tc>
        <w:tc>
          <w:tcPr/>
          <w:p>
            <w:pPr>
              <w:pStyle w:val="Compact"/>
            </w:pPr>
            <w:r>
              <w:t xml:space="preserve">Special Restrictions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SSN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XXX-XX-XXXX</w:t>
            </w:r>
          </w:p>
        </w:tc>
        <w:tc>
          <w:tcPr/>
          <w:p>
            <w:pPr>
              <w:pStyle w:val="Compact"/>
            </w:pPr>
            <w:r>
              <w:t xml:space="preserve">Area number</w:t>
            </w:r>
            <w:r>
              <w:t xml:space="preserve"> </w:t>
            </w:r>
            <w:r>
              <w:rPr>
                <w:rStyle w:val="VerbatimChar"/>
              </w:rPr>
              <w:t xml:space="preserve">1-899</w:t>
            </w:r>
            <w:r>
              <w:t xml:space="preserve"> </w:t>
            </w:r>
            <w:r>
              <w:t xml:space="preserve">(not</w:t>
            </w:r>
            <w:r>
              <w:t xml:space="preserve"> </w:t>
            </w:r>
            <w:r>
              <w:rPr>
                <w:rStyle w:val="VerbatimChar"/>
              </w:rPr>
              <w:t xml:space="preserve">666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Group number not</w:t>
            </w:r>
            <w:r>
              <w:t xml:space="preserve"> </w:t>
            </w:r>
            <w:r>
              <w:rPr>
                <w:rStyle w:val="VerbatimChar"/>
              </w:rPr>
              <w:t xml:space="preserve">00</w:t>
            </w:r>
            <w:r>
              <w:t xml:space="preserve">, serial not</w:t>
            </w:r>
            <w:r>
              <w:t xml:space="preserve"> </w:t>
            </w:r>
            <w:r>
              <w:rPr>
                <w:rStyle w:val="VerbatimChar"/>
              </w:rPr>
              <w:t xml:space="preserve">0000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ITIN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9XX-XX-XXXX</w:t>
            </w:r>
          </w:p>
        </w:tc>
        <w:tc>
          <w:tcPr/>
          <w:p>
            <w:pPr>
              <w:pStyle w:val="Compact"/>
            </w:pPr>
            <w:r>
              <w:t xml:space="preserve">Area number</w:t>
            </w:r>
            <w:r>
              <w:t xml:space="preserve"> </w:t>
            </w:r>
            <w:r>
              <w:rPr>
                <w:rStyle w:val="VerbatimChar"/>
              </w:rPr>
              <w:t xml:space="preserve">900-999</w:t>
            </w:r>
          </w:p>
        </w:tc>
        <w:tc>
          <w:tcPr/>
          <w:p>
            <w:pPr>
              <w:pStyle w:val="Compact"/>
            </w:pPr>
            <w:r>
              <w:t xml:space="preserve">Group number</w:t>
            </w:r>
            <w:r>
              <w:t xml:space="preserve"> </w:t>
            </w:r>
            <w:r>
              <w:rPr>
                <w:rStyle w:val="VerbatimChar"/>
              </w:rPr>
              <w:t xml:space="preserve">70-99</w:t>
            </w:r>
            <w:r>
              <w:t xml:space="preserve"> </w:t>
            </w:r>
            <w:r>
              <w:t xml:space="preserve">(excluding</w:t>
            </w:r>
            <w:r>
              <w:t xml:space="preserve"> </w:t>
            </w:r>
            <w:r>
              <w:rPr>
                <w:rStyle w:val="VerbatimChar"/>
              </w:rPr>
              <w:t xml:space="preserve">89</w:t>
            </w:r>
            <w:r>
              <w:t xml:space="preserve">,</w:t>
            </w:r>
            <w:r>
              <w:rPr>
                <w:rStyle w:val="VerbatimChar"/>
              </w:rPr>
              <w:t xml:space="preserve">93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EIN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XX-XXXXXXX</w:t>
            </w:r>
          </w:p>
        </w:tc>
        <w:tc>
          <w:tcPr/>
          <w:p>
            <w:pPr>
              <w:pStyle w:val="Compact"/>
            </w:pPr>
            <w:r>
              <w:t xml:space="preserve">Prefix is from a predefined list</w:t>
            </w:r>
          </w:p>
        </w:tc>
        <w:tc>
          <w:tcPr/>
          <w:p>
            <w:pPr>
              <w:pStyle w:val="Compact"/>
            </w:pPr>
            <w:r>
              <w:t xml:space="preserve">No additional restrictions (prefix is fixed)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sectPr w:rsidR="00756227" w:rsidRPr="0075622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7472B0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05EEB5E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hanging="480" w:left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lowerRoman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14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firstLine="0" w:left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firstLine="0" w:left="0"/>
      </w:pPr>
      <w:rPr>
        <w:rFonts w:hint="eastAsia"/>
      </w:rPr>
    </w:lvl>
  </w:abstractNum>
  <w:abstractNum w15:restartNumberingAfterBreak="0" w:abstractNumId="15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hanging="480" w:left="72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5"/>
  </w:num>
  <w:num w:numId="17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DDE"/>
    <w:rsid w:val="00057430"/>
    <w:rsid w:val="00083A05"/>
    <w:rsid w:val="00090279"/>
    <w:rsid w:val="000915A7"/>
    <w:rsid w:val="001912E9"/>
    <w:rsid w:val="00227FCA"/>
    <w:rsid w:val="00365D4F"/>
    <w:rsid w:val="003A401E"/>
    <w:rsid w:val="003C33F8"/>
    <w:rsid w:val="003D1DDE"/>
    <w:rsid w:val="00446E08"/>
    <w:rsid w:val="004C1B52"/>
    <w:rsid w:val="00553978"/>
    <w:rsid w:val="0056461B"/>
    <w:rsid w:val="005B4EFC"/>
    <w:rsid w:val="005E0D36"/>
    <w:rsid w:val="005F7817"/>
    <w:rsid w:val="0067144A"/>
    <w:rsid w:val="00697CE1"/>
    <w:rsid w:val="006F367C"/>
    <w:rsid w:val="00756227"/>
    <w:rsid w:val="007F612A"/>
    <w:rsid w:val="008803E1"/>
    <w:rsid w:val="00885E58"/>
    <w:rsid w:val="008E0E2E"/>
    <w:rsid w:val="008F24D2"/>
    <w:rsid w:val="0095500F"/>
    <w:rsid w:val="00960F71"/>
    <w:rsid w:val="009F49BA"/>
    <w:rsid w:val="00B65C77"/>
    <w:rsid w:val="00B966D1"/>
    <w:rsid w:val="00B967C9"/>
    <w:rsid w:val="00BD6163"/>
    <w:rsid w:val="00C24453"/>
    <w:rsid w:val="00C40A8F"/>
    <w:rsid w:val="00D72DD5"/>
    <w:rsid w:val="00E07D1D"/>
    <w:rsid w:val="00E7492F"/>
    <w:rsid w:val="00F909F9"/>
    <w:rsid w:val="00F96E7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56227"/>
    <w:rPr>
      <w:rFonts w:ascii="Times New Roman" w:hAnsi="Times New Roman"/>
    </w:rPr>
  </w:style>
  <w:style w:styleId="1" w:type="paragraph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after="0" w:before="480" w:line="360" w:lineRule="auto"/>
      <w:outlineLvl w:val="0"/>
    </w:pPr>
    <w:rPr>
      <w:rFonts w:ascii="Times New Roman" w:cstheme="majorBidi" w:eastAsia="黑体" w:hAnsi="Times New Roman"/>
      <w:b/>
      <w:bCs/>
      <w:sz w:val="36"/>
      <w:szCs w:val="32"/>
    </w:rPr>
  </w:style>
  <w:style w:styleId="2" w:type="paragraph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after="0" w:before="200"/>
      <w:outlineLvl w:val="1"/>
    </w:pPr>
    <w:rPr>
      <w:rFonts w:ascii="Times New Roman" w:cstheme="majorBidi" w:eastAsia="黑体" w:hAnsi="Times New Roman"/>
      <w:b/>
      <w:bCs/>
      <w:sz w:val="30"/>
      <w:szCs w:val="28"/>
    </w:rPr>
  </w:style>
  <w:style w:styleId="3" w:type="paragraph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after="0" w:before="100" w:beforeLines="100" w:line="360" w:lineRule="auto"/>
      <w:outlineLvl w:val="2"/>
    </w:pPr>
    <w:rPr>
      <w:rFonts w:ascii="Times New Roman" w:cstheme="majorBidi" w:eastAsia="黑体" w:hAnsi="Times New Roman"/>
      <w:b/>
      <w:bCs/>
    </w:rPr>
  </w:style>
  <w:style w:styleId="4" w:type="paragraph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after="0" w:before="200" w:line="360" w:lineRule="auto"/>
      <w:outlineLvl w:val="3"/>
    </w:pPr>
    <w:rPr>
      <w:rFonts w:cstheme="majorBidi" w:eastAsia="黑体"/>
      <w:bCs/>
      <w:iCs/>
      <w:lang w:eastAsia="zh-CN"/>
    </w:rPr>
  </w:style>
  <w:style w:styleId="5" w:type="paragraph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after="0" w:before="200" w:line="360" w:lineRule="auto"/>
      <w:outlineLvl w:val="4"/>
    </w:pPr>
    <w:rPr>
      <w:rFonts w:cstheme="majorBidi" w:eastAsia="黑体"/>
      <w:bCs/>
      <w:iCs/>
      <w:lang w:eastAsia="zh-CN"/>
    </w:rPr>
  </w:style>
  <w:style w:styleId="6" w:type="paragraph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after="0" w:before="200" w:line="360" w:lineRule="auto"/>
      <w:outlineLvl w:val="5"/>
    </w:pPr>
    <w:rPr>
      <w:rFonts w:cstheme="majorBidi" w:eastAsia="黑体"/>
      <w:bCs/>
      <w:lang w:eastAsia="zh-CN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8803E1"/>
  </w:style>
  <w:style w:customStyle="1" w:styleId="Compact" w:type="paragraph">
    <w:name w:val="Compact"/>
    <w:basedOn w:val="a0"/>
    <w:qFormat/>
    <w:rsid w:val="009F49BA"/>
    <w:pPr>
      <w:spacing w:after="36" w:before="36"/>
    </w:pPr>
  </w:style>
  <w:style w:styleId="a5" w:type="paragraph">
    <w:name w:val="Title"/>
    <w:basedOn w:val="a"/>
    <w:next w:val="a0"/>
    <w:qFormat/>
    <w:rsid w:val="00227FCA"/>
    <w:pPr>
      <w:keepNext/>
      <w:keepLines/>
      <w:spacing w:after="240" w:before="480"/>
      <w:jc w:val="center"/>
    </w:pPr>
    <w:rPr>
      <w:rFonts w:cstheme="majorBidi" w:eastAsia="黑体"/>
      <w:b/>
      <w:bCs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057430"/>
    <w:pPr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hd w:color="auto" w:fill="D9D9D9" w:themeFill="background1" w:themeFillShade="D9" w:val="clear"/>
      <w:spacing w:after="100" w:before="100"/>
      <w:ind w:left="57" w:right="482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shd w:color="auto" w:fill="auto" w:val="clear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color="auto" w:space="0" w:sz="0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next w:val="FirstParagraph"/>
    <w:link w:val="ac"/>
    <w:autoRedefine/>
    <w:rsid w:val="00090279"/>
    <w:pPr>
      <w:spacing w:after="120"/>
      <w:ind w:left="240" w:leftChars="100" w:right="100" w:rightChars="100"/>
      <w:jc w:val="center"/>
    </w:pPr>
    <w:rPr>
      <w:rFonts w:ascii="Times New Roman" w:hAnsi="Times New Roman"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  <w:rsid w:val="007F612A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090279"/>
    <w:rPr>
      <w:rFonts w:ascii="Times New Roman" w:hAnsi="Times New Roman"/>
    </w:rPr>
  </w:style>
  <w:style w:customStyle="1" w:styleId="VerbatimChar" w:type="character">
    <w:name w:val="Verbatim Char"/>
    <w:basedOn w:val="ac"/>
    <w:link w:val="SourceCode"/>
    <w:rsid w:val="00365D4F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customStyle="1" w:styleId="SectionNumber" w:type="character">
    <w:name w:val="Section Number"/>
    <w:basedOn w:val="ac"/>
    <w:rPr>
      <w:rFonts w:ascii="Times New Roman" w:hAnsi="Times New Roman"/>
    </w:rPr>
  </w:style>
  <w:style w:styleId="ad" w:type="character">
    <w:name w:val="footnote reference"/>
    <w:basedOn w:val="ac"/>
    <w:rPr>
      <w:rFonts w:ascii="Times New Roman" w:hAnsi="Times New Roman"/>
      <w:vertAlign w:val="superscript"/>
    </w:rPr>
  </w:style>
  <w:style w:styleId="ae" w:type="character">
    <w:name w:val="Hyperlink"/>
    <w:basedOn w:val="ac"/>
    <w:uiPriority w:val="99"/>
    <w:rsid w:val="00D72DD5"/>
    <w:rPr>
      <w:rFonts w:ascii="Times New Roman" w:hAnsi="Times New Roman"/>
      <w:color w:themeColor="accent1" w:val="4F81BD"/>
      <w:u w:val="none"/>
    </w:rPr>
  </w:style>
  <w:style w:styleId="TOC" w:type="paragraph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customStyle="1" w:styleId="SourceCode" w:type="paragraph">
    <w:name w:val="Source Code"/>
    <w:basedOn w:val="a"/>
    <w:link w:val="VerbatimChar"/>
    <w:autoRedefine/>
    <w:qFormat/>
    <w:rsid w:val="00365D4F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Fira Code" w:cs="Times New Roman (正文 CS 字体)" w:eastAsia="宋体" w:hAnsi="Fira Code"/>
      <w:color w:val="005CC5"/>
      <w:sz w:val="21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Fira Code" w:cs="Times New Roman (正文 CS 字体)" w:eastAsia="宋体" w:hAnsi="Fira Code"/>
      <w:color w:val="032F62"/>
      <w:sz w:val="21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Fira Code" w:cs="Times New Roman (正文 CS 字体)" w:eastAsia="宋体" w:hAnsi="Fira Code"/>
      <w:color w:val="6F42C1"/>
      <w:sz w:val="21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Fira Code" w:cs="Times New Roman (正文 CS 字体)" w:eastAsia="宋体" w:hAnsi="Fira Code"/>
      <w:color w:val="6F42C1"/>
      <w:sz w:val="21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Fira Code" w:cs="Times New Roman (正文 CS 字体)" w:eastAsia="宋体" w:hAnsi="Fira Code"/>
      <w:color w:val="E36209"/>
      <w:sz w:val="21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Fira Code" w:cs="Times New Roman (正文 CS 字体)" w:eastAsia="宋体" w:hAnsi="Fira Code"/>
      <w:color w:val="24292E"/>
      <w:sz w:val="21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Fira Code" w:cs="Times New Roman (正文 CS 字体)" w:eastAsia="宋体" w:hAnsi="Fira Code"/>
      <w:b/>
      <w:color w:val="D73A49"/>
      <w:sz w:val="21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Fira Code" w:cs="Times New Roman (正文 CS 字体)" w:eastAsia="宋体" w:hAnsi="Fira Code"/>
      <w:color w:val="D73A49"/>
      <w:sz w:val="21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Fira Code" w:cs="Times New Roman (正文 CS 字体)" w:eastAsia="宋体" w:hAnsi="Fira Code"/>
      <w:color w:val="6A737D"/>
      <w:sz w:val="21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Fira Code" w:cs="Times New Roman (正文 CS 字体)" w:eastAsia="宋体" w:hAnsi="Fira Code"/>
      <w:color w:val="FF5555"/>
      <w:sz w:val="21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Fira Code" w:cs="Times New Roman (正文 CS 字体)" w:eastAsia="宋体" w:hAnsi="Fira Code"/>
      <w:b/>
      <w:color w:val="FF5555"/>
      <w:sz w:val="21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Fira Code" w:cs="Times New Roman (正文 CS 字体)" w:eastAsia="宋体" w:hAnsi="Fira Code"/>
      <w:color w:val="FF5555"/>
      <w:sz w:val="21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Fira Code" w:cs="Times New Roman (正文 CS 字体)" w:eastAsia="宋体" w:hAnsi="Fira Code"/>
      <w:color w:val="24292E"/>
      <w:sz w:val="21"/>
      <w:shd w:color="auto" w:fill="auto" w:val="pct5"/>
      <w:lang w:eastAsia="zh-CN"/>
    </w:rPr>
  </w:style>
  <w:style w:styleId="TOC1" w:type="paragraph">
    <w:name w:val="toc 1"/>
    <w:basedOn w:val="a"/>
    <w:next w:val="a"/>
    <w:autoRedefine/>
    <w:uiPriority w:val="39"/>
    <w:unhideWhenUsed/>
    <w:rsid w:val="0056461B"/>
    <w:rPr>
      <w:b/>
    </w:rPr>
  </w:style>
  <w:style w:styleId="TOC2" w:type="paragraph">
    <w:name w:val="toc 2"/>
    <w:basedOn w:val="a"/>
    <w:next w:val="a"/>
    <w:autoRedefine/>
    <w:uiPriority w:val="39"/>
    <w:unhideWhenUsed/>
    <w:rsid w:val="00365D4F"/>
    <w:pPr>
      <w:ind w:left="420" w:leftChars="200"/>
    </w:pPr>
  </w:style>
  <w:style w:styleId="TOC3" w:type="paragraph">
    <w:name w:val="toc 3"/>
    <w:basedOn w:val="a"/>
    <w:next w:val="a"/>
    <w:autoRedefine/>
    <w:uiPriority w:val="39"/>
    <w:unhideWhenUsed/>
    <w:rsid w:val="00365D4F"/>
    <w:pPr>
      <w:ind w:left="840" w:leftChars="400"/>
    </w:pPr>
  </w:style>
  <w:style w:styleId="af" w:type="paragraph">
    <w:name w:val="header"/>
    <w:basedOn w:val="a"/>
    <w:link w:val="af0"/>
    <w:unhideWhenUsed/>
    <w:rsid w:val="00365D4F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65D4F"/>
    <w:rPr>
      <w:sz w:val="18"/>
      <w:szCs w:val="18"/>
    </w:rPr>
  </w:style>
  <w:style w:styleId="af1" w:type="paragraph">
    <w:name w:val="footer"/>
    <w:basedOn w:val="a"/>
    <w:link w:val="af2"/>
    <w:unhideWhenUsed/>
    <w:rsid w:val="00365D4F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65D4F"/>
    <w:rPr>
      <w:sz w:val="18"/>
      <w:szCs w:val="18"/>
    </w:rPr>
  </w:style>
  <w:style w:customStyle="1" w:styleId="af3" w:type="table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color="auto" w:space="0" w:sz="12" w:val="single"/>
        <w:bottom w:color="auto" w:space="0" w:sz="12" w:val="single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color="auto" w:space="0" w:sz="4" w:val="single"/>
        </w:tcBorders>
        <w:vAlign w:val="center"/>
      </w:tcPr>
    </w:tblStylePr>
  </w:style>
  <w:style w:customStyle="1" w:styleId="a4" w:type="character">
    <w:name w:val="正文文本 字符"/>
    <w:basedOn w:val="a1"/>
    <w:link w:val="a0"/>
    <w:rsid w:val="00365D4F"/>
  </w:style>
  <w:style w:styleId="af4" w:type="table">
    <w:name w:val="Table Grid"/>
    <w:basedOn w:val="a2"/>
    <w:rsid w:val="00B966D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www.irs.gov/businesses/small-businesses-self-employed/employer-id-numbers" TargetMode="External" /><Relationship Type="http://schemas.openxmlformats.org/officeDocument/2006/relationships/hyperlink" Id="rId27" Target="https://www.irs.gov/individuals/international-taxpayers/general-itin-information" TargetMode="External" /><Relationship Type="http://schemas.openxmlformats.org/officeDocument/2006/relationships/hyperlink" Id="rId22" Target="https://www.ssa.gov/kc/SSAFactSheet--IssuingSSN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irs.gov/businesses/small-businesses-self-employed/employer-id-numbers" TargetMode="External" /><Relationship Type="http://schemas.openxmlformats.org/officeDocument/2006/relationships/hyperlink" Id="rId27" Target="https://www.irs.gov/individuals/international-taxpayers/general-itin-information" TargetMode="External" /><Relationship Type="http://schemas.openxmlformats.org/officeDocument/2006/relationships/hyperlink" Id="rId22" Target="https://www.ssa.gov/kc/SSAFactSheet--IssuingSSN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2025-05-14T14:04:42Z</dcterms:created>
  <dcterms:modified xsi:type="dcterms:W3CDTF">2025-05-14T14:04:42Z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