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36"/>
          <w:szCs w:val="36"/>
        </w:rPr>
      </w:pPr>
      <w:r>
        <w:rPr>
          <w:rFonts w:ascii="Times New Roman" w:hAnsi="Times New Roman" w:cs="Times New Roman"/>
          <w:b/>
          <w:bCs/>
          <w:sz w:val="36"/>
          <w:szCs w:val="36"/>
        </w:rPr>
        <w:t xml:space="preserve">Comparison of Three Next Generation Sequencers on Their Basecall Error Rates and Bias Patterns </w:t>
      </w:r>
    </w:p>
    <w:p>
      <w:pPr>
        <w:jc w:val="center"/>
        <w:rPr>
          <w:rFonts w:ascii="Times New Roman" w:hAnsi="Times New Roman" w:cs="Times New Roman"/>
          <w:bCs/>
          <w:sz w:val="24"/>
          <w:szCs w:val="24"/>
        </w:rPr>
      </w:pPr>
    </w:p>
    <w:p>
      <w:pPr>
        <w:rPr>
          <w:rFonts w:ascii="Times New Roman" w:hAnsi="Times New Roman" w:cs="Times New Roman"/>
          <w:sz w:val="24"/>
          <w:szCs w:val="24"/>
        </w:rPr>
      </w:pPr>
      <w:r>
        <w:rPr>
          <w:rStyle w:val="14"/>
          <w:rFonts w:ascii="Times New Roman" w:hAnsi="Times New Roman" w:cs="Times New Roman"/>
          <w:sz w:val="24"/>
          <w:szCs w:val="24"/>
        </w:rPr>
        <w:t>Tianran Yao</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Huihua Xia</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Yongyi Lu</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xml:space="preserve">, </w:t>
      </w:r>
      <w:r>
        <w:rPr>
          <w:rStyle w:val="14"/>
          <w:rFonts w:hint="eastAsia" w:ascii="Times New Roman" w:hAnsi="Times New Roman" w:cs="Times New Roman"/>
          <w:sz w:val="24"/>
          <w:szCs w:val="24"/>
        </w:rPr>
        <w:t>Wei Chen</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w:t>
      </w:r>
      <w:r>
        <w:rPr>
          <w:rStyle w:val="14"/>
          <w:rFonts w:hint="eastAsia" w:ascii="Times New Roman" w:hAnsi="Times New Roman" w:cs="Times New Roman"/>
          <w:sz w:val="24"/>
          <w:szCs w:val="24"/>
        </w:rPr>
        <w:t xml:space="preserve"> </w:t>
      </w:r>
      <w:r>
        <w:rPr>
          <w:rStyle w:val="14"/>
          <w:rFonts w:ascii="Times New Roman" w:hAnsi="Times New Roman" w:cs="Times New Roman"/>
          <w:sz w:val="24"/>
          <w:szCs w:val="24"/>
        </w:rPr>
        <w:t>Guoli Fu</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Gailing Li</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Qingbin Chen</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Yuanye Bao</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Luyang Zhao</w:t>
      </w:r>
      <w:r>
        <w:rPr>
          <w:rStyle w:val="14"/>
          <w:rFonts w:ascii="Times New Roman" w:hAnsi="Times New Roman" w:cs="Times New Roman"/>
          <w:sz w:val="24"/>
          <w:szCs w:val="24"/>
          <w:vertAlign w:val="superscript"/>
        </w:rPr>
        <w:t>1</w:t>
      </w:r>
      <w:r>
        <w:rPr>
          <w:rStyle w:val="14"/>
          <w:rFonts w:ascii="Times New Roman" w:hAnsi="Times New Roman" w:cs="Times New Roman"/>
          <w:sz w:val="24"/>
          <w:szCs w:val="24"/>
        </w:rPr>
        <w:t>, Erkai Liu</w:t>
      </w:r>
      <w:r>
        <w:rPr>
          <w:rStyle w:val="14"/>
          <w:rFonts w:ascii="Times New Roman" w:hAnsi="Times New Roman" w:cs="Times New Roman"/>
          <w:sz w:val="24"/>
          <w:szCs w:val="24"/>
          <w:vertAlign w:val="superscript"/>
        </w:rPr>
        <w:t>1</w:t>
      </w:r>
      <w:r>
        <w:rPr>
          <w:rStyle w:val="14"/>
          <w:rFonts w:hint="eastAsia" w:ascii="Times New Roman" w:hAnsi="Times New Roman" w:cs="Times New Roman"/>
          <w:sz w:val="24"/>
          <w:szCs w:val="24"/>
          <w:vertAlign w:val="superscript"/>
        </w:rPr>
        <w:t>,</w:t>
      </w:r>
      <w:r>
        <w:rPr>
          <w:rStyle w:val="14"/>
          <w:rFonts w:ascii="Times New Roman" w:hAnsi="Times New Roman" w:cs="Times New Roman"/>
          <w:sz w:val="24"/>
          <w:szCs w:val="24"/>
        </w:rPr>
        <w:t>*</w:t>
      </w:r>
      <w:bookmarkStart w:id="34" w:name="_GoBack"/>
      <w:bookmarkEnd w:id="34"/>
      <w:r>
        <w:rPr>
          <w:rStyle w:val="14"/>
          <w:rFonts w:ascii="Times New Roman" w:hAnsi="Times New Roman" w:cs="Times New Roman"/>
          <w:sz w:val="24"/>
          <w:szCs w:val="24"/>
        </w:rPr>
        <w:t>, and Gufeng Wang</w:t>
      </w:r>
      <w:r>
        <w:rPr>
          <w:rStyle w:val="14"/>
          <w:rFonts w:ascii="Times New Roman" w:hAnsi="Times New Roman" w:cs="Times New Roman"/>
          <w:sz w:val="24"/>
          <w:szCs w:val="24"/>
          <w:vertAlign w:val="superscript"/>
        </w:rPr>
        <w:t>1</w:t>
      </w:r>
      <w:r>
        <w:rPr>
          <w:rStyle w:val="14"/>
          <w:rFonts w:hint="eastAsia" w:ascii="Times New Roman" w:hAnsi="Times New Roman" w:cs="Times New Roman"/>
          <w:sz w:val="24"/>
          <w:szCs w:val="24"/>
          <w:vertAlign w:val="superscript"/>
        </w:rPr>
        <w:t>,</w:t>
      </w:r>
      <w:r>
        <w:rPr>
          <w:rStyle w:val="14"/>
          <w:rFonts w:ascii="Times New Roman" w:hAnsi="Times New Roman" w:cs="Times New Roman"/>
          <w:sz w:val="24"/>
          <w:szCs w:val="24"/>
        </w:rPr>
        <w:t>*</w:t>
      </w:r>
    </w:p>
    <w:p>
      <w:pPr>
        <w:pStyle w:val="12"/>
        <w:spacing w:after="0" w:line="240" w:lineRule="auto"/>
        <w:jc w:val="left"/>
        <w:rPr>
          <w:rFonts w:ascii="Times New Roman" w:hAnsi="Times New Roman"/>
          <w:szCs w:val="24"/>
        </w:rPr>
      </w:pPr>
    </w:p>
    <w:p>
      <w:pPr>
        <w:pStyle w:val="12"/>
        <w:spacing w:after="0" w:line="240" w:lineRule="auto"/>
        <w:jc w:val="left"/>
        <w:rPr>
          <w:rFonts w:ascii="Times New Roman" w:hAnsi="Times New Roman"/>
          <w:szCs w:val="24"/>
        </w:rPr>
      </w:pPr>
      <w:r>
        <w:rPr>
          <w:rFonts w:ascii="Times New Roman" w:hAnsi="Times New Roman"/>
          <w:szCs w:val="24"/>
        </w:rPr>
        <w:t>1.</w:t>
      </w:r>
      <w:r>
        <w:rPr>
          <w:rFonts w:ascii="Times New Roman" w:hAnsi="Times New Roman"/>
          <w:szCs w:val="24"/>
          <w:vertAlign w:val="superscript"/>
        </w:rPr>
        <w:t xml:space="preserve"> </w:t>
      </w:r>
      <w:r>
        <w:rPr>
          <w:rFonts w:ascii="Times New Roman" w:hAnsi="Times New Roman" w:eastAsiaTheme="minorEastAsia"/>
          <w:szCs w:val="24"/>
          <w:lang w:eastAsia="zh-CN"/>
        </w:rPr>
        <w:t>Shenzhen Salus BioMed Inc. Ltd., Shenzhen</w:t>
      </w:r>
      <w:r>
        <w:rPr>
          <w:rFonts w:ascii="Times New Roman" w:hAnsi="Times New Roman"/>
          <w:szCs w:val="24"/>
        </w:rPr>
        <w:t xml:space="preserve">, </w:t>
      </w:r>
      <w:r>
        <w:rPr>
          <w:rFonts w:ascii="Times New Roman" w:hAnsi="Times New Roman" w:eastAsiaTheme="minorEastAsia"/>
          <w:szCs w:val="24"/>
          <w:lang w:eastAsia="zh-CN"/>
        </w:rPr>
        <w:t xml:space="preserve">Guangdong, China, </w:t>
      </w:r>
    </w:p>
    <w:p>
      <w:pPr>
        <w:pStyle w:val="2"/>
        <w:spacing w:beforeAutospacing="0" w:afterAutospacing="0"/>
        <w:rPr>
          <w:rFonts w:hint="default" w:ascii="Times New Roman" w:hAnsi="Times New Roman"/>
          <w:sz w:val="24"/>
          <w:szCs w:val="24"/>
        </w:rPr>
      </w:pP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Abstract</w:t>
      </w:r>
    </w:p>
    <w:p>
      <w:pPr>
        <w:ind w:firstLine="420"/>
        <w:jc w:val="both"/>
        <w:rPr>
          <w:rFonts w:ascii="Times New Roman" w:hAnsi="Times New Roman" w:cs="Times New Roman"/>
          <w:sz w:val="24"/>
          <w:szCs w:val="24"/>
        </w:rPr>
      </w:pPr>
      <w:r>
        <w:rPr>
          <w:rFonts w:ascii="Times New Roman" w:hAnsi="Times New Roman" w:cs="Times New Roman"/>
          <w:sz w:val="24"/>
          <w:szCs w:val="24"/>
        </w:rPr>
        <w:t>We compared basecall error rates and error bias patterns for three high-throughput next generation sequencers: NovaSeq 6000, DNBSeq-T7 and Salus E</w:t>
      </w:r>
      <w:r>
        <w:rPr>
          <w:rFonts w:hint="eastAsia" w:ascii="Times New Roman" w:hAnsi="Times New Roman" w:cs="Times New Roman"/>
          <w:sz w:val="24"/>
          <w:szCs w:val="24"/>
        </w:rPr>
        <w:t>VO</w:t>
      </w:r>
      <w:r>
        <w:rPr>
          <w:rFonts w:ascii="Times New Roman" w:hAnsi="Times New Roman" w:cs="Times New Roman"/>
          <w:sz w:val="24"/>
          <w:szCs w:val="24"/>
        </w:rPr>
        <w:t xml:space="preserve">. Their overall error rates fall in the 0.05~0.1% range: </w:t>
      </w:r>
      <w:r>
        <w:rPr>
          <w:rFonts w:hint="eastAsia" w:ascii="Times New Roman" w:hAnsi="Times New Roman" w:cs="Times New Roman"/>
          <w:sz w:val="24"/>
          <w:szCs w:val="24"/>
        </w:rPr>
        <w:t>EVO</w:t>
      </w:r>
      <w:r>
        <w:rPr>
          <w:rFonts w:ascii="Times New Roman" w:hAnsi="Times New Roman" w:cs="Times New Roman"/>
          <w:sz w:val="24"/>
          <w:szCs w:val="24"/>
        </w:rPr>
        <w:t xml:space="preserve"> (0.065%), T7 (0.068%) and NovaSeq (0.091%). All instruments show a declined accuracy for reported Phred Q values over sequencing cycles, with </w:t>
      </w:r>
      <w:r>
        <w:rPr>
          <w:rFonts w:hint="eastAsia" w:ascii="Times New Roman" w:hAnsi="Times New Roman" w:cs="Times New Roman"/>
          <w:sz w:val="24"/>
          <w:szCs w:val="24"/>
        </w:rPr>
        <w:t>EVO</w:t>
      </w:r>
      <w:r>
        <w:rPr>
          <w:rFonts w:ascii="Times New Roman" w:hAnsi="Times New Roman" w:cs="Times New Roman"/>
          <w:sz w:val="24"/>
          <w:szCs w:val="24"/>
        </w:rPr>
        <w:t xml:space="preserve"> giving the highest stability. Despite of their similar overall error rates, the three instruments show large difference in their performance on variant calls. Using a threshold of mutation frequency of 0.5%, NovaSeq</w:t>
      </w:r>
      <w:r>
        <w:rPr>
          <w:rFonts w:hint="eastAsia" w:ascii="Times New Roman" w:hAnsi="Times New Roman" w:cs="Times New Roman"/>
          <w:sz w:val="24"/>
          <w:szCs w:val="24"/>
        </w:rPr>
        <w:t xml:space="preserve"> called 1782 </w:t>
      </w:r>
      <w:r>
        <w:rPr>
          <w:rFonts w:ascii="Times New Roman" w:hAnsi="Times New Roman" w:cs="Times New Roman"/>
          <w:sz w:val="24"/>
          <w:szCs w:val="24"/>
        </w:rPr>
        <w:t>false positive variant</w:t>
      </w:r>
      <w:r>
        <w:rPr>
          <w:rFonts w:hint="eastAsia" w:ascii="Times New Roman" w:hAnsi="Times New Roman" w:cs="Times New Roman"/>
          <w:sz w:val="24"/>
          <w:szCs w:val="24"/>
        </w:rPr>
        <w:t>s out of 100,000 sites where as T7 and EVO called 210 and 104, respectively. B</w:t>
      </w:r>
      <w:r>
        <w:rPr>
          <w:rFonts w:ascii="Times New Roman" w:hAnsi="Times New Roman" w:cs="Times New Roman"/>
          <w:sz w:val="24"/>
          <w:szCs w:val="24"/>
        </w:rPr>
        <w:t xml:space="preserve">asecall error rate distributions discloses that there are significant non-random errors in </w:t>
      </w:r>
      <w:r>
        <w:rPr>
          <w:rFonts w:hint="eastAsia" w:ascii="Times New Roman" w:hAnsi="Times New Roman" w:cs="Times New Roman"/>
          <w:sz w:val="24"/>
          <w:szCs w:val="24"/>
        </w:rPr>
        <w:t xml:space="preserve">the </w:t>
      </w:r>
      <w:r>
        <w:rPr>
          <w:rFonts w:ascii="Times New Roman" w:hAnsi="Times New Roman" w:cs="Times New Roman"/>
          <w:sz w:val="24"/>
          <w:szCs w:val="24"/>
        </w:rPr>
        <w:t>basecall</w:t>
      </w:r>
      <w:r>
        <w:rPr>
          <w:rFonts w:hint="eastAsia" w:ascii="Times New Roman" w:hAnsi="Times New Roman" w:cs="Times New Roman"/>
          <w:sz w:val="24"/>
          <w:szCs w:val="24"/>
        </w:rPr>
        <w:t>s</w:t>
      </w:r>
      <w:r>
        <w:rPr>
          <w:rFonts w:ascii="Times New Roman" w:hAnsi="Times New Roman" w:cs="Times New Roman"/>
          <w:sz w:val="24"/>
          <w:szCs w:val="24"/>
        </w:rPr>
        <w:t xml:space="preserve">, which are the major cause for false positive variant calls. Further analysis shows that different sequencers have different error bias patterns including those sequence context-dependent and -independent. The instrument design and the polymerase used in the sequencing-by-synthesis approach determine the basecall accuracy of a sequencer. </w:t>
      </w:r>
    </w:p>
    <w:p>
      <w:pPr>
        <w:rPr>
          <w:rFonts w:ascii="Times New Roman" w:hAnsi="Times New Roman" w:eastAsia="宋体" w:cs="Times New Roman"/>
          <w:sz w:val="24"/>
          <w:szCs w:val="24"/>
        </w:rPr>
      </w:pPr>
    </w:p>
    <w:p>
      <w:pPr>
        <w:rPr>
          <w:rFonts w:ascii="Times New Roman" w:hAnsi="Times New Roman" w:eastAsia="宋体" w:cs="Times New Roman"/>
          <w:b/>
          <w:bCs/>
          <w:caps/>
          <w:sz w:val="24"/>
          <w:szCs w:val="24"/>
        </w:rPr>
      </w:pPr>
      <w:r>
        <w:rPr>
          <w:rFonts w:ascii="Times New Roman" w:hAnsi="Times New Roman" w:eastAsia="宋体" w:cs="Times New Roman"/>
          <w:b/>
          <w:bCs/>
          <w:caps/>
          <w:sz w:val="24"/>
          <w:szCs w:val="24"/>
        </w:rPr>
        <w:t>Graphical abstract</w:t>
      </w:r>
    </w:p>
    <w:p>
      <w:pPr>
        <w:jc w:val="center"/>
        <w:rPr>
          <w:rFonts w:ascii="Times New Roman" w:hAnsi="Times New Roman" w:eastAsia="宋体" w:cs="Times New Roman"/>
          <w:sz w:val="24"/>
          <w:szCs w:val="24"/>
        </w:rPr>
      </w:pPr>
      <w:r>
        <w:drawing>
          <wp:inline distT="0" distB="0" distL="0" distR="0">
            <wp:extent cx="2465070" cy="2071370"/>
            <wp:effectExtent l="0" t="0" r="3810"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tretch>
                      <a:fillRect/>
                    </a:stretch>
                  </pic:blipFill>
                  <pic:spPr>
                    <a:xfrm>
                      <a:off x="0" y="0"/>
                      <a:ext cx="2465070" cy="2071370"/>
                    </a:xfrm>
                    <a:prstGeom prst="rect">
                      <a:avLst/>
                    </a:prstGeom>
                    <a:noFill/>
                  </pic:spPr>
                </pic:pic>
              </a:graphicData>
            </a:graphic>
          </wp:inline>
        </w:drawing>
      </w:r>
    </w:p>
    <w:p>
      <w:pPr>
        <w:jc w:val="center"/>
        <w:rPr>
          <w:rFonts w:ascii="Times New Roman" w:hAnsi="Times New Roman" w:eastAsia="宋体" w:cs="Times New Roman"/>
          <w:sz w:val="24"/>
          <w:szCs w:val="24"/>
        </w:rPr>
      </w:pPr>
    </w:p>
    <w:p>
      <w:pPr>
        <w:ind w:left="640" w:hanging="640"/>
        <w:jc w:val="center"/>
        <w:rPr>
          <w:rFonts w:hint="eastAsia"/>
          <w:sz w:val="24"/>
          <w:szCs w:val="24"/>
        </w:rPr>
      </w:pPr>
      <w:r>
        <w:rPr>
          <w:rFonts w:ascii="Times New Roman" w:hAnsi="Times New Roman" w:cs="Times New Roman"/>
          <w:sz w:val="24"/>
          <w:szCs w:val="24"/>
        </w:rPr>
        <w:t>Error rate distributions for three high-throughput sequencers.</w:t>
      </w:r>
    </w:p>
    <w:p>
      <w:pPr>
        <w:rPr>
          <w:rFonts w:ascii="Times New Roman" w:hAnsi="Times New Roman" w:eastAsia="宋体" w:cs="Times New Roman"/>
          <w:sz w:val="24"/>
          <w:szCs w:val="24"/>
        </w:rPr>
      </w:pPr>
    </w:p>
    <w:p>
      <w:pPr>
        <w:rPr>
          <w:rFonts w:ascii="Times New Roman" w:hAnsi="Times New Roman" w:eastAsia="宋体" w:cs="Times New Roman"/>
          <w:b/>
          <w:bCs/>
          <w:caps/>
          <w:sz w:val="24"/>
          <w:szCs w:val="24"/>
        </w:rPr>
      </w:pPr>
      <w:r>
        <w:rPr>
          <w:rFonts w:ascii="Times New Roman" w:hAnsi="Times New Roman" w:eastAsia="宋体" w:cs="Times New Roman"/>
          <w:b/>
          <w:bCs/>
          <w:sz w:val="24"/>
          <w:szCs w:val="24"/>
        </w:rPr>
        <w:t>keywords</w:t>
      </w:r>
      <w:r>
        <w:rPr>
          <w:rFonts w:ascii="Times New Roman" w:hAnsi="Times New Roman" w:eastAsia="宋体" w:cs="Times New Roman"/>
          <w:sz w:val="24"/>
          <w:szCs w:val="24"/>
        </w:rPr>
        <w:t xml:space="preserve">: Next generation sequencing, basecall, variant call, false positive, Salus </w:t>
      </w:r>
      <w:r>
        <w:rPr>
          <w:rFonts w:hint="eastAsia" w:ascii="Times New Roman" w:hAnsi="Times New Roman" w:eastAsia="宋体" w:cs="Times New Roman"/>
          <w:sz w:val="24"/>
          <w:szCs w:val="24"/>
        </w:rPr>
        <w:t>EVO</w:t>
      </w:r>
      <w:r>
        <w:rPr>
          <w:rFonts w:ascii="Times New Roman" w:hAnsi="Times New Roman" w:eastAsia="宋体" w:cs="Times New Roman"/>
          <w:sz w:val="24"/>
          <w:szCs w:val="24"/>
        </w:rPr>
        <w:t xml:space="preserve">, DNBSeq-T7, NovaSeq 6000 </w:t>
      </w:r>
      <w:r>
        <w:br w:type="page"/>
      </w: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Introduction</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Next generation sequencing, also known as massively parallel sequencing, has become an indispensable tool in both clinical diagnosis and basic research. Its applications include but not limited to tumor early-stage screening, individual medicine, and prognosis inference by minimal residual disease (MRD), etc. Many of these applications are based on solid germline and/or somatic variant calls, which </w:t>
      </w:r>
      <w:r>
        <w:rPr>
          <w:rFonts w:hint="eastAsia" w:ascii="Times New Roman" w:hAnsi="Times New Roman" w:cs="Times New Roman"/>
          <w:sz w:val="24"/>
          <w:szCs w:val="24"/>
        </w:rPr>
        <w:t xml:space="preserve">largely </w:t>
      </w:r>
      <w:r>
        <w:rPr>
          <w:rFonts w:ascii="Times New Roman" w:hAnsi="Times New Roman" w:cs="Times New Roman"/>
          <w:sz w:val="24"/>
          <w:szCs w:val="24"/>
        </w:rPr>
        <w:t>rely on basecall accuracy of DNA sequencers. However, there are much artifacts and background errors for basecall</w:t>
      </w:r>
      <w:r>
        <w:rPr>
          <w:rFonts w:hint="eastAsia" w:ascii="Times New Roman" w:hAnsi="Times New Roman" w:cs="Times New Roman"/>
          <w:sz w:val="24"/>
          <w:szCs w:val="24"/>
        </w:rPr>
        <w:t>s</w:t>
      </w:r>
      <w:r>
        <w:rPr>
          <w:rFonts w:ascii="Times New Roman" w:hAnsi="Times New Roman" w:cs="Times New Roman"/>
          <w:sz w:val="24"/>
          <w:szCs w:val="24"/>
        </w:rPr>
        <w:t xml:space="preserve"> coming from each step of the broadly defined “sequencing” including sample preparation, nucleotide extraction, library preparation, and the specifically defined “sequencing” step, i.e., obtaining oligo sequences on a DNA sequencer </w:t>
      </w:r>
      <w:r>
        <w:fldChar w:fldCharType="begin"/>
      </w:r>
      <w:r>
        <w:rPr>
          <w:rFonts w:ascii="Times New Roman" w:hAnsi="Times New Roman" w:cs="Times New Roman"/>
          <w:sz w:val="24"/>
          <w:szCs w:val="24"/>
        </w:rPr>
        <w:instrText xml:space="preserve">ADDIN EN.CITE</w:instrText>
      </w:r>
      <w:r>
        <w:fldChar w:fldCharType="begin"/>
      </w:r>
      <w:r>
        <w:rPr>
          <w:rFonts w:ascii="Times New Roman" w:hAnsi="Times New Roman" w:cs="Times New Roman"/>
          <w:sz w:val="24"/>
          <w:szCs w:val="24"/>
        </w:rPr>
        <w:instrText xml:space="preserve">ADDIN EN.CITE.DATA</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xml:space="preserve">). (To avoid confusion, we refer “sequencing” to the specifically defined sequencing step in this manuscript). The fundamental for a DNA sequencer is its ability to obtain accurate oligo sequences, i.e. sequencing accuracy or basecall accuracy.  </w:t>
      </w:r>
    </w:p>
    <w:p>
      <w:pPr>
        <w:ind w:firstLine="420"/>
        <w:jc w:val="both"/>
        <w:rPr>
          <w:rFonts w:ascii="Times New Roman" w:hAnsi="Times New Roman" w:cs="Times New Roman"/>
          <w:sz w:val="24"/>
          <w:szCs w:val="24"/>
        </w:rPr>
      </w:pPr>
      <w:r>
        <w:rPr>
          <w:rFonts w:ascii="Times New Roman" w:hAnsi="Times New Roman" w:cs="Times New Roman"/>
          <w:sz w:val="24"/>
          <w:szCs w:val="24"/>
        </w:rPr>
        <w:t>Current manufacturers usually report the accuracy</w:t>
      </w:r>
      <w:r>
        <w:rPr>
          <w:rFonts w:hint="eastAsia" w:ascii="Times New Roman" w:hAnsi="Times New Roman" w:cs="Times New Roman"/>
          <w:sz w:val="24"/>
          <w:szCs w:val="24"/>
        </w:rPr>
        <w:t xml:space="preserve"> performance </w:t>
      </w:r>
      <w:r>
        <w:rPr>
          <w:rFonts w:ascii="Times New Roman" w:hAnsi="Times New Roman" w:cs="Times New Roman"/>
          <w:sz w:val="24"/>
          <w:szCs w:val="24"/>
        </w:rPr>
        <w:t xml:space="preserve">of their NGS sequencers by how much high quality basecalls the sequencer can provide in a sequencing run, e.g., Q30 &gt; 85%, which means that over 85% of the bases called have a Phred Q score over 30, or their error rates &lt;0.1%. The overall basecall error rates are on the 0.1% level for most of current NGS sequencers. While these parameters are important, it has been noted that variant call accuracy in different applications is more susceptible to biased basecall errors rather than by random errors given a similar overall error rate (Scheme 1). For this reason, much effort has been given to characterize their basecall error profiles for different NGS sequencers such as Illumina Genome Analyzer (GA) </w:t>
      </w:r>
      <w:r>
        <w:fldChar w:fldCharType="begin"/>
      </w:r>
      <w:r>
        <w:rPr>
          <w:rFonts w:ascii="Times New Roman" w:hAnsi="Times New Roman" w:cs="Times New Roman"/>
          <w:color w:val="000000"/>
          <w:sz w:val="24"/>
          <w:szCs w:val="24"/>
        </w:rPr>
        <w:instrText xml:space="preserve">ADDIN EN.CITE &lt;EndNote&gt;&lt;Cite&gt;&lt;Author&gt;Nakamura&lt;/Author&gt;&lt;Year&gt;2011&lt;/Year&gt;&lt;RecNum&gt;4&lt;/RecNum&gt;&lt;DisplayText&gt;(8)&lt;/DisplayText&gt;&lt;record&gt;&lt;rec-number&gt;4&lt;/rec-number&gt;&lt;foreign-keys&gt;&lt;key app="EN" db-id="at9fad5vcrraere2ta7pawp59f05s0ddwapf"&gt;4&lt;/key&gt;&lt;/foreign-keys&gt;&lt;ref-type name="Journal Article"&gt;17&lt;/ref-type&gt;&lt;contributors&gt;&lt;authors&gt;&lt;author&gt;Nakamura, Kensuke&lt;/author&gt;&lt;author&gt;Oshima, Taku&lt;/author&gt;&lt;author&gt;Morimoto, Takuya&lt;/author&gt;&lt;author&gt;Ikeda, Shun&lt;/author&gt;&lt;author&gt;Yoshikawa, Hirofumi&lt;/author&gt;&lt;author&gt;Shiwa, Yuh&lt;/author&gt;&lt;author&gt;Ishikawa, Shu&lt;/author&gt;&lt;author&gt;Linak, Margaret C.&lt;/author&gt;&lt;author&gt;Hirai, Aki&lt;/author&gt;&lt;author&gt;Takahashi, Hiroki&lt;/author&gt;&lt;author&gt;Altaf-Ul-Amin, Md&lt;/author&gt;&lt;author&gt;Ogasawara, Naotake&lt;/author&gt;&lt;author&gt;Kanaya, Shigehiko&lt;/author&gt;&lt;/authors&gt;&lt;/contributors&gt;&lt;titles&gt;&lt;title&gt;Sequence-specific error profile of Illumina sequencers&lt;/title&gt;&lt;secondary-title&gt;Nucleic Acids Research&lt;/secondary-title&gt;&lt;/titles&gt;&lt;periodical&gt;&lt;full-title&gt;Nucleic Acids Research&lt;/full-title&gt;&lt;/periodical&gt;&lt;pages&gt;e90-e90&lt;/pages&gt;&lt;volume&gt;39&lt;/volume&gt;&lt;number&gt;13&lt;/number&gt;&lt;keywords&gt;&lt;keyword&gt;dna, single-stranded&lt;/keyword&gt;&lt;keyword&gt;enzymes&lt;/keyword&gt;&lt;keyword&gt;genome&lt;/keyword&gt;&lt;keyword&gt;mismatch&lt;/keyword&gt;&lt;keyword&gt;precipitating factors&lt;/keyword&gt;&lt;keyword&gt;rna&lt;/keyword&gt;&lt;keyword&gt;single nucleotide polymorphism&lt;/keyword&gt;&lt;/keywords&gt;&lt;dates&gt;&lt;year&gt;2011&lt;/year&gt;&lt;pub-dates&gt;&lt;date&gt;2011/7//&lt;/date&gt;&lt;/pub-dates&gt;&lt;/dates&gt;&lt;publisher&gt;Oxford Academic&lt;/publisher&gt;&lt;urls&gt;&lt;related-urls&gt;&lt;url&gt;https://academic.oup.com/nar/article/39/13/e90/2409849&lt;/url&gt;&lt;/related-urls&gt;&lt;/urls&gt;&lt;electronic-resource-num&gt;10.1093/nar/gkr344&lt;/electronic-resource-num&gt;&lt;/record&gt;&lt;/Cite&gt;&lt;/EndNote&gt;</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(8</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sz w:val="24"/>
          <w:szCs w:val="24"/>
        </w:rPr>
        <w:t xml:space="preserve">, MiSeq </w:t>
      </w:r>
      <w:r>
        <w:fldChar w:fldCharType="begin"/>
      </w:r>
      <w:r>
        <w:rPr>
          <w:rFonts w:ascii="Times New Roman" w:hAnsi="Times New Roman" w:cs="Times New Roman"/>
          <w:color w:val="000000"/>
          <w:sz w:val="24"/>
          <w:szCs w:val="24"/>
        </w:rPr>
        <w:instrText xml:space="preserve">ADDIN EN.CITE &lt;EndNote&gt;&lt;Cite&gt;&lt;Author&gt;Schirmer&lt;/Author&gt;&lt;Year&gt;2015&lt;/Year&gt;&lt;RecNum&gt;1&lt;/RecNum&gt;&lt;DisplayText&gt;(9)&lt;/DisplayText&gt;&lt;record&gt;&lt;rec-number&gt;1&lt;/rec-number&gt;&lt;foreign-keys&gt;&lt;key app="EN" db-id="at9fad5vcrraere2ta7pawp59f05s0ddwapf"&gt;1&lt;/key&gt;&lt;/foreign-keys&gt;&lt;ref-type name="Journal Article"&gt;17&lt;/ref-type&gt;&lt;contributors&gt;&lt;authors&gt;&lt;author&gt;Schirmer, Melanie&lt;/author&gt;&lt;author&gt;Ijaz, Umer Z.&lt;/author&gt;&lt;author&gt;D&amp;apos;Amore, Rosalinda&lt;/author&gt;&lt;author&gt;Hall, Neil&lt;/author&gt;&lt;author&gt;Sloan, William T.&lt;/author&gt;&lt;author&gt;Quince, Christopher&lt;/author&gt;&lt;/authors&gt;&lt;/contributors&gt;&lt;titles&gt;&lt;title&gt;Insight into biases and sequencing errors for amplicon sequencing with the Illumina MiSeq platform&lt;/title&gt;&lt;secondary-title&gt;Nucleic Acids Research&lt;/secondary-title&gt;&lt;/titles&gt;&lt;periodical&gt;&lt;full-title&gt;Nucleic Acids Research&lt;/full-title&gt;&lt;/periodical&gt;&lt;pages&gt;e37-e37&lt;/pages&gt;&lt;volume&gt;43&lt;/volume&gt;&lt;number&gt;6&lt;/number&gt;&lt;keywords&gt;&lt;keyword&gt;genes&lt;/keyword&gt;&lt;keyword&gt;genetics&lt;/keyword&gt;&lt;keyword&gt;genome sequencing&lt;/keyword&gt;&lt;keyword&gt;laboratory techniques and procedures&lt;/keyword&gt;&lt;keyword&gt;laboratory test finding&lt;/keyword&gt;&lt;keyword&gt;libraries&lt;/keyword&gt;&lt;keyword&gt;longitudinal relaxation rate&lt;/keyword&gt;&lt;keyword&gt;metagenomics&lt;/keyword&gt;&lt;keyword&gt;molecular diagnostic techniques&lt;/keyword&gt;&lt;keyword&gt;nucleotides&lt;/keyword&gt;&lt;keyword&gt;rna, ribosomal, 16s&lt;/keyword&gt;&lt;keyword&gt;sequence analysis&lt;/keyword&gt;&lt;/keywords&gt;&lt;dates&gt;&lt;year&gt;2015&lt;/year&gt;&lt;pub-dates&gt;&lt;date&gt;2015/3//&lt;/date&gt;&lt;/pub-dates&gt;&lt;/dates&gt;&lt;publisher&gt;Oxford Academic&lt;/publisher&gt;&lt;urls&gt;&lt;related-urls&gt;&lt;url&gt;https://academic.oup.com/nar/article/43/6/e37/2453415&lt;/url&gt;&lt;/related-urls&gt;&lt;/urls&gt;&lt;electronic-resource-num&gt;10.1093/nar/gku1341&lt;/electronic-resource-num&gt;&lt;/record&gt;&lt;/Cite&gt;&lt;/EndNote&gt;</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(9</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sz w:val="24"/>
          <w:szCs w:val="24"/>
        </w:rPr>
        <w:t xml:space="preserve"> and HiSeq </w:t>
      </w:r>
      <w:r>
        <w:fldChar w:fldCharType="begin"/>
      </w:r>
      <w:r>
        <w:rPr>
          <w:rFonts w:ascii="Times New Roman" w:hAnsi="Times New Roman" w:cs="Times New Roman"/>
          <w:sz w:val="24"/>
          <w:szCs w:val="24"/>
        </w:rPr>
        <w:instrText xml:space="preserve">ADDIN EN.CITE</w:instrText>
      </w:r>
      <w:r>
        <w:fldChar w:fldCharType="begin"/>
      </w:r>
      <w:r>
        <w:rPr>
          <w:rFonts w:ascii="Times New Roman" w:hAnsi="Times New Roman" w:cs="Times New Roman"/>
          <w:color w:val="000000"/>
          <w:sz w:val="24"/>
          <w:szCs w:val="24"/>
        </w:rPr>
        <w:instrText xml:space="preserve">ADDIN EN.CITE.DATA</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(10</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sz w:val="24"/>
          <w:szCs w:val="24"/>
        </w:rPr>
        <w:t>, etc. For examples, Hoffman et al.</w:t>
      </w:r>
      <w:r>
        <w:t xml:space="preserve"> </w:t>
      </w:r>
      <w:r>
        <w:rPr>
          <w:rFonts w:ascii="Times New Roman" w:hAnsi="Times New Roman" w:cs="Times New Roman"/>
          <w:sz w:val="24"/>
          <w:szCs w:val="24"/>
        </w:rPr>
        <w:t xml:space="preserve">reported that substitution is the major error type for Illumina sequencers in early times </w:t>
      </w:r>
      <w:r>
        <w:fldChar w:fldCharType="begin"/>
      </w:r>
      <w:r>
        <w:rPr>
          <w:rFonts w:ascii="Times New Roman" w:hAnsi="Times New Roman" w:cs="Times New Roman"/>
          <w:color w:val="000000"/>
          <w:sz w:val="24"/>
          <w:szCs w:val="24"/>
        </w:rPr>
        <w:instrText xml:space="preserve">ADDIN EN.CITE &lt;EndNote&gt;&lt;Cite&gt;&lt;Author&gt;Hoffmann&lt;/Author&gt;&lt;Year&gt;2009&lt;/Year&gt;&lt;RecNum&gt;11&lt;/RecNum&gt;&lt;DisplayText&gt;(11)&lt;/DisplayText&gt;&lt;record&gt;&lt;rec-number&gt;11&lt;/rec-number&gt;&lt;foreign-keys&gt;&lt;key app="EN" db-id="at9fad5vcrraere2ta7pawp59f05s0ddwapf"&gt;11&lt;/key&gt;&lt;/foreign-keys&gt;&lt;ref-type name="Journal Article"&gt;17&lt;/ref-type&gt;&lt;contributors&gt;&lt;authors&gt;&lt;author&gt;Hoffmann, Steve&lt;/author&gt;&lt;author&gt;Otto, Christian&lt;/author&gt;&lt;author&gt;Kurtz, Stefan&lt;/author&gt;&lt;author&gt;Sharma, Cynthia M.&lt;/author&gt;&lt;author&gt;Khaitovich, Philipp&lt;/author&gt;&lt;author&gt;Vogel, Jörg&lt;/author&gt;&lt;author&gt;Stadler, Peter F.&lt;/author&gt;&lt;author&gt;Hackermüller, Jörg&lt;/author&gt;&lt;/authors&gt;&lt;/contributors&gt;&lt;titles&gt;&lt;title&gt;Fast Mapping of Short Sequences with Mismatches, Insertions and Deletions Using Index Structures&lt;/title&gt;&lt;secondary-title&gt;PLOS Computational Biology&lt;/secondary-title&gt;&lt;/titles&gt;&lt;periodical&gt;&lt;full-title&gt;PLOS Computational Biology&lt;/full-title&gt;&lt;/periodical&gt;&lt;pages&gt;e1000502-e1000502&lt;/pages&gt;&lt;volume&gt;5&lt;/volume&gt;&lt;number&gt;9&lt;/number&gt;&lt;keywords&gt;&lt;keyword&gt;Chromosomes&lt;/keyword&gt;&lt;keyword&gt;Computer software&lt;/keyword&gt;&lt;keyword&gt;Genomics&lt;/keyword&gt;&lt;keyword&gt;High throughput sequencing&lt;/keyword&gt;&lt;keyword&gt;Human genomics&lt;/keyword&gt;&lt;keyword&gt;Plant genomics&lt;/keyword&gt;&lt;keyword&gt;RNA sequencing&lt;/keyword&gt;&lt;keyword&gt;Sequence alignment&lt;/keyword&gt;&lt;/keywords&gt;&lt;dates&gt;&lt;year&gt;2009&lt;/year&gt;&lt;/dates&gt;&lt;publisher&gt;Public Library of Science&lt;/publisher&gt;&lt;urls&gt;&lt;related-urls&gt;&lt;url&gt;https://journals.plos.org/ploscompbiol/article?id=10.1371/journal.pcbi.1000502&lt;/url&gt;&lt;/related-urls&gt;&lt;/urls&gt;&lt;electronic-resource-num&gt;10.1371/journal.pcbi.1000502&lt;/electronic-resource-num&gt;&lt;/record&gt;&lt;/Cite&gt;&lt;/EndNote&gt;</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(11</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sz w:val="24"/>
          <w:szCs w:val="24"/>
        </w:rPr>
        <w:t xml:space="preserve">. Dohm and coworkers discovered that substitution occurs more frequently in the GC-rich regions since the CCG motif is one of the triggers </w:t>
      </w:r>
      <w:r>
        <w:rPr>
          <w:rFonts w:hint="eastAsia" w:ascii="Times New Roman" w:hAnsi="Times New Roman" w:cs="Times New Roman"/>
          <w:sz w:val="24"/>
          <w:szCs w:val="24"/>
        </w:rPr>
        <w:t>for</w:t>
      </w:r>
      <w:r>
        <w:rPr>
          <w:rFonts w:ascii="Times New Roman" w:hAnsi="Times New Roman" w:cs="Times New Roman"/>
          <w:sz w:val="24"/>
          <w:szCs w:val="24"/>
        </w:rPr>
        <w:t xml:space="preserve"> such single base errors </w:t>
      </w:r>
      <w:r>
        <w:fldChar w:fldCharType="begin"/>
      </w:r>
      <w:r>
        <w:rPr>
          <w:rFonts w:ascii="Times New Roman" w:hAnsi="Times New Roman" w:cs="Times New Roman"/>
          <w:sz w:val="24"/>
          <w:szCs w:val="24"/>
        </w:rPr>
        <w:instrText xml:space="preserve">ADDIN EN.CITE &lt;EndNote&gt;&lt;Cite&gt;&lt;Author&gt;Dohm&lt;/Author&gt;&lt;Year&gt;2008&lt;/Year&gt;&lt;RecNum&gt;12&lt;/RecNum&gt;&lt;DisplayText&gt;(12)&lt;/DisplayText&gt;&lt;record&gt;&lt;rec-number&gt;12&lt;/rec-number&gt;&lt;foreign-keys&gt;&lt;key app="EN" db-id="at9fad5vcrraere2ta7pawp59f05s0ddwapf"&gt;12&lt;/key&gt;&lt;/foreign-keys&gt;&lt;ref-type name="Journal Article"&gt;17&lt;/ref-type&gt;&lt;contributors&gt;&lt;authors&gt;&lt;author&gt;Dohm, Juliane C.&lt;/author&gt;&lt;author&gt;Lottaz, Claudio&lt;/author&gt;&lt;author&gt;Borodina, Tatiana&lt;/author&gt;&lt;author&gt;Himmelbauer, Heinz&lt;/author&gt;&lt;/authors&gt;&lt;/contributors&gt;&lt;titles&gt;&lt;title&gt;Substantial biases in ultra-short read data sets from high-throughput DNA sequencing&lt;/title&gt;&lt;secondary-title&gt;Nucleic Acids Research&lt;/secondary-title&gt;&lt;/titles&gt;&lt;periodical&gt;&lt;full-title&gt;Nucleic Acids Research&lt;/full-title&gt;&lt;/periodical&gt;&lt;pages&gt;105-105&lt;/pages&gt;&lt;volume&gt;36&lt;/volume&gt;&lt;number&gt;16&lt;/number&gt;&lt;keywords&gt;&lt;keyword&gt;beta vulgaris&lt;/keyword&gt;&lt;keyword&gt;datasets&lt;/keyword&gt;&lt;keyword&gt;genome&lt;/keyword&gt;&lt;keyword&gt;helicobacter&lt;/keyword&gt;&lt;keyword&gt;sequence analysis, dna&lt;/keyword&gt;&lt;/keywords&gt;&lt;dates&gt;&lt;year&gt;2008&lt;/year&gt;&lt;pub-dates&gt;&lt;date&gt;2008/9//&lt;/date&gt;&lt;/pub-dates&gt;&lt;/dates&gt;&lt;publisher&gt;Oxford Academic&lt;/publisher&gt;&lt;urls&gt;&lt;related-urls&gt;&lt;url&gt;https://academic.oup.com/nar/article/36/16/e105/6334555&lt;/url&gt;&lt;/related-urls&gt;&lt;/urls&gt;&lt;electronic-resource-num&gt;10.1093/nar/gkn425&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The authors also claimed that the base-specific miscalls A-to-C and C-to-G are observed more often than the others. Many researchers agreed that the quality of the Illumina sequencer reads is significantly lower in the later cycles. </w:t>
      </w:r>
    </w:p>
    <w:p>
      <w:pPr>
        <w:jc w:val="center"/>
        <w:rPr>
          <w:rFonts w:ascii="Times New Roman" w:hAnsi="Times New Roman" w:cs="Times New Roman"/>
          <w:sz w:val="24"/>
          <w:szCs w:val="24"/>
        </w:rPr>
      </w:pPr>
      <w:r>
        <w:drawing>
          <wp:inline distT="0" distB="0" distL="0" distR="0">
            <wp:extent cx="3764915" cy="2946400"/>
            <wp:effectExtent l="0" t="0" r="0" b="0"/>
            <wp:docPr id="2" name="Picture 1" descr="/home/user/Screenshot_2024-08-23_10-09-32.pngScreenshot_2024-08-23_10-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ome/user/Screenshot_2024-08-23_10-09-32.pngScreenshot_2024-08-23_10-09-32"/>
                    <pic:cNvPicPr>
                      <a:picLocks noChangeAspect="1" noChangeArrowheads="1"/>
                    </pic:cNvPicPr>
                  </pic:nvPicPr>
                  <pic:blipFill>
                    <a:blip r:embed="rId6"/>
                    <a:stretch>
                      <a:fillRect/>
                    </a:stretch>
                  </pic:blipFill>
                  <pic:spPr>
                    <a:xfrm>
                      <a:off x="0" y="0"/>
                      <a:ext cx="3764915" cy="2946400"/>
                    </a:xfrm>
                    <a:prstGeom prst="rect">
                      <a:avLst/>
                    </a:prstGeom>
                    <a:noFill/>
                  </pic:spPr>
                </pic:pic>
              </a:graphicData>
            </a:graphic>
          </wp:inline>
        </w:drawing>
      </w:r>
    </w:p>
    <w:p>
      <w:pPr>
        <w:jc w:val="both"/>
        <w:rPr>
          <w:rFonts w:ascii="Times New Roman" w:hAnsi="Times New Roman" w:cs="Times New Roman"/>
          <w:sz w:val="24"/>
          <w:szCs w:val="24"/>
        </w:rPr>
      </w:pPr>
      <w:r>
        <w:rPr>
          <w:rFonts w:ascii="Times New Roman" w:hAnsi="Times New Roman" w:cs="Times New Roman"/>
          <w:sz w:val="24"/>
          <w:szCs w:val="24"/>
        </w:rPr>
        <w:t xml:space="preserve">Scheme 1. Illustration of how variant call is more susceptible to biased miscalls. Biased basecall errors at a specific site (Sequencer B) are more likely to generate a false positive variant call as compared to random errors (Sequencer A) given their overall error rates are similar. </w:t>
      </w:r>
    </w:p>
    <w:p>
      <w:pPr>
        <w:jc w:val="center"/>
        <w:rPr>
          <w:rFonts w:ascii="Times New Roman" w:hAnsi="Times New Roman" w:cs="Times New Roman"/>
          <w:sz w:val="24"/>
          <w:szCs w:val="24"/>
        </w:rPr>
      </w:pPr>
    </w:p>
    <w:p>
      <w:pPr>
        <w:ind w:firstLine="420"/>
        <w:jc w:val="both"/>
        <w:rPr>
          <w:rFonts w:ascii="Times New Roman" w:hAnsi="Times New Roman" w:cs="Times New Roman"/>
          <w:sz w:val="24"/>
          <w:szCs w:val="24"/>
        </w:rPr>
      </w:pPr>
      <w:r>
        <w:rPr>
          <w:rFonts w:ascii="Times New Roman" w:hAnsi="Times New Roman" w:eastAsia="宋体" w:cs="Times New Roman"/>
          <w:sz w:val="24"/>
          <w:szCs w:val="24"/>
        </w:rPr>
        <w:t>Recently,</w:t>
      </w:r>
      <w:r>
        <w:rPr>
          <w:rFonts w:ascii="Times New Roman" w:hAnsi="Times New Roman" w:cs="Times New Roman"/>
          <w:sz w:val="24"/>
          <w:szCs w:val="24"/>
        </w:rPr>
        <w:t xml:space="preserve"> there are new instruments emerging in the sequencing market. Their error rates and error profiles have not been systematically characterized. In this manuscript, we compare three high-throughput sequencers available on the market: </w:t>
      </w:r>
      <w:r>
        <w:rPr>
          <w:rFonts w:hint="eastAsia" w:ascii="Times New Roman" w:hAnsi="Times New Roman" w:cs="Times New Roman"/>
          <w:sz w:val="24"/>
          <w:szCs w:val="24"/>
        </w:rPr>
        <w:t xml:space="preserve">2 samples from </w:t>
      </w:r>
      <w:r>
        <w:rPr>
          <w:rFonts w:ascii="Times New Roman" w:hAnsi="Times New Roman" w:cs="Times New Roman"/>
          <w:sz w:val="24"/>
          <w:szCs w:val="24"/>
        </w:rPr>
        <w:t xml:space="preserve">NovaSeq 6000 (referred to as NovaSeq), </w:t>
      </w:r>
      <w:r>
        <w:rPr>
          <w:rFonts w:hint="eastAsia" w:ascii="Times New Roman" w:hAnsi="Times New Roman" w:cs="Times New Roman"/>
          <w:sz w:val="24"/>
          <w:szCs w:val="24"/>
        </w:rPr>
        <w:t xml:space="preserve">2 samples from </w:t>
      </w:r>
      <w:r>
        <w:rPr>
          <w:rFonts w:ascii="Times New Roman" w:hAnsi="Times New Roman" w:cs="Times New Roman"/>
          <w:sz w:val="24"/>
          <w:szCs w:val="24"/>
        </w:rPr>
        <w:t>DNBSeq-T7 (referred to as T7), and</w:t>
      </w:r>
      <w:r>
        <w:rPr>
          <w:rFonts w:hint="eastAsia" w:ascii="Times New Roman" w:hAnsi="Times New Roman" w:cs="Times New Roman"/>
          <w:sz w:val="24"/>
          <w:szCs w:val="24"/>
        </w:rPr>
        <w:t xml:space="preserve"> 6 samples from EVO</w:t>
      </w:r>
      <w:r>
        <w:rPr>
          <w:rFonts w:ascii="Times New Roman" w:hAnsi="Times New Roman" w:cs="Times New Roman"/>
          <w:sz w:val="24"/>
          <w:szCs w:val="24"/>
        </w:rPr>
        <w:t xml:space="preserve">. Their claimed basecall accuracy is similar: Q30&gt;85% for standard PE150 sequencing. We are especially interested in their basecall error bias patterns, which have a profound impact on the downstream bioinformatic analysis. </w:t>
      </w:r>
    </w:p>
    <w:p>
      <w:pPr>
        <w:ind w:firstLine="420"/>
        <w:jc w:val="both"/>
        <w:rPr>
          <w:rFonts w:ascii="Times New Roman" w:hAnsi="Times New Roman" w:cs="Times New Roman"/>
          <w:sz w:val="24"/>
          <w:szCs w:val="24"/>
        </w:rPr>
      </w:pPr>
    </w:p>
    <w:p>
      <w:pPr>
        <w:rPr>
          <w:rFonts w:ascii="Times New Roman" w:hAnsi="Times New Roman" w:cs="Times New Roman"/>
          <w:sz w:val="24"/>
          <w:szCs w:val="24"/>
        </w:rPr>
      </w:pP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Materials and methods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 xml:space="preserve">Samples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宋体" w:cs="Times New Roman"/>
          <w:sz w:val="24"/>
        </w:rPr>
      </w:pPr>
      <w:r>
        <w:rPr>
          <w:rFonts w:ascii="Times New Roman" w:hAnsi="Times New Roman" w:eastAsia="宋体" w:cs="Times New Roman"/>
          <w:sz w:val="24"/>
        </w:rPr>
        <w:tab/>
      </w:r>
      <w:r>
        <w:rPr>
          <w:rFonts w:ascii="Times New Roman" w:hAnsi="Times New Roman" w:eastAsia="宋体" w:cs="Times New Roman"/>
          <w:sz w:val="24"/>
        </w:rPr>
        <w:t xml:space="preserve">Monoclonal </w:t>
      </w:r>
      <w:r>
        <w:rPr>
          <w:rFonts w:ascii="Times New Roman" w:hAnsi="Times New Roman" w:eastAsia="宋体" w:cs="Times New Roman"/>
          <w:i/>
          <w:iCs/>
          <w:sz w:val="24"/>
        </w:rPr>
        <w:t xml:space="preserve">Escherichia coli ATCC8739 strain </w:t>
      </w:r>
      <w:r>
        <w:rPr>
          <w:rFonts w:ascii="Times New Roman" w:hAnsi="Times New Roman" w:eastAsia="宋体" w:cs="Times New Roman"/>
          <w:sz w:val="24"/>
        </w:rPr>
        <w:t>was purchased from the Institute of Microbiology, Guangdong Academy of Sciences Guangdong Microbial Culture Collection Center (GDMCC). The bacteria were cultured for ~13 hours (~40 generations) in house before being used. Its genome sequence was assembled using Sanger sequencing at Sangon Biotech (Shanghai) Co., Ltd. Human NA12878 genomic DNA was purchased from Coriell Institute (Haddon Avenue Camden, NJ 08103, USA) and used directly.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宋体" w:cs="Times New Roman"/>
          <w:sz w:val="24"/>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eastAsia="宋体" w:cs="Times New Roman"/>
          <w:b/>
          <w:bCs/>
          <w:sz w:val="24"/>
        </w:rPr>
      </w:pPr>
      <w:r>
        <w:rPr>
          <w:rFonts w:ascii="Times New Roman" w:hAnsi="Times New Roman" w:eastAsia="宋体" w:cs="Times New Roman"/>
          <w:b/>
          <w:bCs/>
          <w:sz w:val="24"/>
        </w:rPr>
        <w:t xml:space="preserve">Library preparation  </w:t>
      </w:r>
    </w:p>
    <w:p>
      <w:pPr>
        <w:pStyle w:val="8"/>
        <w:tabs>
          <w:tab w:val="left" w:pos="435"/>
          <w:tab w:val="clear" w:pos="916"/>
        </w:tabs>
        <w:jc w:val="both"/>
        <w:rPr>
          <w:rStyle w:val="18"/>
          <w:rFonts w:ascii="Times New Roman" w:hAnsi="Times New Roman"/>
        </w:rPr>
      </w:pPr>
      <w:r>
        <w:rPr>
          <w:rFonts w:ascii="Times New Roman" w:hAnsi="Times New Roman"/>
          <w:i/>
          <w:iCs/>
        </w:rPr>
        <w:tab/>
      </w:r>
      <w:r>
        <w:rPr>
          <w:rFonts w:ascii="Times New Roman" w:hAnsi="Times New Roman"/>
          <w:i/>
          <w:iCs/>
        </w:rPr>
        <w:t xml:space="preserve">Escherichia coli </w:t>
      </w:r>
      <w:r>
        <w:rPr>
          <w:rFonts w:ascii="Times New Roman" w:hAnsi="Times New Roman"/>
        </w:rPr>
        <w:t xml:space="preserve">DNA was extracted using the Bacterial Genomic DNA Extraction Kit (TIANGEN Biotech, Beijing, DP302-02). DNA library preparation was using </w:t>
      </w:r>
      <w:r>
        <w:rPr>
          <w:rStyle w:val="18"/>
          <w:rFonts w:ascii="Times New Roman" w:hAnsi="Times New Roman"/>
        </w:rPr>
        <w:t xml:space="preserve">VAHTS Universal Plus DNA Library Prep Kit for Illumina V2 (Vazyme, Nanjing). </w:t>
      </w:r>
      <w:r>
        <w:rPr>
          <w:rFonts w:ascii="Times New Roman" w:hAnsi="Times New Roman"/>
        </w:rPr>
        <w:t xml:space="preserve">Library construction from extracted DNAs consisted of the following procedures: DNA fragmentation, end-repair, “A” nucleotide attachment at the 3’end, adapter-ligation for sequencing at both ends, and two cycles of polymerase chain reactions (PCR). All prepared </w:t>
      </w:r>
      <w:r>
        <w:rPr>
          <w:rStyle w:val="18"/>
          <w:rFonts w:ascii="Times New Roman" w:hAnsi="Times New Roman"/>
        </w:rPr>
        <w:t>libraries were quantified using 1</w:t>
      </w:r>
      <w:r>
        <w:rPr>
          <w:rFonts w:ascii="Times New Roman" w:hAnsi="Times New Roman"/>
          <w:color w:val="000000"/>
          <w:spacing w:val="5"/>
          <w:sz w:val="22"/>
          <w:shd w:val="clear" w:color="auto" w:fill="FFFFFF"/>
        </w:rPr>
        <w:t>×</w:t>
      </w:r>
      <w:r>
        <w:rPr>
          <w:rStyle w:val="18"/>
          <w:rFonts w:ascii="Times New Roman" w:hAnsi="Times New Roman"/>
        </w:rPr>
        <w:t xml:space="preserve"> dsDNA HS Assay Kit (Vazyme, Nanjing), and analyzed on a LabChip GX Touch/GXII Touch bioanalyzer to examine DNA fragment sizes. The as prepared DNA libraries have a concentration of ~20~40 </w:t>
      </w:r>
      <w:r>
        <w:rPr>
          <w:rFonts w:ascii="Times New Roman" w:hAnsi="Times New Roman" w:eastAsia="等线"/>
          <w:color w:val="000000"/>
        </w:rPr>
        <w:t xml:space="preserve">ng/μL and a </w:t>
      </w:r>
      <w:r>
        <w:rPr>
          <w:rFonts w:hint="eastAsia" w:ascii="Times New Roman" w:hAnsi="Times New Roman" w:eastAsia="等线"/>
          <w:color w:val="000000"/>
        </w:rPr>
        <w:t>length</w:t>
      </w:r>
      <w:r>
        <w:rPr>
          <w:rFonts w:ascii="Times New Roman" w:hAnsi="Times New Roman" w:eastAsia="等线"/>
          <w:color w:val="000000"/>
        </w:rPr>
        <w:t xml:space="preserve"> of</w:t>
      </w:r>
      <w:r>
        <w:rPr>
          <w:rStyle w:val="18"/>
          <w:rFonts w:ascii="Times New Roman" w:hAnsi="Times New Roman"/>
        </w:rPr>
        <w:t xml:space="preserve"> ~450-550 bp. </w:t>
      </w:r>
    </w:p>
    <w:p>
      <w:pPr>
        <w:pStyle w:val="8"/>
        <w:ind w:firstLine="480"/>
        <w:jc w:val="both"/>
        <w:rPr>
          <w:rStyle w:val="18"/>
          <w:rFonts w:ascii="Times New Roman" w:hAnsi="Times New Roman"/>
        </w:rPr>
      </w:pPr>
    </w:p>
    <w:p>
      <w:pPr>
        <w:pStyle w:val="8"/>
        <w:jc w:val="both"/>
        <w:rPr>
          <w:rStyle w:val="18"/>
          <w:rFonts w:ascii="Times New Roman" w:hAnsi="Times New Roman"/>
        </w:rPr>
      </w:pPr>
      <w:r>
        <w:rPr>
          <w:rFonts w:ascii="Times New Roman" w:hAnsi="Times New Roman"/>
          <w:b/>
          <w:bCs/>
        </w:rPr>
        <w:t>Sequencing</w:t>
      </w:r>
      <w:r>
        <w:rPr>
          <w:rStyle w:val="18"/>
          <w:rFonts w:ascii="Times New Roman" w:hAnsi="Times New Roman"/>
        </w:rPr>
        <w:t xml:space="preserve"> </w:t>
      </w:r>
    </w:p>
    <w:p>
      <w:pPr>
        <w:pStyle w:val="8"/>
        <w:tabs>
          <w:tab w:val="left" w:pos="435"/>
          <w:tab w:val="clear" w:pos="916"/>
        </w:tabs>
        <w:jc w:val="both"/>
        <w:rPr>
          <w:rStyle w:val="18"/>
          <w:rFonts w:ascii="Times New Roman" w:hAnsi="Times New Roman"/>
        </w:rPr>
      </w:pPr>
      <w:r>
        <w:rPr>
          <w:rStyle w:val="18"/>
          <w:rFonts w:ascii="Times New Roman" w:hAnsi="Times New Roman"/>
        </w:rPr>
        <w:tab/>
      </w:r>
      <w:r>
        <w:rPr>
          <w:rStyle w:val="18"/>
          <w:rFonts w:ascii="Times New Roman" w:hAnsi="Times New Roman"/>
        </w:rPr>
        <w:t>The same library was evenly split into ten copies. Four of the copies were sent to Sequanta Technologies Co., Ltd (Shanghai, China) for sequencing on DNBSeq-T7 and Illumina NovaSeq 6000 sequencers. Two for each platforms. Other six of the copies were sequenced on a</w:t>
      </w:r>
      <w:r>
        <w:rPr>
          <w:rStyle w:val="18"/>
          <w:rFonts w:hint="eastAsia" w:ascii="Times New Roman" w:hAnsi="Times New Roman"/>
        </w:rPr>
        <w:t>n</w:t>
      </w:r>
      <w:r>
        <w:rPr>
          <w:rStyle w:val="18"/>
          <w:rFonts w:ascii="Times New Roman" w:hAnsi="Times New Roman"/>
        </w:rPr>
        <w:t xml:space="preserve"> </w:t>
      </w:r>
      <w:r>
        <w:rPr>
          <w:rStyle w:val="18"/>
          <w:rFonts w:hint="eastAsia" w:ascii="Times New Roman" w:hAnsi="Times New Roman"/>
        </w:rPr>
        <w:t>EVO</w:t>
      </w:r>
      <w:r>
        <w:rPr>
          <w:rStyle w:val="18"/>
          <w:rFonts w:ascii="Times New Roman" w:hAnsi="Times New Roman"/>
        </w:rPr>
        <w:t xml:space="preserve"> sequencer using the </w:t>
      </w:r>
      <w:r>
        <w:rPr>
          <w:rStyle w:val="18"/>
          <w:rFonts w:hint="eastAsia" w:ascii="Times New Roman" w:hAnsi="Times New Roman"/>
        </w:rPr>
        <w:t>EVO</w:t>
      </w:r>
      <w:r>
        <w:rPr>
          <w:rStyle w:val="18"/>
          <w:rFonts w:ascii="Times New Roman" w:hAnsi="Times New Roman"/>
        </w:rPr>
        <w:t xml:space="preserve"> Sequencing Kit (Cat. No. PRM-PE150) at Salus BioMed. PE150 dual-barcode mode was used for all WGS sequencing.</w:t>
      </w:r>
    </w:p>
    <w:p>
      <w:pPr>
        <w:pStyle w:val="8"/>
        <w:ind w:firstLine="480"/>
        <w:jc w:val="both"/>
        <w:rPr>
          <w:rFonts w:ascii="Times New Roman" w:hAnsi="Times New Roman"/>
        </w:rPr>
      </w:pPr>
      <w:r>
        <w:rPr>
          <w:rStyle w:val="18"/>
          <w:rFonts w:ascii="Times New Roman" w:hAnsi="Times New Roman"/>
        </w:rPr>
        <w:t xml:space="preserve"> </w:t>
      </w:r>
    </w:p>
    <w:p>
      <w:pPr>
        <w:jc w:val="both"/>
        <w:rPr>
          <w:rFonts w:ascii="Times New Roman" w:hAnsi="Times New Roman" w:cs="Times New Roman"/>
          <w:b/>
          <w:bCs/>
          <w:sz w:val="24"/>
          <w:szCs w:val="24"/>
        </w:rPr>
      </w:pPr>
      <w:r>
        <w:rPr>
          <w:rFonts w:ascii="Times New Roman" w:hAnsi="Times New Roman" w:cs="Times New Roman"/>
          <w:b/>
          <w:bCs/>
          <w:sz w:val="24"/>
          <w:szCs w:val="24"/>
        </w:rPr>
        <w:t>Bioinformatic analysis</w:t>
      </w:r>
    </w:p>
    <w:p>
      <w:pPr>
        <w:tabs>
          <w:tab w:val="left" w:pos="42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The raw fastq files output from each sequencers were processed by fastp </w:t>
      </w:r>
      <w:r>
        <w:fldChar w:fldCharType="begin"/>
      </w:r>
      <w:r>
        <w:rPr>
          <w:rFonts w:ascii="Times New Roman" w:hAnsi="Times New Roman" w:cs="Times New Roman"/>
          <w:sz w:val="24"/>
          <w:szCs w:val="24"/>
        </w:rPr>
        <w:instrText xml:space="preserve">ADDIN EN.CITE &lt;EndNote&gt;&lt;Cite&gt;&lt;Author&gt;Chen&lt;/Author&gt;&lt;Year&gt;2018&lt;/Year&gt;&lt;RecNum&gt;6&lt;/RecNum&gt;&lt;DisplayText&gt;(13)&lt;/DisplayText&gt;&lt;record&gt;&lt;rec-number&gt;6&lt;/rec-number&gt;&lt;foreign-keys&gt;&lt;key app="EN" db-id="at9fad5vcrraere2ta7pawp59f05s0ddwapf"&gt;6&lt;/key&gt;&lt;/foreign-keys&gt;&lt;ref-type name="Journal Article"&gt;17&lt;/ref-type&gt;&lt;contributors&gt;&lt;authors&gt;&lt;author&gt;Chen, Shifu&lt;/author&gt;&lt;author&gt;Zhou, Yanqing&lt;/author&gt;&lt;author&gt;Chen, Yaru&lt;/author&gt;&lt;author&gt;Gu, Jia&lt;/author&gt;&lt;/authors&gt;&lt;/contributors&gt;&lt;titles&gt;&lt;title&gt;fastp: an ultra-fast all-in-one FASTQ preprocessor&lt;/title&gt;&lt;secondary-title&gt;Bioinformatics&lt;/secondary-title&gt;&lt;/titles&gt;&lt;periodical&gt;&lt;full-title&gt;Bioinformatics&lt;/full-title&gt;&lt;/periodical&gt;&lt;pages&gt;i884-i890&lt;/pages&gt;&lt;volume&gt;34&lt;/volume&gt;&lt;number&gt;17&lt;/number&gt;&lt;keywords&gt;&lt;keyword&gt;Contact&lt;/keyword&gt;&lt;keyword&gt;chen@haploxcom&lt;/keyword&gt;&lt;/keywords&gt;&lt;dates&gt;&lt;year&gt;2018&lt;/year&gt;&lt;pub-dates&gt;&lt;date&gt;2018/9//&lt;/date&gt;&lt;/pub-dates&gt;&lt;/dates&gt;&lt;publisher&gt;Oxford Academic&lt;/publisher&gt;&lt;urls&gt;&lt;related-urls&gt;&lt;url&gt;https://dx.doi.org/10.1093/bioinformatics/bty560&lt;/url&gt;&lt;/related-urls&gt;&lt;/urls&gt;&lt;electronic-resource-num&gt;10.1093/bioinformatics/bty560&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t>) to remove the adapters or reads with low quality. The low-quality reads are defined as those contain 15 or more basecalls with Q scores &lt;</w:t>
      </w:r>
      <w:r>
        <w:rPr>
          <w:rFonts w:hint="eastAsia" w:ascii="Times New Roman" w:hAnsi="Times New Roman" w:cs="Times New Roman"/>
          <w:sz w:val="24"/>
          <w:szCs w:val="24"/>
        </w:rPr>
        <w:t xml:space="preserve"> </w:t>
      </w:r>
      <w:r>
        <w:rPr>
          <w:rFonts w:ascii="Times New Roman" w:hAnsi="Times New Roman" w:cs="Times New Roman"/>
          <w:sz w:val="24"/>
          <w:szCs w:val="24"/>
        </w:rPr>
        <w:t xml:space="preserve">25.  Clean reads were aligned to </w:t>
      </w:r>
      <w:r>
        <w:rPr>
          <w:rFonts w:ascii="Times New Roman" w:hAnsi="Times New Roman" w:cs="Times New Roman"/>
          <w:i/>
          <w:iCs/>
          <w:sz w:val="24"/>
          <w:szCs w:val="24"/>
        </w:rPr>
        <w:t>E.</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coli</w:t>
      </w:r>
      <w:r>
        <w:rPr>
          <w:rFonts w:ascii="Times New Roman" w:hAnsi="Times New Roman" w:cs="Times New Roman"/>
          <w:sz w:val="24"/>
          <w:szCs w:val="24"/>
        </w:rPr>
        <w:t xml:space="preserve"> ATCC8739 and human hg19 genome reference accordingly by bwa-mem2 </w:t>
      </w:r>
      <w:r>
        <w:fldChar w:fldCharType="begin"/>
      </w:r>
      <w:r>
        <w:rPr>
          <w:rFonts w:ascii="Times New Roman" w:hAnsi="Times New Roman" w:cs="Times New Roman"/>
          <w:sz w:val="24"/>
          <w:szCs w:val="24"/>
        </w:rPr>
        <w:instrText xml:space="preserve">ADDIN EN.CITE &lt;EndNote&gt;&lt;Cite&gt;&lt;Author&gt;Md&lt;/Author&gt;&lt;Year&gt;2019&lt;/Year&gt;&lt;RecNum&gt;13&lt;/RecNum&gt;&lt;DisplayText&gt;(14)&lt;/DisplayText&gt;&lt;record&gt;&lt;rec-number&gt;13&lt;/rec-number&gt;&lt;foreign-keys&gt;&lt;key app="EN" db-id="at9fad5vcrraere2ta7pawp59f05s0ddwapf"&gt;13&lt;/key&gt;&lt;/foreign-keys&gt;&lt;ref-type name="Journal Article"&gt;17&lt;/ref-type&gt;&lt;contributors&gt;&lt;authors&gt;&lt;author&gt;Md, Vasimuddin&lt;/author&gt;&lt;author&gt;Misra, Sanchit&lt;/author&gt;&lt;author&gt;Li, Heng&lt;/author&gt;&lt;author&gt;Aluru, Srinivas&lt;/author&gt;&lt;/authors&gt;&lt;/contributors&gt;&lt;titles&gt;&lt;title&gt;Efficient architecture-aware acceleration of BWA-MEM for multicore systems&lt;/title&gt;&lt;secondary-title&gt;Proceedings - 2019 IEEE 33rd International Parallel and Distributed Processing Symposium, IPDPS 2019&lt;/secondary-title&gt;&lt;/titles&gt;&lt;periodical&gt;&lt;full-title&gt;Proceedings - 2019 IEEE 33rd International Parallel and Distributed Processing Symposium, IPDPS 2019&lt;/full-title&gt;&lt;/periodical&gt;&lt;pages&gt;314-324&lt;/pages&gt;&lt;keywords&gt;&lt;keyword&gt;Acceleration&lt;/keyword&gt;&lt;keyword&gt;Architecture aware implementation&lt;/keyword&gt;&lt;keyword&gt;BWA&lt;/keyword&gt;&lt;keyword&gt;Multicore CPU&lt;/keyword&gt;&lt;keyword&gt;Sequence mapping&lt;/keyword&gt;&lt;/keywords&gt;&lt;dates&gt;&lt;year&gt;2019&lt;/year&gt;&lt;pub-dates&gt;&lt;date&gt;2019/5//&lt;/date&gt;&lt;/pub-dates&gt;&lt;/dates&gt;&lt;publisher&gt;Institute of Electrical and Electronics Engineers Inc.&lt;/publisher&gt;&lt;isbn&gt;9781728112466&lt;/isbn&gt;&lt;urls&gt;&lt;/urls&gt;&lt;electronic-resource-num&gt;10.1109/ipdps.2019.00041&lt;/electronic-resource-num&gt;&lt;/record&gt;&lt;/Cite&gt;&lt;/EndNote&gt;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i/>
          <w:iCs/>
          <w:sz w:val="24"/>
          <w:szCs w:val="24"/>
        </w:rPr>
        <w:t>E.</w:t>
      </w:r>
      <w:r>
        <w:rPr>
          <w:rFonts w:hint="eastAsia" w:ascii="Times New Roman" w:hAnsi="Times New Roman" w:cs="Times New Roman"/>
          <w:i/>
          <w:iCs/>
          <w:sz w:val="24"/>
          <w:szCs w:val="24"/>
        </w:rPr>
        <w:t xml:space="preserve"> </w:t>
      </w:r>
      <w:r>
        <w:rPr>
          <w:rFonts w:ascii="Times New Roman" w:hAnsi="Times New Roman" w:cs="Times New Roman"/>
          <w:i/>
          <w:iCs/>
          <w:sz w:val="24"/>
          <w:szCs w:val="24"/>
        </w:rPr>
        <w:t xml:space="preserve">coli </w:t>
      </w:r>
      <w:r>
        <w:rPr>
          <w:rFonts w:ascii="Times New Roman" w:hAnsi="Times New Roman" w:cs="Times New Roman"/>
          <w:sz w:val="24"/>
          <w:szCs w:val="24"/>
        </w:rPr>
        <w:t>genome reference was assembled using Sanger’s sequencing method</w:t>
      </w:r>
      <w:r>
        <w:rPr>
          <w:rFonts w:ascii="Times New Roman" w:hAnsi="Times New Roman" w:eastAsia="宋体" w:cs="Times New Roman"/>
          <w:sz w:val="24"/>
        </w:rPr>
        <w:t xml:space="preserve"> </w:t>
      </w:r>
      <w:r>
        <w:rPr>
          <w:rFonts w:hint="eastAsia" w:ascii="Times New Roman" w:hAnsi="Times New Roman" w:eastAsia="宋体" w:cs="Times New Roman"/>
          <w:sz w:val="24"/>
        </w:rPr>
        <w:t xml:space="preserve">by </w:t>
      </w:r>
      <w:r>
        <w:rPr>
          <w:rFonts w:ascii="Times New Roman" w:hAnsi="Times New Roman" w:eastAsia="宋体" w:cs="Times New Roman"/>
          <w:sz w:val="24"/>
        </w:rPr>
        <w:t>Sangon Biotech</w:t>
      </w:r>
      <w:r>
        <w:rPr>
          <w:rFonts w:ascii="Times New Roman" w:hAnsi="Times New Roman" w:cs="Times New Roman"/>
          <w:sz w:val="24"/>
          <w:szCs w:val="24"/>
        </w:rPr>
        <w:t xml:space="preserve">. Sambamba was used for duplication removal and other reads manipulation </w:t>
      </w:r>
      <w:r>
        <w:fldChar w:fldCharType="begin"/>
      </w:r>
      <w:r>
        <w:rPr>
          <w:rFonts w:ascii="Times New Roman" w:hAnsi="Times New Roman" w:cs="Times New Roman"/>
          <w:sz w:val="24"/>
          <w:szCs w:val="24"/>
        </w:rPr>
        <w:instrText xml:space="preserve">ADDIN EN.CITE &lt;EndNote&gt;&lt;Cite&gt;&lt;Author&gt;Tarasov&lt;/Author&gt;&lt;Year&gt;2015&lt;/Year&gt;&lt;RecNum&gt;14&lt;/RecNum&gt;&lt;DisplayText&gt;(15)&lt;/DisplayText&gt;&lt;record&gt;&lt;rec-number&gt;14&lt;/rec-number&gt;&lt;foreign-keys&gt;&lt;key app="EN" db-id="at9fad5vcrraere2ta7pawp59f05s0ddwapf"&gt;14&lt;/key&gt;&lt;/foreign-keys&gt;&lt;ref-type name="Journal Article"&gt;17&lt;/ref-type&gt;&lt;contributors&gt;&lt;authors&gt;&lt;author&gt;Tarasov, Artem&lt;/author&gt;&lt;author&gt;Vilella, Albert J.&lt;/author&gt;&lt;author&gt;Cuppen, Edwin&lt;/author&gt;&lt;author&gt;Nijman, Isaac J.&lt;/author&gt;&lt;author&gt;Prins, Pjotr&lt;/author&gt;&lt;/authors&gt;&lt;/contributors&gt;&lt;titles&gt;&lt;title&gt;Sambamba: fast processing of NGS alignment formats&lt;/title&gt;&lt;secondary-title&gt;Bioinformatics&lt;/secondary-title&gt;&lt;/titles&gt;&lt;periodical&gt;&lt;full-title&gt;Bioinformatics&lt;/full-title&gt;&lt;/periodical&gt;&lt;pages&gt;2032-2034&lt;/pages&gt;&lt;volume&gt;31&lt;/volume&gt;&lt;number&gt;12&lt;/number&gt;&lt;dates&gt;&lt;year&gt;2015&lt;/year&gt;&lt;pub-dates&gt;&lt;date&gt;2015/6//&lt;/date&gt;&lt;/pub-dates&gt;&lt;/dates&gt;&lt;publisher&gt;Oxford Academic&lt;/publisher&gt;&lt;urls&gt;&lt;related-urls&gt;&lt;url&gt;https://dx.doi.org/10.1093/bioinformatics/btv098&lt;/url&gt;&lt;/related-urls&gt;&lt;/urls&gt;&lt;electronic-resource-num&gt;10.1093/bioinformatics/btv098&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t>). Site and base call information was extracted by a python script get_position_info.py (</w:t>
      </w:r>
      <w:r>
        <w:fldChar w:fldCharType="begin"/>
      </w:r>
      <w:r>
        <w:instrText xml:space="preserve"> HYPERLINK "https://github.com/yaotianran/get_position_info" \t "_blank" \h </w:instrText>
      </w:r>
      <w:r>
        <w:fldChar w:fldCharType="separate"/>
      </w:r>
      <w:r>
        <w:rPr>
          <w:rStyle w:val="9"/>
          <w:rFonts w:ascii="Times New Roman" w:hAnsi="Times New Roman" w:cs="Times New Roman"/>
          <w:sz w:val="24"/>
          <w:szCs w:val="24"/>
        </w:rPr>
        <w:t>https://github.com/yaotianran/get_position_info</w:t>
      </w:r>
      <w:r>
        <w:rPr>
          <w:rStyle w:val="9"/>
          <w:rFonts w:ascii="Times New Roman" w:hAnsi="Times New Roman" w:cs="Times New Roman"/>
          <w:sz w:val="24"/>
          <w:szCs w:val="24"/>
        </w:rPr>
        <w:fldChar w:fldCharType="end"/>
      </w:r>
      <w:r>
        <w:rPr>
          <w:rFonts w:ascii="Times New Roman" w:hAnsi="Times New Roman" w:cs="Times New Roman"/>
          <w:sz w:val="24"/>
          <w:szCs w:val="24"/>
        </w:rPr>
        <w:t>).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The </w:t>
      </w:r>
      <w:r>
        <w:rPr>
          <w:rFonts w:ascii="Times New Roman" w:hAnsi="Times New Roman" w:cs="Times New Roman"/>
          <w:i/>
          <w:iCs/>
          <w:sz w:val="24"/>
          <w:szCs w:val="24"/>
          <w:u w:val="single"/>
        </w:rPr>
        <w:t>mismatch rate</w:t>
      </w:r>
      <w:r>
        <w:rPr>
          <w:rFonts w:ascii="Times New Roman" w:hAnsi="Times New Roman" w:cs="Times New Roman"/>
          <w:sz w:val="24"/>
          <w:szCs w:val="24"/>
        </w:rPr>
        <w:t xml:space="preserve"> of one genome site is defined as the ratio between the mismatch basecalls and the total bases sequenced aligned there. Since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is a haploid microorganism all genome sites were included in the calculation of mismatch rate. For human NA12878 samples, only homozygous </w:t>
      </w:r>
      <w:r>
        <w:rPr>
          <w:rFonts w:ascii="Times New Roman" w:hAnsi="Times New Roman"/>
          <w:sz w:val="24"/>
          <w:szCs w:val="24"/>
        </w:rPr>
        <w:t xml:space="preserve">locus in GIAB variant calls VCF file (GRCh37 4.2.1 version) were </w:t>
      </w:r>
      <w:r>
        <w:rPr>
          <w:rFonts w:ascii="Times New Roman" w:hAnsi="Times New Roman" w:cs="Times New Roman"/>
          <w:sz w:val="24"/>
          <w:szCs w:val="24"/>
        </w:rPr>
        <w:t>included in the calculation</w:t>
      </w:r>
      <w:r>
        <w:t xml:space="preserve"> </w:t>
      </w:r>
      <w:r>
        <w:fldChar w:fldCharType="begin"/>
      </w:r>
      <w:r>
        <w:rPr>
          <w:rFonts w:ascii="Times New Roman" w:hAnsi="Times New Roman"/>
          <w:sz w:val="24"/>
          <w:szCs w:val="24"/>
        </w:rPr>
        <w:instrText xml:space="preserve">ADDIN EN.CITE &lt;EndNote&gt;&lt;Cite ExcludeYear="1"&gt;&lt;Author&gt;https://ftp-trace.ncbi.nlm.nih.gov/ReferenceSamples/giab/release/NA12878_HG001/NISTv4.2.1/GRCh37/&lt;/Author&gt;&lt;RecNum&gt;27&lt;/RecNum&gt;&lt;DisplayText&gt;(16)&lt;/DisplayText&gt;&lt;record&gt;&lt;rec-number&gt;27&lt;/rec-number&gt;&lt;foreign-keys&gt;&lt;key app="EN" db-id="at9fad5vcrraere2ta7pawp59f05s0ddwapf"&gt;27&lt;/key&gt;&lt;/foreign-keys&gt;&lt;ref-type name="Journal Article"&gt;17&lt;/ref-type&gt;&lt;contributors&gt;&lt;authors&gt;&lt;author&gt;https://ftp-trace.ncbi.nlm.nih.gov/ReferenceSamples/giab/release/NA12878_HG001/NISTv4.2.1/GRCh37/&lt;/author&gt;&lt;/authors&gt;&lt;/contributors&gt;&lt;titles&gt;&lt;/titles&gt;&lt;dates&gt;&lt;/dates&gt;&lt;urls&gt;&lt;/urls&gt;&lt;/record&gt;&lt;/Cite&gt;&lt;/EndNote&gt;</w:instrText>
      </w:r>
      <w:r>
        <w:rPr>
          <w:rFonts w:ascii="Times New Roman" w:hAnsi="Times New Roman"/>
          <w:sz w:val="24"/>
          <w:szCs w:val="24"/>
        </w:rPr>
        <w:fldChar w:fldCharType="separate"/>
      </w:r>
      <w:r>
        <w:rPr>
          <w:rFonts w:ascii="Times New Roman" w:hAnsi="Times New Roman"/>
          <w:sz w:val="24"/>
          <w:szCs w:val="24"/>
        </w:rPr>
        <w:t>(16</w:t>
      </w:r>
      <w:r>
        <w:rPr>
          <w:rFonts w:ascii="Times New Roman" w:hAnsi="Times New Roman"/>
          <w:sz w:val="24"/>
          <w:szCs w:val="24"/>
        </w:rPr>
        <w:fldChar w:fldCharType="end"/>
      </w:r>
      <w:r>
        <w:rPr>
          <w:rFonts w:ascii="Times New Roman" w:hAnsi="Times New Roman"/>
          <w:sz w:val="24"/>
          <w:szCs w:val="24"/>
        </w:rPr>
        <w:t>).</w:t>
      </w:r>
      <w:r>
        <w:rPr>
          <w:rFonts w:ascii="Times New Roman" w:hAnsi="Times New Roman" w:cs="Times New Roman"/>
          <w:sz w:val="24"/>
          <w:szCs w:val="24"/>
        </w:rPr>
        <w:t xml:space="preserve">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both"/>
        <w:rPr>
          <w:rFonts w:ascii="Times New Roman" w:hAnsi="Times New Roman"/>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u w:val="single"/>
        </w:rPr>
        <w:t>error rate</w:t>
      </w:r>
      <w:r>
        <w:rPr>
          <w:rFonts w:ascii="Times New Roman" w:hAnsi="Times New Roman" w:cs="Times New Roman"/>
          <w:sz w:val="24"/>
          <w:szCs w:val="24"/>
        </w:rPr>
        <w:t xml:space="preserve"> is defined as the ratio between the erroneous basecalls and the total bases sequenced. For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the sequencing mismatches against the reference </w:t>
      </w:r>
      <w:r>
        <w:rPr>
          <w:rFonts w:hint="eastAsia" w:ascii="Times New Roman" w:hAnsi="Times New Roman" w:cs="Times New Roman"/>
          <w:sz w:val="24"/>
          <w:szCs w:val="24"/>
        </w:rPr>
        <w:t xml:space="preserve">(from Sanger sequencing) </w:t>
      </w:r>
      <w:r>
        <w:rPr>
          <w:rFonts w:ascii="Times New Roman" w:hAnsi="Times New Roman" w:cs="Times New Roman"/>
          <w:sz w:val="24"/>
          <w:szCs w:val="24"/>
        </w:rPr>
        <w:t xml:space="preserve">could come from minor variants, PCR errors during library preparation, and the true sequencing errors. The mutation rate of </w:t>
      </w:r>
      <w:r>
        <w:rPr>
          <w:rFonts w:ascii="Times New Roman" w:hAnsi="Times New Roman" w:cs="Times New Roman"/>
          <w:i/>
          <w:iCs/>
          <w:sz w:val="24"/>
          <w:szCs w:val="24"/>
        </w:rPr>
        <w:t>E. coli</w:t>
      </w:r>
      <w:r>
        <w:rPr>
          <w:rFonts w:ascii="Times New Roman" w:hAnsi="Times New Roman" w:cs="Times New Roman"/>
          <w:sz w:val="24"/>
          <w:szCs w:val="24"/>
        </w:rPr>
        <w:t xml:space="preserve"> has been well documented to be fewer than 1 in 10</w:t>
      </w:r>
      <w:r>
        <w:rPr>
          <w:rFonts w:ascii="Times New Roman" w:hAnsi="Times New Roman" w:cs="Times New Roman"/>
          <w:sz w:val="24"/>
          <w:szCs w:val="24"/>
          <w:vertAlign w:val="superscript"/>
        </w:rPr>
        <w:t>9</w:t>
      </w:r>
      <w:r>
        <w:rPr>
          <w:rFonts w:ascii="Times New Roman" w:hAnsi="Times New Roman" w:cs="Times New Roman"/>
          <w:sz w:val="24"/>
          <w:szCs w:val="24"/>
        </w:rPr>
        <w:t xml:space="preserve"> bases per generation </w:t>
      </w:r>
      <w:r>
        <w:fldChar w:fldCharType="begin"/>
      </w:r>
      <w:r>
        <w:rPr>
          <w:rFonts w:ascii="Times New Roman" w:hAnsi="Times New Roman" w:cs="Times New Roman"/>
          <w:sz w:val="24"/>
          <w:szCs w:val="24"/>
        </w:rPr>
        <w:instrText xml:space="preserve">ADDIN EN.CITE &lt;EndNote&gt;&lt;Cite&gt;&lt;Author&gt;Jee&lt;/Author&gt;&lt;Year&gt;2016&lt;/Year&gt;&lt;RecNum&gt;26&lt;/RecNum&gt;&lt;DisplayText&gt;(17)&lt;/DisplayText&gt;&lt;record&gt;&lt;rec-number&gt;26&lt;/rec-number&gt;&lt;foreign-keys&gt;&lt;key app="EN" db-id="at9fad5vcrraere2ta7pawp59f05s0ddwapf"&gt;26&lt;/key&gt;&lt;/foreign-keys&gt;&lt;ref-type name="Journal Article"&gt;17&lt;/ref-type&gt;&lt;contributors&gt;&lt;authors&gt;&lt;author&gt;Jee, Justin&lt;/author&gt;&lt;author&gt;Rasouly, Aviram&lt;/author&gt;&lt;author&gt;Shamovsky, Ilya&lt;/author&gt;&lt;author&gt;Akivis, Yonatan&lt;/author&gt;&lt;author&gt;R. Steinman, Susan&lt;/author&gt;&lt;author&gt;Mishra, Bud&lt;/author&gt;&lt;author&gt;Nudler, Evgeny&lt;/author&gt;&lt;/authors&gt;&lt;/contributors&gt;&lt;titles&gt;&lt;title&gt;Rates and mechanisms of bacterial mutagenesis from maximum-depth sequencing&lt;/title&gt;&lt;secondary-title&gt;Nature&lt;/secondary-title&gt;&lt;/titles&gt;&lt;periodical&gt;&lt;full-title&gt;Nature&lt;/full-title&gt;&lt;/periodical&gt;&lt;pages&gt;693-696&lt;/pages&gt;&lt;volume&gt;534&lt;/volume&gt;&lt;number&gt;7609&lt;/number&gt;&lt;dates&gt;&lt;year&gt;2016&lt;/year&gt;&lt;pub-dates&gt;&lt;date&gt;2016/06/01&lt;/date&gt;&lt;/pub-dates&gt;&lt;/dates&gt;&lt;isbn&gt;1476-4687&lt;/isbn&gt;&lt;urls&gt;&lt;related-urls&gt;&lt;url&gt;https://doi.org/10.1038/nature18313&lt;/url&gt;&lt;/related-urls&gt;&lt;/urls&gt;&lt;electronic-resource-num&gt;10.1038/nature18313&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t>). The high-fidelity polymerases used in library preparation introduces ~4 in 10</w:t>
      </w:r>
      <w:r>
        <w:rPr>
          <w:rFonts w:ascii="Times New Roman" w:hAnsi="Times New Roman" w:cs="Times New Roman"/>
          <w:sz w:val="24"/>
          <w:szCs w:val="24"/>
          <w:vertAlign w:val="superscript"/>
        </w:rPr>
        <w:t>6</w:t>
      </w:r>
      <w:r>
        <w:rPr>
          <w:rFonts w:ascii="Times New Roman" w:hAnsi="Times New Roman" w:cs="Times New Roman"/>
          <w:sz w:val="24"/>
          <w:szCs w:val="24"/>
        </w:rPr>
        <w:t xml:space="preserve"> bases </w:t>
      </w:r>
      <w:r>
        <w:fldChar w:fldCharType="begin"/>
      </w:r>
      <w:r>
        <w:rPr>
          <w:rFonts w:ascii="Times New Roman" w:hAnsi="Times New Roman" w:cs="Times New Roman"/>
          <w:sz w:val="24"/>
          <w:szCs w:val="24"/>
        </w:rPr>
        <w:instrText xml:space="preserve">ADDIN EN.CITE &lt;EndNote&gt;&lt;Cite&gt;&lt;Author&gt;Kinde&lt;/Author&gt;&lt;Year&gt;2011&lt;/Year&gt;&lt;RecNum&gt;28&lt;/RecNum&gt;&lt;DisplayText&gt;(18)&lt;/DisplayText&gt;&lt;record&gt;&lt;rec-number&gt;28&lt;/rec-number&gt;&lt;foreign-keys&gt;&lt;key app="EN" db-id="at9fad5vcrraere2ta7pawp59f05s0ddwapf"&gt;28&lt;/key&gt;&lt;/foreign-keys&gt;&lt;ref-type name="Journal Article"&gt;17&lt;/ref-type&gt;&lt;contributors&gt;&lt;authors&gt;&lt;author&gt;Kinde, Isaac&lt;/author&gt;&lt;author&gt;Wu, Jian&lt;/author&gt;&lt;author&gt;Papadopoulos, Nick&lt;/author&gt;&lt;author&gt;Kinzler, Kenneth W.&lt;/author&gt;&lt;author&gt;Vogelstein, Bert&lt;/author&gt;&lt;/authors&gt;&lt;/contributors&gt;&lt;titles&gt;&lt;title&gt;Detection and quantification of rare mutations with massively parallel sequencing&lt;/title&gt;&lt;secondary-title&gt;Proceedings of the National Academy of Sciences&lt;/secondary-title&gt;&lt;/titles&gt;&lt;periodical&gt;&lt;full-title&gt;Proceedings of the National Academy of Sciences&lt;/full-title&gt;&lt;/periodical&gt;&lt;pages&gt;9530-9535&lt;/pages&gt;&lt;volume&gt;108&lt;/volume&gt;&lt;number&gt;23&lt;/number&gt;&lt;dates&gt;&lt;year&gt;2011&lt;/year&gt;&lt;pub-dates&gt;&lt;date&gt;2011/06/07&lt;/date&gt;&lt;/pub-dates&gt;&lt;/dates&gt;&lt;publisher&gt;Proceedings of the National Academy of Sciences&lt;/publisher&gt;&lt;urls&gt;&lt;related-urls&gt;&lt;url&gt;https://doi.org/10.1073/pnas.1105422108&lt;/url&gt;&lt;/related-urls&gt;&lt;/urls&gt;&lt;electronic-resource-num&gt;10.1073/pnas.1105422108&lt;/electronic-resource-num&gt;&lt;access-date&gt;2025/01/06&lt;/access-date&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t xml:space="preserve">). Thus, their combined contribution of mismatches was estimated to be </w:t>
      </w:r>
      <w:r>
        <w:rPr>
          <w:rFonts w:hint="eastAsia" w:ascii="Times New Roman" w:hAnsi="Times New Roman" w:cs="Times New Roman"/>
          <w:sz w:val="24"/>
          <w:szCs w:val="24"/>
        </w:rPr>
        <w:t xml:space="preserve">on the scale of or less than </w:t>
      </w:r>
      <w:r>
        <w:rPr>
          <w:rFonts w:ascii="Times New Roman" w:hAnsi="Times New Roman" w:cs="Times New Roman"/>
          <w:sz w:val="24"/>
          <w:szCs w:val="24"/>
        </w:rPr>
        <w:t xml:space="preserve">0.01%, which is </w:t>
      </w:r>
      <w:r>
        <w:rPr>
          <w:rFonts w:hint="eastAsia" w:ascii="Times New Roman" w:hAnsi="Times New Roman" w:cs="Times New Roman"/>
          <w:sz w:val="24"/>
          <w:szCs w:val="24"/>
        </w:rPr>
        <w:t xml:space="preserve">much smaller </w:t>
      </w:r>
      <w:r>
        <w:rPr>
          <w:rFonts w:ascii="Times New Roman" w:hAnsi="Times New Roman" w:cs="Times New Roman"/>
          <w:sz w:val="24"/>
          <w:szCs w:val="24"/>
        </w:rPr>
        <w:t xml:space="preserve">than sequencing errors of current commercial DNA sequencers. Thus, the mismatch rate can be viewed as predominantly from sequencing errors, and was used as the sequencing error rate directly. For human NA12878 samples, the </w:t>
      </w:r>
      <w:r>
        <w:rPr>
          <w:rFonts w:hint="eastAsia" w:ascii="Times New Roman" w:hAnsi="Times New Roman" w:cs="Times New Roman"/>
          <w:sz w:val="24"/>
          <w:szCs w:val="24"/>
        </w:rPr>
        <w:t xml:space="preserve">difference between the cell line genome and the reference is unknown. Thus, a mismatch rate can be </w:t>
      </w:r>
      <w:r>
        <w:rPr>
          <w:rFonts w:ascii="Times New Roman" w:hAnsi="Times New Roman" w:cs="Times New Roman"/>
          <w:sz w:val="24"/>
          <w:szCs w:val="24"/>
        </w:rPr>
        <w:t>calculated</w:t>
      </w:r>
      <w:r>
        <w:rPr>
          <w:rFonts w:hint="eastAsia" w:ascii="Times New Roman" w:hAnsi="Times New Roman" w:cs="Times New Roman"/>
          <w:sz w:val="24"/>
          <w:szCs w:val="24"/>
        </w:rPr>
        <w:t xml:space="preserve"> using the measured sequence while </w:t>
      </w:r>
      <w:r>
        <w:rPr>
          <w:rFonts w:ascii="Times New Roman" w:hAnsi="Times New Roman" w:cs="Times New Roman"/>
          <w:sz w:val="24"/>
          <w:szCs w:val="24"/>
        </w:rPr>
        <w:t>the</w:t>
      </w:r>
      <w:r>
        <w:rPr>
          <w:rFonts w:hint="eastAsia" w:ascii="Times New Roman" w:hAnsi="Times New Roman" w:cs="Times New Roman"/>
          <w:sz w:val="24"/>
          <w:szCs w:val="24"/>
        </w:rPr>
        <w:t xml:space="preserve"> absolute error rate is unknown.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For T7 and NovaSeq samples</w:t>
      </w:r>
      <w:r>
        <w:rPr>
          <w:rFonts w:hint="eastAsia" w:ascii="Times New Roman" w:hAnsi="Times New Roman" w:cs="Times New Roman"/>
          <w:sz w:val="24"/>
          <w:szCs w:val="24"/>
        </w:rPr>
        <w:t>,</w:t>
      </w:r>
      <w:r>
        <w:rPr>
          <w:rFonts w:ascii="Times New Roman" w:hAnsi="Times New Roman" w:cs="Times New Roman"/>
          <w:sz w:val="24"/>
          <w:szCs w:val="24"/>
        </w:rPr>
        <w:t xml:space="preserve"> we </w:t>
      </w:r>
      <w:r>
        <w:rPr>
          <w:rFonts w:hint="eastAsia" w:ascii="Times New Roman" w:hAnsi="Times New Roman" w:cs="Times New Roman"/>
          <w:sz w:val="24"/>
          <w:szCs w:val="24"/>
        </w:rPr>
        <w:t xml:space="preserve">picked the </w:t>
      </w:r>
      <w:r>
        <w:rPr>
          <w:rFonts w:ascii="Times New Roman" w:hAnsi="Times New Roman" w:cs="Times New Roman"/>
          <w:sz w:val="24"/>
          <w:szCs w:val="24"/>
        </w:rPr>
        <w:t>one of two with less overall mismatch rate</w:t>
      </w:r>
      <w:r>
        <w:rPr>
          <w:rFonts w:hint="eastAsia" w:ascii="Times New Roman" w:hAnsi="Times New Roman" w:cs="Times New Roman"/>
          <w:sz w:val="24"/>
          <w:szCs w:val="24"/>
        </w:rPr>
        <w:t xml:space="preserve"> for</w:t>
      </w:r>
      <w:r>
        <w:rPr>
          <w:rFonts w:ascii="Times New Roman" w:hAnsi="Times New Roman" w:cs="Times New Roman"/>
          <w:sz w:val="24"/>
          <w:szCs w:val="24"/>
        </w:rPr>
        <w:t xml:space="preserve"> further analysis. For </w:t>
      </w:r>
      <w:r>
        <w:rPr>
          <w:rFonts w:hint="eastAsia" w:ascii="Times New Roman" w:hAnsi="Times New Roman" w:cs="Times New Roman"/>
          <w:sz w:val="24"/>
          <w:szCs w:val="24"/>
        </w:rPr>
        <w:t>EVO</w:t>
      </w:r>
      <w:r>
        <w:rPr>
          <w:rFonts w:ascii="Times New Roman" w:hAnsi="Times New Roman" w:cs="Times New Roman"/>
          <w:sz w:val="24"/>
          <w:szCs w:val="24"/>
        </w:rPr>
        <w:t xml:space="preserve"> samples we merged the aligned bam files of six samples</w:t>
      </w:r>
      <w:r>
        <w:rPr>
          <w:rFonts w:hint="eastAsia" w:ascii="Times New Roman" w:hAnsi="Times New Roman" w:cs="Times New Roman"/>
          <w:sz w:val="24"/>
          <w:szCs w:val="24"/>
        </w:rPr>
        <w:t xml:space="preserve"> to obtain an average result</w:t>
      </w:r>
      <w:r>
        <w:rPr>
          <w:rFonts w:ascii="Times New Roman" w:hAnsi="Times New Roman" w:cs="Times New Roman"/>
          <w:sz w:val="24"/>
          <w:szCs w:val="24"/>
        </w:rPr>
        <w:t xml:space="preserve"> and use GATK to down-sample to approximately same coverage as </w:t>
      </w:r>
      <w:r>
        <w:rPr>
          <w:rFonts w:hint="eastAsia" w:ascii="Times New Roman" w:hAnsi="Times New Roman" w:cs="Times New Roman"/>
          <w:sz w:val="24"/>
          <w:szCs w:val="24"/>
        </w:rPr>
        <w:t xml:space="preserve">those from </w:t>
      </w:r>
      <w:r>
        <w:rPr>
          <w:rFonts w:ascii="Times New Roman" w:hAnsi="Times New Roman" w:cs="Times New Roman"/>
          <w:sz w:val="24"/>
          <w:szCs w:val="24"/>
        </w:rPr>
        <w:t>NovaSeq and T7.</w:t>
      </w:r>
    </w:p>
    <w:p>
      <w:pPr>
        <w:ind w:firstLine="420"/>
        <w:jc w:val="both"/>
        <w:rPr>
          <w:rFonts w:ascii="Times New Roman" w:hAnsi="Times New Roman" w:cs="Times New Roman"/>
          <w:sz w:val="24"/>
          <w:szCs w:val="24"/>
        </w:rPr>
      </w:pP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 xml:space="preserve">Results and Discussion </w:t>
      </w:r>
    </w:p>
    <w:p>
      <w:pPr>
        <w:pStyle w:val="3"/>
        <w:spacing w:before="0" w:after="0" w:line="240" w:lineRule="auto"/>
        <w:rPr>
          <w:rFonts w:ascii="Times New Roman" w:hAnsi="Times New Roman" w:cs="Times New Roman"/>
          <w:sz w:val="24"/>
          <w:szCs w:val="24"/>
        </w:rPr>
      </w:pPr>
      <w:r>
        <w:rPr>
          <w:rFonts w:ascii="Times New Roman" w:hAnsi="Times New Roman" w:cs="Times New Roman"/>
          <w:sz w:val="24"/>
          <w:szCs w:val="24"/>
        </w:rPr>
        <w:t xml:space="preserve">Overall error rates </w:t>
      </w:r>
    </w:p>
    <w:p>
      <w:pPr>
        <w:ind w:firstLine="420"/>
        <w:jc w:val="both"/>
        <w:rPr>
          <w:rFonts w:ascii="Times New Roman" w:hAnsi="Times New Roman" w:cs="Times New Roman"/>
          <w:sz w:val="24"/>
          <w:szCs w:val="24"/>
        </w:rPr>
      </w:pPr>
      <w:r>
        <w:rPr>
          <w:rFonts w:ascii="Times New Roman" w:hAnsi="Times New Roman" w:cs="Times New Roman"/>
          <w:i/>
          <w:iCs/>
          <w:sz w:val="24"/>
          <w:szCs w:val="24"/>
        </w:rPr>
        <w:t>E. coli</w:t>
      </w:r>
      <w:r>
        <w:rPr>
          <w:rFonts w:ascii="Times New Roman" w:hAnsi="Times New Roman" w:cs="Times New Roman"/>
          <w:sz w:val="24"/>
          <w:szCs w:val="24"/>
        </w:rPr>
        <w:t xml:space="preserve"> samples were all sequenced or down-sampled to ~1600</w:t>
      </w:r>
      <w:r>
        <w:rPr>
          <w:rFonts w:ascii="Times New Roman" w:hAnsi="Times New Roman" w:eastAsia="宋体" w:cs="Times New Roman"/>
          <w:sz w:val="24"/>
          <w:szCs w:val="24"/>
        </w:rPr>
        <w:t>×</w:t>
      </w:r>
      <w:r>
        <w:rPr>
          <w:rFonts w:ascii="Times New Roman" w:hAnsi="Times New Roman" w:cs="Times New Roman"/>
          <w:sz w:val="24"/>
          <w:szCs w:val="24"/>
        </w:rPr>
        <w:t>. The whole genome of human NA12878 was sequenced at ~30</w:t>
      </w:r>
      <w:r>
        <w:rPr>
          <w:rFonts w:ascii="Times New Roman" w:hAnsi="Times New Roman" w:eastAsia="宋体" w:cs="Times New Roman"/>
          <w:sz w:val="24"/>
          <w:szCs w:val="24"/>
        </w:rPr>
        <w:t xml:space="preserve">×. </w:t>
      </w:r>
      <w:r>
        <w:rPr>
          <w:rFonts w:ascii="Times New Roman" w:hAnsi="Times New Roman" w:cs="Times New Roman"/>
          <w:sz w:val="24"/>
          <w:szCs w:val="24"/>
        </w:rPr>
        <w:t xml:space="preserve">After receiving the data from the sequencing service provider, the data was fed to our bioinformatics pipeline including an additional cleaning step as described in the Materials and Methods section. In this way, all data were cleaned with the same standard so that a fair comparison can be made. The frequently used </w:t>
      </w:r>
      <w:r>
        <w:rPr>
          <w:rFonts w:hint="eastAsia" w:ascii="Times New Roman" w:hAnsi="Times New Roman" w:cs="Times New Roman"/>
          <w:sz w:val="24"/>
          <w:szCs w:val="24"/>
        </w:rPr>
        <w:t xml:space="preserve">sequencing </w:t>
      </w:r>
      <w:r>
        <w:rPr>
          <w:rFonts w:ascii="Times New Roman" w:hAnsi="Times New Roman" w:cs="Times New Roman"/>
          <w:sz w:val="24"/>
          <w:szCs w:val="24"/>
        </w:rPr>
        <w:t xml:space="preserve">quality control parameters are listed in Tables 1 and 2 for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and human NA12878 samples, respectively. </w:t>
      </w:r>
    </w:p>
    <w:p>
      <w:pPr>
        <w:ind w:firstLine="420"/>
        <w:jc w:val="both"/>
        <w:rPr>
          <w:rFonts w:ascii="Times New Roman" w:hAnsi="Times New Roman" w:cs="Times New Roman"/>
          <w:sz w:val="24"/>
          <w:szCs w:val="24"/>
        </w:rPr>
      </w:pPr>
      <w:r>
        <w:rPr>
          <w:rFonts w:ascii="Times New Roman" w:hAnsi="Times New Roman" w:cs="Times New Roman"/>
          <w:sz w:val="24"/>
          <w:szCs w:val="24"/>
        </w:rPr>
        <w:t>For</w:t>
      </w:r>
      <w:r>
        <w:rPr>
          <w:rFonts w:ascii="Times New Roman" w:hAnsi="Times New Roman" w:cs="Times New Roman"/>
          <w:i/>
          <w:iCs/>
          <w:sz w:val="24"/>
          <w:szCs w:val="24"/>
        </w:rPr>
        <w:t xml:space="preserve"> 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the raw Q30 values from the vendor for all 3 instruments are above 90%. </w:t>
      </w:r>
      <w:r>
        <w:rPr>
          <w:rFonts w:hint="eastAsia" w:ascii="Times New Roman" w:hAnsi="Times New Roman" w:cs="Times New Roman"/>
          <w:sz w:val="24"/>
          <w:szCs w:val="24"/>
        </w:rPr>
        <w:t>A</w:t>
      </w:r>
      <w:r>
        <w:rPr>
          <w:rFonts w:ascii="Times New Roman" w:hAnsi="Times New Roman" w:cs="Times New Roman"/>
          <w:sz w:val="24"/>
          <w:szCs w:val="24"/>
        </w:rPr>
        <w:t>fter our bioinformatic pipeline filtration</w:t>
      </w:r>
      <w:r>
        <w:rPr>
          <w:rFonts w:hint="eastAsia" w:ascii="Times New Roman" w:hAnsi="Times New Roman" w:cs="Times New Roman"/>
          <w:sz w:val="24"/>
          <w:szCs w:val="24"/>
        </w:rPr>
        <w:t>,</w:t>
      </w:r>
      <w:r>
        <w:rPr>
          <w:rFonts w:ascii="Times New Roman" w:hAnsi="Times New Roman" w:cs="Times New Roman"/>
          <w:sz w:val="24"/>
          <w:szCs w:val="24"/>
        </w:rPr>
        <w:t xml:space="preserve"> </w:t>
      </w:r>
      <w:r>
        <w:rPr>
          <w:rFonts w:hint="eastAsia" w:ascii="Times New Roman" w:hAnsi="Times New Roman" w:cs="Times New Roman"/>
          <w:sz w:val="24"/>
          <w:szCs w:val="24"/>
        </w:rPr>
        <w:t>a</w:t>
      </w:r>
      <w:r>
        <w:rPr>
          <w:rFonts w:ascii="Times New Roman" w:hAnsi="Times New Roman" w:cs="Times New Roman"/>
          <w:sz w:val="24"/>
          <w:szCs w:val="24"/>
        </w:rPr>
        <w:t>ll data show excellent quality (Q30&gt;95%) except that DNBSeq</w:t>
      </w:r>
      <w:r>
        <w:rPr>
          <w:rFonts w:hint="eastAsia" w:ascii="Times New Roman" w:hAnsi="Times New Roman" w:cs="Times New Roman"/>
          <w:sz w:val="24"/>
          <w:szCs w:val="24"/>
        </w:rPr>
        <w:t xml:space="preserve">-T7 shows a </w:t>
      </w:r>
      <w:r>
        <w:rPr>
          <w:rFonts w:ascii="Times New Roman" w:hAnsi="Times New Roman" w:cs="Times New Roman"/>
          <w:sz w:val="24"/>
          <w:szCs w:val="24"/>
        </w:rPr>
        <w:t>slightly</w:t>
      </w:r>
      <w:r>
        <w:rPr>
          <w:rFonts w:hint="eastAsia" w:ascii="Times New Roman" w:hAnsi="Times New Roman" w:cs="Times New Roman"/>
          <w:sz w:val="24"/>
          <w:szCs w:val="24"/>
        </w:rPr>
        <w:t xml:space="preserve"> lower </w:t>
      </w:r>
      <w:r>
        <w:rPr>
          <w:rFonts w:ascii="Times New Roman" w:hAnsi="Times New Roman" w:cs="Times New Roman"/>
          <w:sz w:val="24"/>
          <w:szCs w:val="24"/>
        </w:rPr>
        <w:t>clean reads rate</w:t>
      </w:r>
      <w:r>
        <w:rPr>
          <w:rFonts w:hint="eastAsia" w:ascii="Times New Roman" w:hAnsi="Times New Roman" w:cs="Times New Roman"/>
          <w:sz w:val="24"/>
          <w:szCs w:val="24"/>
        </w:rPr>
        <w:t xml:space="preserve"> (Table 1)</w:t>
      </w:r>
      <w:r>
        <w:rPr>
          <w:rFonts w:ascii="Times New Roman" w:hAnsi="Times New Roman" w:cs="Times New Roman"/>
          <w:sz w:val="24"/>
          <w:szCs w:val="24"/>
        </w:rPr>
        <w:t xml:space="preserve">. The mismatch rates fall in the 0.05~0.1% range, with </w:t>
      </w:r>
      <w:r>
        <w:rPr>
          <w:rFonts w:hint="eastAsia" w:ascii="Times New Roman" w:hAnsi="Times New Roman" w:cs="Times New Roman"/>
          <w:sz w:val="24"/>
          <w:szCs w:val="24"/>
        </w:rPr>
        <w:t>EVO</w:t>
      </w:r>
      <w:r>
        <w:rPr>
          <w:rFonts w:ascii="Times New Roman" w:hAnsi="Times New Roman" w:cs="Times New Roman"/>
          <w:sz w:val="24"/>
          <w:szCs w:val="24"/>
        </w:rPr>
        <w:t xml:space="preserve"> (0.065%), follow by DNBSeq-T7 (0.068%), and NovaSeq (0.091%). These values are consistent with the literature reports. </w:t>
      </w:r>
    </w:p>
    <w:p>
      <w:pPr>
        <w:ind w:firstLine="420"/>
        <w:jc w:val="both"/>
        <w:rPr>
          <w:rFonts w:ascii="Times New Roman" w:hAnsi="Times New Roman" w:cs="Times New Roman"/>
          <w:sz w:val="24"/>
          <w:szCs w:val="24"/>
        </w:rPr>
      </w:pPr>
      <w:r>
        <w:rPr>
          <w:rFonts w:hint="eastAsia" w:ascii="Times New Roman" w:hAnsi="Times New Roman" w:cs="Times New Roman"/>
          <w:sz w:val="24"/>
          <w:szCs w:val="24"/>
        </w:rPr>
        <w:t>T</w:t>
      </w:r>
      <w:r>
        <w:rPr>
          <w:rFonts w:ascii="Times New Roman" w:hAnsi="Times New Roman" w:cs="Times New Roman"/>
          <w:sz w:val="24"/>
          <w:szCs w:val="24"/>
        </w:rPr>
        <w:t xml:space="preserve">he </w:t>
      </w:r>
      <w:r>
        <w:rPr>
          <w:rFonts w:hint="eastAsia" w:ascii="Times New Roman" w:hAnsi="Times New Roman" w:cs="Times New Roman"/>
          <w:sz w:val="24"/>
          <w:szCs w:val="24"/>
        </w:rPr>
        <w:t xml:space="preserve">subsequent </w:t>
      </w:r>
      <w:r>
        <w:rPr>
          <w:rFonts w:ascii="Times New Roman" w:hAnsi="Times New Roman" w:cs="Times New Roman"/>
          <w:sz w:val="24"/>
          <w:szCs w:val="24"/>
        </w:rPr>
        <w:t>mismatches were used as sequencing errors directly (see Materials and Methods)</w:t>
      </w:r>
      <w:r>
        <w:rPr>
          <w:rFonts w:hint="eastAsia" w:ascii="Times New Roman" w:hAnsi="Times New Roman" w:cs="Times New Roman"/>
          <w:sz w:val="24"/>
          <w:szCs w:val="24"/>
        </w:rPr>
        <w:t xml:space="preserve"> f</w:t>
      </w:r>
      <w:r>
        <w:rPr>
          <w:rFonts w:ascii="Times New Roman" w:hAnsi="Times New Roman" w:cs="Times New Roman"/>
          <w:sz w:val="24"/>
          <w:szCs w:val="24"/>
        </w:rPr>
        <w:t xml:space="preserve">or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 </w:t>
      </w:r>
      <w:r>
        <w:rPr>
          <w:rFonts w:ascii="Times New Roman" w:hAnsi="Times New Roman" w:cs="Times New Roman"/>
          <w:sz w:val="24"/>
          <w:szCs w:val="24"/>
        </w:rPr>
        <w:t xml:space="preserve">samples. All discussions about errors of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 </w:t>
      </w:r>
      <w:r>
        <w:rPr>
          <w:rFonts w:ascii="Times New Roman" w:hAnsi="Times New Roman" w:cs="Times New Roman"/>
          <w:sz w:val="24"/>
          <w:szCs w:val="24"/>
        </w:rPr>
        <w:t>samples are based on the observed mismatches.</w:t>
      </w:r>
    </w:p>
    <w:p>
      <w:pPr>
        <w:ind w:left="640" w:hanging="640"/>
        <w:rPr>
          <w:rFonts w:hint="eastAsia"/>
        </w:rPr>
      </w:pPr>
    </w:p>
    <w:p>
      <w:pPr>
        <w:rPr>
          <w:rFonts w:ascii="Times New Roman" w:hAnsi="Times New Roman" w:cs="Times New Roman"/>
          <w:sz w:val="21"/>
          <w:szCs w:val="21"/>
        </w:rPr>
      </w:pPr>
      <w:r>
        <w:rPr>
          <w:rFonts w:ascii="Times New Roman" w:hAnsi="Times New Roman" w:cs="Times New Roman"/>
          <w:sz w:val="21"/>
          <w:szCs w:val="21"/>
        </w:rPr>
        <w:t xml:space="preserve">Table 1. Sequencing quality of </w:t>
      </w:r>
      <w:r>
        <w:rPr>
          <w:rFonts w:ascii="Times New Roman" w:hAnsi="Times New Roman" w:cs="Times New Roman"/>
          <w:i/>
          <w:iCs/>
          <w:sz w:val="21"/>
          <w:szCs w:val="21"/>
        </w:rPr>
        <w:t>E</w:t>
      </w:r>
      <w:r>
        <w:rPr>
          <w:rFonts w:hint="eastAsia" w:ascii="Times New Roman" w:hAnsi="Times New Roman" w:cs="Times New Roman"/>
          <w:i/>
          <w:iCs/>
          <w:sz w:val="21"/>
          <w:szCs w:val="21"/>
        </w:rPr>
        <w:t>.</w:t>
      </w:r>
      <w:r>
        <w:rPr>
          <w:rFonts w:ascii="Times New Roman" w:hAnsi="Times New Roman" w:cs="Times New Roman"/>
          <w:i/>
          <w:iCs/>
          <w:sz w:val="21"/>
          <w:szCs w:val="21"/>
        </w:rPr>
        <w:t xml:space="preserve"> coli</w:t>
      </w:r>
      <w:r>
        <w:rPr>
          <w:rFonts w:ascii="Times New Roman" w:hAnsi="Times New Roman" w:cs="Times New Roman"/>
          <w:sz w:val="21"/>
          <w:szCs w:val="21"/>
        </w:rPr>
        <w:t xml:space="preserve"> samples. </w:t>
      </w:r>
    </w:p>
    <w:tbl>
      <w:tblPr>
        <w:tblStyle w:val="5"/>
        <w:tblW w:w="9824" w:type="dxa"/>
        <w:tblInd w:w="0" w:type="dxa"/>
        <w:tblLayout w:type="fixed"/>
        <w:tblCellMar>
          <w:top w:w="15" w:type="dxa"/>
          <w:left w:w="108" w:type="dxa"/>
          <w:bottom w:w="0" w:type="dxa"/>
          <w:right w:w="108" w:type="dxa"/>
        </w:tblCellMar>
      </w:tblPr>
      <w:tblGrid>
        <w:gridCol w:w="2127"/>
        <w:gridCol w:w="993"/>
        <w:gridCol w:w="1133"/>
        <w:gridCol w:w="1389"/>
        <w:gridCol w:w="1589"/>
        <w:gridCol w:w="1274"/>
        <w:gridCol w:w="1319"/>
      </w:tblGrid>
      <w:tr>
        <w:tblPrEx>
          <w:tblCellMar>
            <w:top w:w="15" w:type="dxa"/>
            <w:left w:w="108" w:type="dxa"/>
            <w:bottom w:w="0" w:type="dxa"/>
            <w:right w:w="108" w:type="dxa"/>
          </w:tblCellMar>
        </w:tblPrEx>
        <w:trPr>
          <w:trHeight w:val="230" w:hRule="atLeast"/>
        </w:trPr>
        <w:tc>
          <w:tcPr>
            <w:tcW w:w="2126"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Sequencer</w:t>
            </w:r>
          </w:p>
        </w:tc>
        <w:tc>
          <w:tcPr>
            <w:tcW w:w="993"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Raw Q30(%)</w:t>
            </w:r>
          </w:p>
        </w:tc>
        <w:tc>
          <w:tcPr>
            <w:tcW w:w="1133"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Clean Q30 (%)</w:t>
            </w:r>
          </w:p>
        </w:tc>
        <w:tc>
          <w:tcPr>
            <w:tcW w:w="1389"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Clean reads rate (%)</w:t>
            </w:r>
          </w:p>
        </w:tc>
        <w:tc>
          <w:tcPr>
            <w:tcW w:w="1589"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Mapping rate (%)</w:t>
            </w:r>
          </w:p>
        </w:tc>
        <w:tc>
          <w:tcPr>
            <w:tcW w:w="1274"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Mismatch (%)</w:t>
            </w:r>
          </w:p>
        </w:tc>
        <w:tc>
          <w:tcPr>
            <w:tcW w:w="1319"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Mean depth</w:t>
            </w:r>
          </w:p>
        </w:tc>
      </w:tr>
      <w:tr>
        <w:tblPrEx>
          <w:tblCellMar>
            <w:top w:w="15" w:type="dxa"/>
            <w:left w:w="108" w:type="dxa"/>
            <w:bottom w:w="0" w:type="dxa"/>
            <w:right w:w="108" w:type="dxa"/>
          </w:tblCellMar>
        </w:tblPrEx>
        <w:trPr>
          <w:trHeight w:val="230" w:hRule="atLeast"/>
        </w:trPr>
        <w:tc>
          <w:tcPr>
            <w:tcW w:w="2126" w:type="dxa"/>
            <w:tcBorders>
              <w:top w:val="single" w:color="000000" w:sz="8" w:space="0"/>
            </w:tcBorders>
            <w:shd w:val="clear" w:color="auto" w:fill="auto"/>
            <w:vAlign w:val="center"/>
          </w:tcPr>
          <w:p>
            <w:pPr>
              <w:jc w:val="center"/>
              <w:rPr>
                <w:rFonts w:ascii="Times New Roman" w:hAnsi="Times New Roman" w:eastAsia="宋体" w:cs="Times New Roman"/>
                <w:sz w:val="21"/>
                <w:szCs w:val="21"/>
                <w:vertAlign w:val="superscript"/>
              </w:rPr>
            </w:pPr>
            <w:r>
              <w:rPr>
                <w:rFonts w:hint="eastAsia" w:ascii="Times New Roman" w:hAnsi="Times New Roman" w:eastAsia="宋体" w:cs="Times New Roman"/>
                <w:color w:val="000000" w:themeColor="text1"/>
                <w:kern w:val="2"/>
                <w:sz w:val="21"/>
                <w:szCs w:val="21"/>
                <w14:textFill>
                  <w14:solidFill>
                    <w14:schemeClr w14:val="tx1"/>
                  </w14:solidFill>
                </w14:textFill>
              </w:rPr>
              <w:t>EVO</w:t>
            </w:r>
            <w:r>
              <w:rPr>
                <w:rFonts w:hint="eastAsia" w:ascii="Times New Roman" w:hAnsi="Times New Roman" w:eastAsia="宋体" w:cs="Times New Roman"/>
                <w:color w:val="000000" w:themeColor="text1"/>
                <w:kern w:val="2"/>
                <w:sz w:val="21"/>
                <w:szCs w:val="21"/>
                <w:shd w:val="clear" w:color="FFFFFF" w:fill="D9D9D9"/>
                <w:vertAlign w:val="superscript"/>
                <w14:textFill>
                  <w14:solidFill>
                    <w14:schemeClr w14:val="tx1"/>
                  </w14:solidFill>
                </w14:textFill>
              </w:rPr>
              <w:t>1</w:t>
            </w:r>
          </w:p>
        </w:tc>
        <w:tc>
          <w:tcPr>
            <w:tcW w:w="993"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92.7</w:t>
            </w:r>
          </w:p>
        </w:tc>
        <w:tc>
          <w:tcPr>
            <w:tcW w:w="1133"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95.</w:t>
            </w:r>
            <w:r>
              <w:rPr>
                <w:rFonts w:ascii="Times New Roman" w:hAnsi="Times New Roman" w:eastAsia="宋体" w:cs="Times New Roman"/>
                <w:color w:val="000000" w:themeColor="text1"/>
                <w:kern w:val="2"/>
                <w:sz w:val="21"/>
                <w:szCs w:val="21"/>
                <w:lang w:val="zh-CN"/>
                <w14:textFill>
                  <w14:solidFill>
                    <w14:schemeClr w14:val="tx1"/>
                  </w14:solidFill>
                </w14:textFill>
              </w:rPr>
              <w:t>9</w:t>
            </w:r>
          </w:p>
        </w:tc>
        <w:tc>
          <w:tcPr>
            <w:tcW w:w="1389"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91.</w:t>
            </w:r>
            <w:r>
              <w:rPr>
                <w:rFonts w:ascii="Times New Roman" w:hAnsi="Times New Roman" w:eastAsia="宋体" w:cs="Times New Roman"/>
                <w:color w:val="000000" w:themeColor="text1"/>
                <w:kern w:val="2"/>
                <w:sz w:val="21"/>
                <w:szCs w:val="21"/>
                <w:lang w:val="zh-CN"/>
                <w14:textFill>
                  <w14:solidFill>
                    <w14:schemeClr w14:val="tx1"/>
                  </w14:solidFill>
                </w14:textFill>
              </w:rPr>
              <w:t>3</w:t>
            </w:r>
          </w:p>
        </w:tc>
        <w:tc>
          <w:tcPr>
            <w:tcW w:w="1589"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100.0</w:t>
            </w:r>
          </w:p>
        </w:tc>
        <w:tc>
          <w:tcPr>
            <w:tcW w:w="1274"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0.0652</w:t>
            </w:r>
          </w:p>
        </w:tc>
        <w:tc>
          <w:tcPr>
            <w:tcW w:w="1319"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1596</w:t>
            </w:r>
          </w:p>
        </w:tc>
      </w:tr>
      <w:tr>
        <w:tblPrEx>
          <w:tblCellMar>
            <w:top w:w="15" w:type="dxa"/>
            <w:left w:w="108" w:type="dxa"/>
            <w:bottom w:w="0" w:type="dxa"/>
            <w:right w:w="108" w:type="dxa"/>
          </w:tblCellMar>
        </w:tblPrEx>
        <w:trPr>
          <w:trHeight w:val="230" w:hRule="atLeast"/>
        </w:trPr>
        <w:tc>
          <w:tcPr>
            <w:tcW w:w="2126"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NovaSeq 6000</w:t>
            </w:r>
            <w:r>
              <w:rPr>
                <w:rFonts w:hint="eastAsia" w:ascii="Times New Roman" w:hAnsi="Times New Roman" w:eastAsia="宋体" w:cs="Times New Roman"/>
                <w:color w:val="000000" w:themeColor="text1"/>
                <w:kern w:val="2"/>
                <w:sz w:val="21"/>
                <w:szCs w:val="21"/>
                <w:vertAlign w:val="superscript"/>
                <w14:textFill>
                  <w14:solidFill>
                    <w14:schemeClr w14:val="tx1"/>
                  </w14:solidFill>
                </w14:textFill>
              </w:rPr>
              <w:t>2</w:t>
            </w:r>
          </w:p>
        </w:tc>
        <w:tc>
          <w:tcPr>
            <w:tcW w:w="993"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93.4</w:t>
            </w:r>
          </w:p>
        </w:tc>
        <w:tc>
          <w:tcPr>
            <w:tcW w:w="1133"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95.3</w:t>
            </w:r>
          </w:p>
        </w:tc>
        <w:tc>
          <w:tcPr>
            <w:tcW w:w="1389"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91.</w:t>
            </w:r>
            <w:r>
              <w:rPr>
                <w:rFonts w:ascii="Times New Roman" w:hAnsi="Times New Roman" w:eastAsia="宋体" w:cs="Times New Roman"/>
                <w:color w:val="000000" w:themeColor="text1"/>
                <w:kern w:val="2"/>
                <w:sz w:val="21"/>
                <w:szCs w:val="21"/>
                <w:lang w:val="zh-CN"/>
                <w14:textFill>
                  <w14:solidFill>
                    <w14:schemeClr w14:val="tx1"/>
                  </w14:solidFill>
                </w14:textFill>
              </w:rPr>
              <w:t>9</w:t>
            </w:r>
          </w:p>
        </w:tc>
        <w:tc>
          <w:tcPr>
            <w:tcW w:w="1589"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100.0</w:t>
            </w:r>
          </w:p>
        </w:tc>
        <w:tc>
          <w:tcPr>
            <w:tcW w:w="1274"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0.0912</w:t>
            </w:r>
          </w:p>
        </w:tc>
        <w:tc>
          <w:tcPr>
            <w:tcW w:w="1319"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1601</w:t>
            </w:r>
          </w:p>
        </w:tc>
      </w:tr>
      <w:tr>
        <w:tblPrEx>
          <w:tblCellMar>
            <w:top w:w="15" w:type="dxa"/>
            <w:left w:w="108" w:type="dxa"/>
            <w:bottom w:w="0" w:type="dxa"/>
            <w:right w:w="108" w:type="dxa"/>
          </w:tblCellMar>
        </w:tblPrEx>
        <w:trPr>
          <w:trHeight w:val="230" w:hRule="atLeast"/>
        </w:trPr>
        <w:tc>
          <w:tcPr>
            <w:tcW w:w="2126"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DNBSEQ-T7</w:t>
            </w:r>
            <w:r>
              <w:rPr>
                <w:rFonts w:hint="eastAsia" w:ascii="Times New Roman" w:hAnsi="Times New Roman" w:eastAsia="宋体" w:cs="Times New Roman"/>
                <w:color w:val="000000" w:themeColor="text1"/>
                <w:kern w:val="2"/>
                <w:sz w:val="21"/>
                <w:szCs w:val="21"/>
                <w:vertAlign w:val="superscript"/>
                <w14:textFill>
                  <w14:solidFill>
                    <w14:schemeClr w14:val="tx1"/>
                  </w14:solidFill>
                </w14:textFill>
              </w:rPr>
              <w:t>2</w:t>
            </w:r>
          </w:p>
        </w:tc>
        <w:tc>
          <w:tcPr>
            <w:tcW w:w="993"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94.</w:t>
            </w:r>
            <w:r>
              <w:rPr>
                <w:rFonts w:ascii="Times New Roman" w:hAnsi="Times New Roman" w:eastAsia="宋体" w:cs="Times New Roman"/>
                <w:color w:val="000000" w:themeColor="text1"/>
                <w:kern w:val="2"/>
                <w:sz w:val="21"/>
                <w:szCs w:val="21"/>
                <w:lang w:val="zh-CN"/>
                <w14:textFill>
                  <w14:solidFill>
                    <w14:schemeClr w14:val="tx1"/>
                  </w14:solidFill>
                </w14:textFill>
              </w:rPr>
              <w:t>8</w:t>
            </w:r>
          </w:p>
        </w:tc>
        <w:tc>
          <w:tcPr>
            <w:tcW w:w="1133"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97.</w:t>
            </w:r>
            <w:r>
              <w:rPr>
                <w:rFonts w:ascii="Times New Roman" w:hAnsi="Times New Roman" w:eastAsia="宋体" w:cs="Times New Roman"/>
                <w:color w:val="000000" w:themeColor="text1"/>
                <w:kern w:val="2"/>
                <w:sz w:val="21"/>
                <w:szCs w:val="21"/>
                <w:lang w:val="zh-CN"/>
                <w14:textFill>
                  <w14:solidFill>
                    <w14:schemeClr w14:val="tx1"/>
                  </w14:solidFill>
                </w14:textFill>
              </w:rPr>
              <w:t>9</w:t>
            </w:r>
          </w:p>
        </w:tc>
        <w:tc>
          <w:tcPr>
            <w:tcW w:w="1389"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84.</w:t>
            </w:r>
            <w:r>
              <w:rPr>
                <w:rFonts w:ascii="Times New Roman" w:hAnsi="Times New Roman" w:eastAsia="宋体" w:cs="Times New Roman"/>
                <w:color w:val="000000" w:themeColor="text1"/>
                <w:kern w:val="2"/>
                <w:sz w:val="21"/>
                <w:szCs w:val="21"/>
                <w:lang w:val="zh-CN"/>
                <w14:textFill>
                  <w14:solidFill>
                    <w14:schemeClr w14:val="tx1"/>
                  </w14:solidFill>
                </w14:textFill>
              </w:rPr>
              <w:t>6</w:t>
            </w:r>
          </w:p>
        </w:tc>
        <w:tc>
          <w:tcPr>
            <w:tcW w:w="1589"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99.7</w:t>
            </w:r>
          </w:p>
        </w:tc>
        <w:tc>
          <w:tcPr>
            <w:tcW w:w="1274"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0.067</w:t>
            </w:r>
            <w:r>
              <w:rPr>
                <w:rFonts w:ascii="Times New Roman" w:hAnsi="Times New Roman" w:eastAsia="宋体" w:cs="Times New Roman"/>
                <w:color w:val="000000" w:themeColor="text1"/>
                <w:kern w:val="2"/>
                <w:sz w:val="21"/>
                <w:szCs w:val="21"/>
                <w:lang w:val="zh-CN"/>
                <w14:textFill>
                  <w14:solidFill>
                    <w14:schemeClr w14:val="tx1"/>
                  </w14:solidFill>
                </w14:textFill>
              </w:rPr>
              <w:t>6</w:t>
            </w:r>
          </w:p>
        </w:tc>
        <w:tc>
          <w:tcPr>
            <w:tcW w:w="1319"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14:textFill>
                  <w14:solidFill>
                    <w14:schemeClr w14:val="tx1"/>
                  </w14:solidFill>
                </w14:textFill>
              </w:rPr>
              <w:t>1597</w:t>
            </w:r>
          </w:p>
        </w:tc>
      </w:tr>
    </w:tbl>
    <w:p>
      <w:pPr>
        <w:numPr>
          <w:ilvl w:val="0"/>
          <w:numId w:val="1"/>
        </w:numPr>
        <w:suppressAutoHyphens/>
        <w:rPr>
          <w:rFonts w:ascii="Times New Roman" w:hAnsi="Times New Roman" w:cs="Times New Roman"/>
          <w:sz w:val="16"/>
          <w:szCs w:val="16"/>
        </w:rPr>
      </w:pPr>
      <w:r>
        <w:rPr>
          <w:rFonts w:hint="eastAsia" w:ascii="Times New Roman" w:hAnsi="Times New Roman" w:cs="Times New Roman"/>
          <w:sz w:val="16"/>
          <w:szCs w:val="16"/>
        </w:rPr>
        <w:t>The data is averaged from merged 6 samples</w:t>
      </w:r>
    </w:p>
    <w:p>
      <w:pPr>
        <w:numPr>
          <w:ilvl w:val="0"/>
          <w:numId w:val="1"/>
        </w:numPr>
        <w:suppressAutoHyphens/>
        <w:rPr>
          <w:rFonts w:ascii="Times New Roman" w:hAnsi="Times New Roman" w:cs="Times New Roman"/>
          <w:sz w:val="16"/>
          <w:szCs w:val="16"/>
        </w:rPr>
      </w:pPr>
      <w:r>
        <w:rPr>
          <w:rFonts w:hint="eastAsia" w:ascii="Times New Roman" w:hAnsi="Times New Roman" w:cs="Times New Roman"/>
          <w:sz w:val="16"/>
          <w:szCs w:val="16"/>
        </w:rPr>
        <w:t>Choose one of two samples for further analysis</w:t>
      </w:r>
    </w:p>
    <w:p>
      <w:pPr>
        <w:suppressAutoHyphens/>
        <w:rPr>
          <w:rFonts w:hint="eastAsia" w:ascii="Times New Roman" w:hAnsi="Times New Roman" w:cs="Times New Roman"/>
          <w:sz w:val="16"/>
          <w:szCs w:val="16"/>
          <w:highlight w:val="yellow"/>
        </w:rPr>
      </w:pPr>
    </w:p>
    <w:p>
      <w:pPr>
        <w:rPr>
          <w:rFonts w:ascii="Times New Roman" w:hAnsi="Times New Roman" w:cs="Times New Roman"/>
          <w:sz w:val="21"/>
          <w:szCs w:val="21"/>
        </w:rPr>
      </w:pPr>
      <w:r>
        <w:rPr>
          <w:rFonts w:ascii="Times New Roman" w:hAnsi="Times New Roman" w:cs="Times New Roman"/>
          <w:sz w:val="21"/>
          <w:szCs w:val="21"/>
        </w:rPr>
        <w:t xml:space="preserve">Table 2. Sequencing quality of human NA12878 samples. </w:t>
      </w:r>
    </w:p>
    <w:tbl>
      <w:tblPr>
        <w:tblStyle w:val="5"/>
        <w:tblW w:w="9885" w:type="dxa"/>
        <w:tblInd w:w="0" w:type="dxa"/>
        <w:tblLayout w:type="fixed"/>
        <w:tblCellMar>
          <w:top w:w="15" w:type="dxa"/>
          <w:left w:w="108" w:type="dxa"/>
          <w:bottom w:w="0" w:type="dxa"/>
          <w:right w:w="108" w:type="dxa"/>
        </w:tblCellMar>
      </w:tblPr>
      <w:tblGrid>
        <w:gridCol w:w="2075"/>
        <w:gridCol w:w="991"/>
        <w:gridCol w:w="1347"/>
        <w:gridCol w:w="1515"/>
        <w:gridCol w:w="1363"/>
        <w:gridCol w:w="1247"/>
        <w:gridCol w:w="1347"/>
      </w:tblGrid>
      <w:tr>
        <w:tblPrEx>
          <w:tblCellMar>
            <w:top w:w="15" w:type="dxa"/>
            <w:left w:w="108" w:type="dxa"/>
            <w:bottom w:w="0" w:type="dxa"/>
            <w:right w:w="108" w:type="dxa"/>
          </w:tblCellMar>
        </w:tblPrEx>
        <w:trPr>
          <w:trHeight w:val="226" w:hRule="atLeast"/>
        </w:trPr>
        <w:tc>
          <w:tcPr>
            <w:tcW w:w="2074"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sz w:val="21"/>
                <w:szCs w:val="21"/>
              </w:rPr>
              <w:t>Sequencer</w:t>
            </w:r>
          </w:p>
        </w:tc>
        <w:tc>
          <w:tcPr>
            <w:tcW w:w="991"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Raw Q30(%)</w:t>
            </w:r>
          </w:p>
        </w:tc>
        <w:tc>
          <w:tcPr>
            <w:tcW w:w="1347"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Clean Q30 (%)</w:t>
            </w:r>
          </w:p>
        </w:tc>
        <w:tc>
          <w:tcPr>
            <w:tcW w:w="1515"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Clean reads rate (%)</w:t>
            </w:r>
          </w:p>
        </w:tc>
        <w:tc>
          <w:tcPr>
            <w:tcW w:w="1363"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Mapping rate (%)</w:t>
            </w:r>
          </w:p>
        </w:tc>
        <w:tc>
          <w:tcPr>
            <w:tcW w:w="1247"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Mismatch (%)</w:t>
            </w:r>
          </w:p>
        </w:tc>
        <w:tc>
          <w:tcPr>
            <w:tcW w:w="1347" w:type="dxa"/>
            <w:tcBorders>
              <w:top w:val="single" w:color="000000" w:sz="8" w:space="0"/>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Mean depth</w:t>
            </w:r>
          </w:p>
        </w:tc>
      </w:tr>
      <w:tr>
        <w:tblPrEx>
          <w:tblCellMar>
            <w:top w:w="15" w:type="dxa"/>
            <w:left w:w="108" w:type="dxa"/>
            <w:bottom w:w="0" w:type="dxa"/>
            <w:right w:w="108" w:type="dxa"/>
          </w:tblCellMar>
        </w:tblPrEx>
        <w:trPr>
          <w:trHeight w:val="226" w:hRule="atLeast"/>
        </w:trPr>
        <w:tc>
          <w:tcPr>
            <w:tcW w:w="2074"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hint="eastAsia" w:ascii="Times New Roman" w:hAnsi="Times New Roman" w:eastAsia="宋体" w:cs="Times New Roman"/>
                <w:color w:val="000000" w:themeColor="text1"/>
                <w:kern w:val="2"/>
                <w:sz w:val="21"/>
                <w:szCs w:val="21"/>
                <w14:textFill>
                  <w14:solidFill>
                    <w14:schemeClr w14:val="tx1"/>
                  </w14:solidFill>
                </w14:textFill>
              </w:rPr>
              <w:t>EVO</w:t>
            </w:r>
            <w:r>
              <w:rPr>
                <w:rFonts w:hint="eastAsia" w:ascii="Times New Roman" w:hAnsi="Times New Roman" w:eastAsia="宋体" w:cs="Times New Roman"/>
                <w:color w:val="000000" w:themeColor="text1"/>
                <w:kern w:val="2"/>
                <w:sz w:val="21"/>
                <w:szCs w:val="21"/>
                <w:shd w:val="clear" w:color="FFFFFF" w:fill="D9D9D9"/>
                <w:vertAlign w:val="superscript"/>
                <w14:textFill>
                  <w14:solidFill>
                    <w14:schemeClr w14:val="tx1"/>
                  </w14:solidFill>
                </w14:textFill>
              </w:rPr>
              <w:t>1</w:t>
            </w:r>
          </w:p>
        </w:tc>
        <w:tc>
          <w:tcPr>
            <w:tcW w:w="991"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92.2</w:t>
            </w:r>
          </w:p>
        </w:tc>
        <w:tc>
          <w:tcPr>
            <w:tcW w:w="1347"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96.0</w:t>
            </w:r>
          </w:p>
        </w:tc>
        <w:tc>
          <w:tcPr>
            <w:tcW w:w="1515"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87.</w:t>
            </w:r>
            <w:r>
              <w:rPr>
                <w:rFonts w:ascii="Times New Roman" w:hAnsi="Times New Roman" w:eastAsia="宋体" w:cs="Times New Roman"/>
                <w:color w:val="000000"/>
                <w:kern w:val="2"/>
                <w:sz w:val="21"/>
                <w:szCs w:val="21"/>
                <w:lang w:val="zh-CN"/>
              </w:rPr>
              <w:t>8</w:t>
            </w:r>
          </w:p>
        </w:tc>
        <w:tc>
          <w:tcPr>
            <w:tcW w:w="1363"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lang w:val="zh-CN"/>
              </w:rPr>
              <w:t>100.0</w:t>
            </w:r>
          </w:p>
        </w:tc>
        <w:tc>
          <w:tcPr>
            <w:tcW w:w="1247"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0.39</w:t>
            </w:r>
            <w:r>
              <w:rPr>
                <w:rFonts w:ascii="Times New Roman" w:hAnsi="Times New Roman" w:eastAsia="宋体" w:cs="Times New Roman"/>
                <w:color w:val="000000"/>
                <w:kern w:val="2"/>
                <w:sz w:val="21"/>
                <w:szCs w:val="21"/>
                <w:lang w:val="zh-CN"/>
              </w:rPr>
              <w:t>2</w:t>
            </w:r>
          </w:p>
        </w:tc>
        <w:tc>
          <w:tcPr>
            <w:tcW w:w="1347" w:type="dxa"/>
            <w:tcBorders>
              <w:top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30</w:t>
            </w:r>
          </w:p>
        </w:tc>
      </w:tr>
      <w:tr>
        <w:tblPrEx>
          <w:tblCellMar>
            <w:top w:w="15" w:type="dxa"/>
            <w:left w:w="108" w:type="dxa"/>
            <w:bottom w:w="0" w:type="dxa"/>
            <w:right w:w="108" w:type="dxa"/>
          </w:tblCellMar>
        </w:tblPrEx>
        <w:trPr>
          <w:trHeight w:val="226" w:hRule="atLeast"/>
        </w:trPr>
        <w:tc>
          <w:tcPr>
            <w:tcW w:w="2074"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NovaSeq 6000</w:t>
            </w:r>
            <w:r>
              <w:rPr>
                <w:rFonts w:hint="eastAsia" w:ascii="Times New Roman" w:hAnsi="Times New Roman" w:eastAsia="宋体" w:cs="Times New Roman"/>
                <w:color w:val="000000" w:themeColor="text1"/>
                <w:kern w:val="2"/>
                <w:sz w:val="21"/>
                <w:szCs w:val="21"/>
                <w:vertAlign w:val="superscript"/>
                <w14:textFill>
                  <w14:solidFill>
                    <w14:schemeClr w14:val="tx1"/>
                  </w14:solidFill>
                </w14:textFill>
              </w:rPr>
              <w:t>2</w:t>
            </w:r>
          </w:p>
        </w:tc>
        <w:tc>
          <w:tcPr>
            <w:tcW w:w="991"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91.</w:t>
            </w:r>
            <w:r>
              <w:rPr>
                <w:rFonts w:ascii="Times New Roman" w:hAnsi="Times New Roman" w:eastAsia="宋体" w:cs="Times New Roman"/>
                <w:color w:val="000000"/>
                <w:kern w:val="2"/>
                <w:sz w:val="21"/>
                <w:szCs w:val="21"/>
                <w:lang w:val="zh-CN"/>
              </w:rPr>
              <w:t>7</w:t>
            </w:r>
          </w:p>
        </w:tc>
        <w:tc>
          <w:tcPr>
            <w:tcW w:w="1347"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94.3</w:t>
            </w:r>
          </w:p>
        </w:tc>
        <w:tc>
          <w:tcPr>
            <w:tcW w:w="1515"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87.8</w:t>
            </w:r>
          </w:p>
        </w:tc>
        <w:tc>
          <w:tcPr>
            <w:tcW w:w="1363"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99.9</w:t>
            </w:r>
          </w:p>
        </w:tc>
        <w:tc>
          <w:tcPr>
            <w:tcW w:w="1247"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0.408</w:t>
            </w:r>
          </w:p>
        </w:tc>
        <w:tc>
          <w:tcPr>
            <w:tcW w:w="1347" w:type="dxa"/>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3</w:t>
            </w:r>
            <w:r>
              <w:rPr>
                <w:rFonts w:ascii="Times New Roman" w:hAnsi="Times New Roman" w:eastAsia="宋体" w:cs="Times New Roman"/>
                <w:color w:val="000000"/>
                <w:kern w:val="2"/>
                <w:sz w:val="21"/>
                <w:szCs w:val="21"/>
                <w:lang w:val="zh-CN"/>
              </w:rPr>
              <w:t>1</w:t>
            </w:r>
          </w:p>
        </w:tc>
      </w:tr>
      <w:tr>
        <w:tblPrEx>
          <w:tblCellMar>
            <w:top w:w="15" w:type="dxa"/>
            <w:left w:w="108" w:type="dxa"/>
            <w:bottom w:w="0" w:type="dxa"/>
            <w:right w:w="108" w:type="dxa"/>
          </w:tblCellMar>
        </w:tblPrEx>
        <w:trPr>
          <w:trHeight w:val="237" w:hRule="atLeast"/>
        </w:trPr>
        <w:tc>
          <w:tcPr>
            <w:tcW w:w="2074"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themeColor="text1"/>
                <w:kern w:val="2"/>
                <w:sz w:val="21"/>
                <w:szCs w:val="21"/>
                <w:lang w:val="zh-CN"/>
                <w14:textFill>
                  <w14:solidFill>
                    <w14:schemeClr w14:val="tx1"/>
                  </w14:solidFill>
                </w14:textFill>
              </w:rPr>
              <w:t>DNBSEQ-T7</w:t>
            </w:r>
            <w:r>
              <w:rPr>
                <w:rFonts w:hint="eastAsia" w:ascii="Times New Roman" w:hAnsi="Times New Roman" w:eastAsia="宋体" w:cs="Times New Roman"/>
                <w:color w:val="000000" w:themeColor="text1"/>
                <w:kern w:val="2"/>
                <w:sz w:val="21"/>
                <w:szCs w:val="21"/>
                <w:vertAlign w:val="superscript"/>
                <w14:textFill>
                  <w14:solidFill>
                    <w14:schemeClr w14:val="tx1"/>
                  </w14:solidFill>
                </w14:textFill>
              </w:rPr>
              <w:t>2</w:t>
            </w:r>
          </w:p>
        </w:tc>
        <w:tc>
          <w:tcPr>
            <w:tcW w:w="991"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94.7</w:t>
            </w:r>
          </w:p>
        </w:tc>
        <w:tc>
          <w:tcPr>
            <w:tcW w:w="1347"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96.</w:t>
            </w:r>
            <w:r>
              <w:rPr>
                <w:rFonts w:ascii="Times New Roman" w:hAnsi="Times New Roman" w:eastAsia="宋体" w:cs="Times New Roman"/>
                <w:color w:val="000000"/>
                <w:kern w:val="2"/>
                <w:sz w:val="21"/>
                <w:szCs w:val="21"/>
                <w:lang w:val="zh-CN"/>
              </w:rPr>
              <w:t>8</w:t>
            </w:r>
          </w:p>
        </w:tc>
        <w:tc>
          <w:tcPr>
            <w:tcW w:w="1515"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91.6</w:t>
            </w:r>
          </w:p>
        </w:tc>
        <w:tc>
          <w:tcPr>
            <w:tcW w:w="1363"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99.9</w:t>
            </w:r>
          </w:p>
        </w:tc>
        <w:tc>
          <w:tcPr>
            <w:tcW w:w="1247"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color w:val="000000"/>
                <w:kern w:val="2"/>
                <w:sz w:val="21"/>
                <w:szCs w:val="21"/>
              </w:rPr>
              <w:t>0.38</w:t>
            </w:r>
            <w:r>
              <w:rPr>
                <w:rFonts w:ascii="Times New Roman" w:hAnsi="Times New Roman" w:eastAsia="宋体" w:cs="Times New Roman"/>
                <w:color w:val="000000"/>
                <w:kern w:val="2"/>
                <w:sz w:val="21"/>
                <w:szCs w:val="21"/>
                <w:lang w:val="zh-CN"/>
              </w:rPr>
              <w:t>4</w:t>
            </w:r>
          </w:p>
        </w:tc>
        <w:tc>
          <w:tcPr>
            <w:tcW w:w="1347" w:type="dxa"/>
            <w:tcBorders>
              <w:bottom w:val="single" w:color="000000" w:sz="8" w:space="0"/>
            </w:tcBorders>
            <w:shd w:val="clear" w:color="auto" w:fill="auto"/>
            <w:vAlign w:val="center"/>
          </w:tcPr>
          <w:p>
            <w:pPr>
              <w:jc w:val="center"/>
              <w:rPr>
                <w:rFonts w:ascii="Times New Roman" w:hAnsi="Times New Roman" w:eastAsia="宋体" w:cs="Times New Roman"/>
                <w:sz w:val="21"/>
                <w:szCs w:val="21"/>
              </w:rPr>
            </w:pPr>
            <w:r>
              <w:rPr>
                <w:rFonts w:ascii="Times New Roman" w:hAnsi="Times New Roman" w:eastAsia="宋体" w:cs="Times New Roman"/>
                <w:sz w:val="21"/>
                <w:szCs w:val="21"/>
              </w:rPr>
              <w:t>31</w:t>
            </w:r>
          </w:p>
        </w:tc>
      </w:tr>
    </w:tbl>
    <w:p>
      <w:pPr>
        <w:numPr>
          <w:ilvl w:val="0"/>
          <w:numId w:val="2"/>
        </w:numPr>
        <w:suppressAutoHyphens/>
        <w:rPr>
          <w:rFonts w:ascii="Times New Roman" w:hAnsi="Times New Roman" w:cs="Times New Roman"/>
          <w:sz w:val="16"/>
          <w:szCs w:val="16"/>
        </w:rPr>
      </w:pPr>
      <w:r>
        <w:rPr>
          <w:rFonts w:hint="eastAsia" w:ascii="Times New Roman" w:hAnsi="Times New Roman" w:cs="Times New Roman"/>
          <w:sz w:val="16"/>
          <w:szCs w:val="16"/>
        </w:rPr>
        <w:t>The data is averaged from merged 6 samples</w:t>
      </w:r>
    </w:p>
    <w:p>
      <w:pPr>
        <w:numPr>
          <w:ilvl w:val="0"/>
          <w:numId w:val="2"/>
        </w:numPr>
        <w:suppressAutoHyphens/>
        <w:rPr>
          <w:rFonts w:ascii="Times New Roman" w:hAnsi="Times New Roman" w:cs="Times New Roman"/>
          <w:sz w:val="16"/>
          <w:szCs w:val="16"/>
        </w:rPr>
      </w:pPr>
      <w:r>
        <w:rPr>
          <w:rFonts w:hint="eastAsia" w:ascii="Times New Roman" w:hAnsi="Times New Roman" w:cs="Times New Roman"/>
          <w:sz w:val="16"/>
          <w:szCs w:val="16"/>
        </w:rPr>
        <w:t>Choose one of two samples for further analysis</w:t>
      </w:r>
    </w:p>
    <w:p>
      <w:pPr>
        <w:rPr>
          <w:rFonts w:ascii="Times New Roman" w:hAnsi="Times New Roman" w:cs="Times New Roman"/>
          <w:sz w:val="24"/>
          <w:szCs w:val="24"/>
        </w:rPr>
      </w:pP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For human NA12878 samples, the reported data qualities for 3 instruments are similar. However, the mismatch rates for all 3 instruments are similar to each other but significantly higher than those for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The mismatch rate in the 0.3~0.5% level is consistent with literature reports and is mainly contributed by minor mutations of the standard</w:t>
      </w:r>
      <w:r>
        <w:rPr>
          <w:rFonts w:hint="eastAsia" w:ascii="Times New Roman" w:hAnsi="Times New Roman" w:cs="Times New Roman"/>
          <w:sz w:val="24"/>
          <w:szCs w:val="24"/>
        </w:rPr>
        <w:t xml:space="preserve"> samples used</w:t>
      </w:r>
      <w:r>
        <w:rPr>
          <w:rFonts w:ascii="Times New Roman" w:hAnsi="Times New Roman" w:cs="Times New Roman"/>
          <w:sz w:val="24"/>
          <w:szCs w:val="24"/>
        </w:rPr>
        <w:t xml:space="preserve">. Thus, errors for human sample measurements are not discussed in this manuscript. </w:t>
      </w:r>
    </w:p>
    <w:p>
      <w:pPr>
        <w:ind w:firstLine="420"/>
        <w:jc w:val="both"/>
        <w:rPr>
          <w:rFonts w:ascii="Times New Roman" w:hAnsi="Times New Roman" w:cs="Times New Roman"/>
          <w:sz w:val="24"/>
          <w:szCs w:val="24"/>
        </w:rPr>
      </w:pPr>
    </w:p>
    <w:p>
      <w:pPr>
        <w:pStyle w:val="3"/>
        <w:spacing w:before="0" w:after="0" w:line="240" w:lineRule="auto"/>
        <w:rPr>
          <w:rFonts w:ascii="Times New Roman" w:hAnsi="Times New Roman" w:cs="Times New Roman"/>
          <w:sz w:val="24"/>
          <w:szCs w:val="24"/>
        </w:rPr>
      </w:pPr>
      <w:r>
        <w:rPr>
          <w:rFonts w:ascii="Times New Roman" w:hAnsi="Times New Roman" w:cs="Times New Roman"/>
          <w:sz w:val="24"/>
          <w:szCs w:val="24"/>
        </w:rPr>
        <w:t>Basecall quality and stability over cycles</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It has become a norm that sequencer manufacturers report a quality score (Phred Q value) for each base called, which are widely used by researchers for downstream data quality control and bioinformatic analysis </w:t>
      </w:r>
      <w:r>
        <w:fldChar w:fldCharType="begin"/>
      </w:r>
      <w:r>
        <w:rPr>
          <w:rFonts w:ascii="Times New Roman" w:hAnsi="Times New Roman" w:cs="Times New Roman"/>
          <w:sz w:val="24"/>
          <w:szCs w:val="24"/>
        </w:rPr>
        <w:instrText xml:space="preserve">ADDIN EN.CITE</w:instrText>
      </w:r>
      <w:r>
        <w:fldChar w:fldCharType="begin"/>
      </w:r>
      <w:r>
        <w:rPr>
          <w:rFonts w:ascii="Times New Roman" w:hAnsi="Times New Roman" w:cs="Times New Roman"/>
          <w:sz w:val="24"/>
          <w:szCs w:val="24"/>
        </w:rPr>
        <w:instrText xml:space="preserve">ADDIN EN.CITE.DATA</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fldChar w:fldCharType="separate"/>
      </w:r>
      <w:r>
        <w:rPr>
          <w:rFonts w:ascii="Times New Roman" w:hAnsi="Times New Roman" w:cs="Times New Roman"/>
          <w:sz w:val="24"/>
          <w:szCs w:val="24"/>
        </w:rPr>
        <w:t>(19-21</w:t>
      </w:r>
      <w:r>
        <w:rPr>
          <w:rFonts w:ascii="Times New Roman" w:hAnsi="Times New Roman" w:cs="Times New Roman"/>
          <w:sz w:val="24"/>
          <w:szCs w:val="24"/>
        </w:rPr>
        <w:fldChar w:fldCharType="end"/>
      </w:r>
      <w:r>
        <w:rPr>
          <w:rFonts w:ascii="Times New Roman" w:hAnsi="Times New Roman" w:cs="Times New Roman"/>
          <w:sz w:val="24"/>
          <w:szCs w:val="24"/>
        </w:rPr>
        <w:t xml:space="preserve">). However, each manufacturer has his own proprietary algorithm in estimating, calibrating, and reporting the Q scores. The reported quality score stored in fastq files may deviated from the real quality (i.e., observed Q value) </w:t>
      </w:r>
      <w:r>
        <w:fldChar w:fldCharType="begin"/>
      </w:r>
      <w:r>
        <w:rPr>
          <w:rFonts w:ascii="Times New Roman" w:hAnsi="Times New Roman" w:cs="Times New Roman"/>
          <w:sz w:val="24"/>
          <w:szCs w:val="24"/>
        </w:rPr>
        <w:instrText xml:space="preserve">ADDIN EN.CITE</w:instrText>
      </w:r>
      <w:r>
        <w:fldChar w:fldCharType="begin"/>
      </w:r>
      <w:r>
        <w:rPr>
          <w:rFonts w:ascii="Times New Roman" w:hAnsi="Times New Roman" w:cs="Times New Roman"/>
          <w:sz w:val="24"/>
          <w:szCs w:val="24"/>
        </w:rPr>
        <w:instrText xml:space="preserve">ADDIN EN.CITE.DATA</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fldChar w:fldCharType="separate"/>
      </w:r>
      <w:r>
        <w:rPr>
          <w:rFonts w:ascii="Times New Roman" w:hAnsi="Times New Roman" w:cs="Times New Roman"/>
          <w:sz w:val="24"/>
          <w:szCs w:val="24"/>
        </w:rPr>
        <w:t>(22-24</w:t>
      </w:r>
      <w:r>
        <w:rPr>
          <w:rFonts w:ascii="Times New Roman" w:hAnsi="Times New Roman" w:cs="Times New Roman"/>
          <w:sz w:val="24"/>
          <w:szCs w:val="24"/>
        </w:rPr>
        <w:fldChar w:fldCharType="end"/>
      </w:r>
      <w:r>
        <w:rPr>
          <w:rFonts w:ascii="Times New Roman" w:hAnsi="Times New Roman" w:cs="Times New Roman"/>
          <w:sz w:val="24"/>
          <w:szCs w:val="24"/>
        </w:rPr>
        <w:t xml:space="preserve">). To test their reliability, the real Q score (defined as -10*log(observed error rate)) for the three sequencers were compared using </w:t>
      </w:r>
      <w:r>
        <w:rPr>
          <w:rFonts w:ascii="Times New Roman" w:hAnsi="Times New Roman" w:cs="Times New Roman"/>
          <w:i/>
          <w:iCs/>
          <w:sz w:val="24"/>
          <w:szCs w:val="24"/>
        </w:rPr>
        <w:t>E. coli</w:t>
      </w:r>
      <w:r>
        <w:rPr>
          <w:rFonts w:ascii="Times New Roman" w:hAnsi="Times New Roman" w:cs="Times New Roman"/>
          <w:sz w:val="24"/>
          <w:szCs w:val="24"/>
        </w:rPr>
        <w:t xml:space="preserve"> samples. </w:t>
      </w:r>
    </w:p>
    <w:p>
      <w:pPr>
        <w:ind w:left="640" w:hanging="640"/>
        <w:jc w:val="both"/>
        <w:rPr>
          <w:rFonts w:hint="eastAsia"/>
        </w:rPr>
      </w:pPr>
    </w:p>
    <w:p>
      <w:pPr>
        <w:ind w:left="640" w:hanging="640"/>
        <w:jc w:val="center"/>
        <w:rPr>
          <w:rFonts w:hint="eastAsia"/>
          <w:sz w:val="24"/>
          <w:szCs w:val="24"/>
        </w:rPr>
      </w:pPr>
      <w:bookmarkStart w:id="0" w:name="_Hlk182777191"/>
      <w:r>
        <w:drawing>
          <wp:inline distT="0" distB="0" distL="0" distR="0">
            <wp:extent cx="2005330" cy="518604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a:xfrm>
                      <a:off x="0" y="0"/>
                      <a:ext cx="2005330" cy="5186045"/>
                    </a:xfrm>
                    <a:prstGeom prst="rect">
                      <a:avLst/>
                    </a:prstGeom>
                    <a:noFill/>
                  </pic:spPr>
                </pic:pic>
              </a:graphicData>
            </a:graphic>
          </wp:inline>
        </w:drawing>
      </w:r>
    </w:p>
    <w:p>
      <w:pPr>
        <w:ind w:left="640" w:hanging="640"/>
        <w:jc w:val="both"/>
        <w:rPr>
          <w:rFonts w:hint="eastAsia"/>
          <w:sz w:val="24"/>
          <w:szCs w:val="24"/>
        </w:rPr>
      </w:pPr>
    </w:p>
    <w:p>
      <w:pPr>
        <w:jc w:val="both"/>
        <w:rPr>
          <w:rFonts w:ascii="Times New Roman" w:hAnsi="Times New Roman" w:cs="Times New Roman"/>
          <w:sz w:val="24"/>
          <w:szCs w:val="24"/>
        </w:rPr>
      </w:pPr>
      <w:bookmarkStart w:id="1" w:name="_Hlk187003773"/>
      <w:r>
        <w:rPr>
          <w:rFonts w:ascii="Times New Roman" w:hAnsi="Times New Roman" w:cs="Times New Roman"/>
          <w:sz w:val="24"/>
          <w:szCs w:val="24"/>
        </w:rPr>
        <w:t>Figure 1. Real Q vs reported Q characterized using</w:t>
      </w:r>
      <w:r>
        <w:rPr>
          <w:rFonts w:ascii="Times New Roman" w:hAnsi="Times New Roman" w:cs="Times New Roman"/>
          <w:i/>
          <w:iCs/>
          <w:sz w:val="24"/>
          <w:szCs w:val="24"/>
        </w:rPr>
        <w:t xml:space="preserve"> 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 </w:t>
      </w:r>
      <w:r>
        <w:rPr>
          <w:rFonts w:ascii="Times New Roman" w:hAnsi="Times New Roman" w:cs="Times New Roman"/>
          <w:sz w:val="24"/>
          <w:szCs w:val="24"/>
        </w:rPr>
        <w:t xml:space="preserve">samples. Real Q is represented as the -10*log(observed error rate). The size of the dots represents their relative abundance.  </w:t>
      </w:r>
      <w:bookmarkEnd w:id="0"/>
      <w:bookmarkEnd w:id="1"/>
    </w:p>
    <w:p>
      <w:pPr>
        <w:ind w:firstLine="420"/>
        <w:rPr>
          <w:rFonts w:ascii="Times New Roman" w:hAnsi="Times New Roman" w:cs="Times New Roman"/>
          <w:sz w:val="24"/>
          <w:szCs w:val="24"/>
        </w:rPr>
      </w:pP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Figure 1 shows observed Q vs reported Q for the 3 instruments using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In general, the observed Q~Q curves for all 3 instruments follow their diagonals, indicating the predictions (i.e. reported Qs) are reasonable. Among these, </w:t>
      </w:r>
      <w:r>
        <w:rPr>
          <w:rFonts w:hint="eastAsia" w:ascii="Times New Roman" w:hAnsi="Times New Roman" w:cs="Times New Roman"/>
          <w:sz w:val="24"/>
          <w:szCs w:val="24"/>
        </w:rPr>
        <w:t>EVO</w:t>
      </w:r>
      <w:r>
        <w:rPr>
          <w:rFonts w:ascii="Times New Roman" w:hAnsi="Times New Roman" w:cs="Times New Roman"/>
          <w:sz w:val="24"/>
          <w:szCs w:val="24"/>
        </w:rPr>
        <w:t xml:space="preserve"> gives a line most consistent with the diagonal. NovaSeq only reports 3 Q values: 11, 25, 37. The Q = 37 dot is under the diagonal, indicating this reported Q values is slightly overestimated. For DNBSeq-T7, most of the Q values between 5~30 are underestimated, while those between 30~40 are slightly overestimated. </w:t>
      </w:r>
    </w:p>
    <w:p>
      <w:pPr>
        <w:ind w:firstLine="420"/>
        <w:jc w:val="both"/>
        <w:rPr>
          <w:rFonts w:ascii="Times New Roman" w:hAnsi="Times New Roman" w:cs="Times New Roman"/>
          <w:sz w:val="24"/>
          <w:szCs w:val="24"/>
        </w:rPr>
      </w:pPr>
      <w:r>
        <w:rPr>
          <w:rFonts w:hint="eastAsia" w:ascii="Times New Roman" w:hAnsi="Times New Roman" w:cs="Times New Roman"/>
          <w:sz w:val="24"/>
          <w:szCs w:val="24"/>
        </w:rPr>
        <w:t xml:space="preserve">For </w:t>
      </w:r>
      <w:r>
        <w:rPr>
          <w:rFonts w:ascii="Times New Roman" w:hAnsi="Times New Roman" w:cs="Times New Roman"/>
          <w:sz w:val="24"/>
          <w:szCs w:val="24"/>
        </w:rPr>
        <w:t xml:space="preserve">human NA12878 samples, </w:t>
      </w:r>
      <w:r>
        <w:rPr>
          <w:rFonts w:hint="eastAsia" w:ascii="Times New Roman" w:hAnsi="Times New Roman" w:cs="Times New Roman"/>
          <w:sz w:val="24"/>
          <w:szCs w:val="24"/>
        </w:rPr>
        <w:t>s</w:t>
      </w:r>
      <w:r>
        <w:rPr>
          <w:rFonts w:ascii="Times New Roman" w:hAnsi="Times New Roman" w:cs="Times New Roman"/>
          <w:sz w:val="24"/>
          <w:szCs w:val="24"/>
        </w:rPr>
        <w:t xml:space="preserve">ince absolute error rate is not known, we used mismatch rate in calculating the observed Q’s. </w:t>
      </w:r>
      <w:r>
        <w:rPr>
          <w:rFonts w:hint="eastAsia" w:ascii="Times New Roman" w:hAnsi="Times New Roman" w:cs="Times New Roman"/>
          <w:sz w:val="24"/>
          <w:szCs w:val="24"/>
        </w:rPr>
        <w:t>W</w:t>
      </w:r>
      <w:r>
        <w:rPr>
          <w:rFonts w:ascii="Times New Roman" w:hAnsi="Times New Roman" w:cs="Times New Roman"/>
          <w:sz w:val="24"/>
          <w:szCs w:val="24"/>
        </w:rPr>
        <w:t xml:space="preserve">e obtained curves with similar trends, respectively, but all shifted towards lower observed Q’s (Figure S1). </w:t>
      </w:r>
      <w:r>
        <w:rPr>
          <w:rFonts w:hint="eastAsia" w:ascii="Times New Roman" w:hAnsi="Times New Roman" w:cs="Times New Roman"/>
          <w:sz w:val="24"/>
          <w:szCs w:val="24"/>
        </w:rPr>
        <w:t xml:space="preserve">This is </w:t>
      </w:r>
      <w:r>
        <w:rPr>
          <w:rFonts w:ascii="Times New Roman" w:hAnsi="Times New Roman" w:cs="Times New Roman"/>
          <w:sz w:val="24"/>
          <w:szCs w:val="24"/>
        </w:rPr>
        <w:t>because</w:t>
      </w:r>
      <w:r>
        <w:rPr>
          <w:rFonts w:hint="eastAsia" w:ascii="Times New Roman" w:hAnsi="Times New Roman" w:cs="Times New Roman"/>
          <w:sz w:val="24"/>
          <w:szCs w:val="24"/>
        </w:rPr>
        <w:t xml:space="preserve"> </w:t>
      </w:r>
      <w:r>
        <w:rPr>
          <w:rFonts w:ascii="Times New Roman" w:hAnsi="Times New Roman" w:cs="Times New Roman"/>
          <w:sz w:val="24"/>
          <w:szCs w:val="24"/>
        </w:rPr>
        <w:t>mismatch rate is higher than the error rate</w:t>
      </w:r>
      <w:r>
        <w:rPr>
          <w:rFonts w:hint="eastAsia" w:ascii="Times New Roman" w:hAnsi="Times New Roman" w:cs="Times New Roman"/>
          <w:sz w:val="24"/>
          <w:szCs w:val="24"/>
        </w:rPr>
        <w:t xml:space="preserve">, the </w:t>
      </w:r>
      <w:r>
        <w:rPr>
          <w:rFonts w:ascii="Times New Roman" w:hAnsi="Times New Roman" w:cs="Times New Roman"/>
          <w:sz w:val="24"/>
          <w:szCs w:val="24"/>
        </w:rPr>
        <w:t xml:space="preserve">estimated “real Q” score is </w:t>
      </w:r>
      <w:r>
        <w:rPr>
          <w:rFonts w:hint="eastAsia" w:ascii="Times New Roman" w:hAnsi="Times New Roman" w:cs="Times New Roman"/>
          <w:sz w:val="24"/>
          <w:szCs w:val="24"/>
        </w:rPr>
        <w:t xml:space="preserve">thus </w:t>
      </w:r>
      <w:r>
        <w:rPr>
          <w:rFonts w:ascii="Times New Roman" w:hAnsi="Times New Roman" w:cs="Times New Roman"/>
          <w:sz w:val="24"/>
          <w:szCs w:val="24"/>
        </w:rPr>
        <w:t xml:space="preserve">significantly </w:t>
      </w:r>
      <w:r>
        <w:rPr>
          <w:rFonts w:hint="eastAsia" w:ascii="Times New Roman" w:hAnsi="Times New Roman" w:cs="Times New Roman"/>
          <w:sz w:val="24"/>
          <w:szCs w:val="24"/>
        </w:rPr>
        <w:t>lower.</w:t>
      </w:r>
      <w:r>
        <w:rPr>
          <w:rFonts w:ascii="Times New Roman" w:hAnsi="Times New Roman" w:cs="Times New Roman"/>
          <w:sz w:val="24"/>
          <w:szCs w:val="24"/>
        </w:rPr>
        <w:t xml:space="preserve"> </w:t>
      </w:r>
    </w:p>
    <w:p>
      <w:pPr>
        <w:ind w:left="640" w:hanging="640"/>
        <w:rPr>
          <w:rFonts w:hint="eastAsia"/>
          <w:sz w:val="24"/>
          <w:szCs w:val="24"/>
        </w:rPr>
      </w:pPr>
    </w:p>
    <w:p>
      <w:pPr>
        <w:ind w:left="640" w:hanging="640"/>
        <w:jc w:val="center"/>
        <w:rPr>
          <w:rFonts w:hint="eastAsia"/>
          <w:sz w:val="24"/>
          <w:szCs w:val="24"/>
        </w:rPr>
      </w:pPr>
      <w:r>
        <w:drawing>
          <wp:inline distT="0" distB="0" distL="0" distR="0">
            <wp:extent cx="2033905" cy="525970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stretch>
                      <a:fillRect/>
                    </a:stretch>
                  </pic:blipFill>
                  <pic:spPr>
                    <a:xfrm>
                      <a:off x="0" y="0"/>
                      <a:ext cx="2033905" cy="5259705"/>
                    </a:xfrm>
                    <a:prstGeom prst="rect">
                      <a:avLst/>
                    </a:prstGeom>
                    <a:noFill/>
                  </pic:spPr>
                </pic:pic>
              </a:graphicData>
            </a:graphic>
          </wp:inline>
        </w:drawing>
      </w:r>
    </w:p>
    <w:p>
      <w:pPr>
        <w:jc w:val="both"/>
        <w:rPr>
          <w:rFonts w:ascii="Times New Roman" w:hAnsi="Times New Roman" w:cs="Times New Roman"/>
          <w:sz w:val="24"/>
          <w:szCs w:val="24"/>
        </w:rPr>
      </w:pPr>
      <w:bookmarkStart w:id="2" w:name="_Hlk187004573"/>
      <w:r>
        <w:rPr>
          <w:rFonts w:ascii="Times New Roman" w:hAnsi="Times New Roman" w:cs="Times New Roman"/>
          <w:sz w:val="24"/>
          <w:szCs w:val="24"/>
        </w:rPr>
        <w:t xml:space="preserve">Figure 2. Accuracy of reported Q scores as a function of cycle number using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Observed Q scores are represented as the -10*log(observed error rate). </w:t>
      </w:r>
      <w:bookmarkEnd w:id="2"/>
    </w:p>
    <w:p>
      <w:pPr>
        <w:jc w:val="both"/>
        <w:rPr>
          <w:rFonts w:ascii="Times New Roman" w:hAnsi="Times New Roman" w:cs="Times New Roman"/>
          <w:sz w:val="24"/>
          <w:szCs w:val="24"/>
        </w:rPr>
      </w:pP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The accuracy of reported Q values has been shown to vary at different cycles of sequencing </w:t>
      </w:r>
      <w:r>
        <w:fldChar w:fldCharType="begin"/>
      </w:r>
      <w:r>
        <w:rPr>
          <w:rFonts w:ascii="Times New Roman" w:hAnsi="Times New Roman" w:cs="Times New Roman"/>
          <w:sz w:val="24"/>
          <w:szCs w:val="24"/>
        </w:rPr>
        <w:instrText xml:space="preserve">ADDIN EN.CITE &lt;EndNote&gt;&lt;Cite&gt;&lt;Author&gt;Dohm&lt;/Author&gt;&lt;Year&gt;2008&lt;/Year&gt;&lt;RecNum&gt;12&lt;/RecNum&gt;&lt;DisplayText&gt;(12)&lt;/DisplayText&gt;&lt;record&gt;&lt;rec-number&gt;12&lt;/rec-number&gt;&lt;foreign-keys&gt;&lt;key app="EN" db-id="at9fad5vcrraere2ta7pawp59f05s0ddwapf"&gt;12&lt;/key&gt;&lt;/foreign-keys&gt;&lt;ref-type name="Journal Article"&gt;17&lt;/ref-type&gt;&lt;contributors&gt;&lt;authors&gt;&lt;author&gt;Dohm, Juliane C.&lt;/author&gt;&lt;author&gt;Lottaz, Claudio&lt;/author&gt;&lt;author&gt;Borodina, Tatiana&lt;/author&gt;&lt;author&gt;Himmelbauer, Heinz&lt;/author&gt;&lt;/authors&gt;&lt;/contributors&gt;&lt;titles&gt;&lt;title&gt;Substantial biases in ultra-short read data sets from high-throughput DNA sequencing&lt;/title&gt;&lt;secondary-title&gt;Nucleic Acids Research&lt;/secondary-title&gt;&lt;/titles&gt;&lt;periodical&gt;&lt;full-title&gt;Nucleic Acids Research&lt;/full-title&gt;&lt;/periodical&gt;&lt;pages&gt;105-105&lt;/pages&gt;&lt;volume&gt;36&lt;/volume&gt;&lt;number&gt;16&lt;/number&gt;&lt;keywords&gt;&lt;keyword&gt;beta vulgaris&lt;/keyword&gt;&lt;keyword&gt;datasets&lt;/keyword&gt;&lt;keyword&gt;genome&lt;/keyword&gt;&lt;keyword&gt;helicobacter&lt;/keyword&gt;&lt;keyword&gt;sequence analysis, dna&lt;/keyword&gt;&lt;/keywords&gt;&lt;dates&gt;&lt;year&gt;2008&lt;/year&gt;&lt;pub-dates&gt;&lt;date&gt;2008/9//&lt;/date&gt;&lt;/pub-dates&gt;&lt;/dates&gt;&lt;publisher&gt;Oxford Academic&lt;/publisher&gt;&lt;urls&gt;&lt;related-urls&gt;&lt;url&gt;https://academic.oup.com/nar/article/36/16/e105/6334555&lt;/url&gt;&lt;/related-urls&gt;&lt;/urls&gt;&lt;electronic-resource-num&gt;10.1093/nar/gkn425&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We then analyzed the accuracy of the reported Q values at each cycle for the 3 instruments. Since there are many Q values for T7 and </w:t>
      </w:r>
      <w:r>
        <w:rPr>
          <w:rFonts w:hint="eastAsia" w:ascii="Times New Roman" w:hAnsi="Times New Roman" w:cs="Times New Roman"/>
          <w:sz w:val="24"/>
          <w:szCs w:val="24"/>
        </w:rPr>
        <w:t>EVO</w:t>
      </w:r>
      <w:r>
        <w:rPr>
          <w:rFonts w:ascii="Times New Roman" w:hAnsi="Times New Roman" w:cs="Times New Roman"/>
          <w:sz w:val="24"/>
          <w:szCs w:val="24"/>
        </w:rPr>
        <w:t xml:space="preserve">, we </w:t>
      </w:r>
      <w:r>
        <w:rPr>
          <w:rFonts w:hint="eastAsia" w:ascii="Times New Roman" w:hAnsi="Times New Roman" w:cs="Times New Roman"/>
          <w:sz w:val="24"/>
          <w:szCs w:val="24"/>
        </w:rPr>
        <w:t>select</w:t>
      </w:r>
      <w:r>
        <w:rPr>
          <w:rFonts w:ascii="Times New Roman" w:hAnsi="Times New Roman" w:cs="Times New Roman"/>
          <w:sz w:val="24"/>
          <w:szCs w:val="24"/>
        </w:rPr>
        <w:t xml:space="preserve">ed 3 values for each of these two instruments, each representing high, medium, and low qualities, respectively.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Figure 2 shows that in general, the real quality for each reported Q for all instruments decreases with respect to the cycle numbers. However, their decreasing speed is different, with </w:t>
      </w:r>
      <w:r>
        <w:rPr>
          <w:rFonts w:hint="eastAsia" w:ascii="Times New Roman" w:hAnsi="Times New Roman" w:cs="Times New Roman"/>
          <w:sz w:val="24"/>
          <w:szCs w:val="24"/>
        </w:rPr>
        <w:t>EVO</w:t>
      </w:r>
      <w:r>
        <w:rPr>
          <w:rFonts w:ascii="Times New Roman" w:hAnsi="Times New Roman" w:cs="Times New Roman"/>
          <w:sz w:val="24"/>
          <w:szCs w:val="24"/>
        </w:rPr>
        <w:t xml:space="preserve"> has the most stable observed Q scores.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Using the human NA12878 samples, similar decreasing trends were obtained for all 3 instruments except that all observed Q scores are again down-shifted (Figure S2). </w:t>
      </w:r>
    </w:p>
    <w:p>
      <w:pPr>
        <w:jc w:val="both"/>
        <w:rPr>
          <w:rFonts w:ascii="Times New Roman" w:hAnsi="Times New Roman" w:cs="Times New Roman"/>
          <w:sz w:val="24"/>
          <w:szCs w:val="24"/>
          <w:highlight w:val="magenta"/>
        </w:rPr>
      </w:pPr>
    </w:p>
    <w:p>
      <w:pPr>
        <w:pStyle w:val="3"/>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False positive rate </w:t>
      </w:r>
      <w:r>
        <w:rPr>
          <w:rFonts w:hint="eastAsia" w:ascii="Times New Roman" w:hAnsi="Times New Roman" w:cs="Times New Roman"/>
          <w:sz w:val="24"/>
          <w:szCs w:val="24"/>
        </w:rPr>
        <w:t xml:space="preserve">for </w:t>
      </w:r>
      <w:r>
        <w:rPr>
          <w:rFonts w:ascii="Times New Roman" w:hAnsi="Times New Roman" w:cs="Times New Roman"/>
          <w:sz w:val="24"/>
          <w:szCs w:val="24"/>
        </w:rPr>
        <w:t>variant call</w:t>
      </w:r>
      <w:r>
        <w:rPr>
          <w:rFonts w:hint="eastAsia" w:ascii="Times New Roman" w:hAnsi="Times New Roman" w:cs="Times New Roman"/>
          <w:sz w:val="24"/>
          <w:szCs w:val="24"/>
        </w:rPr>
        <w:t>s</w:t>
      </w:r>
      <w:r>
        <w:rPr>
          <w:rFonts w:ascii="Times New Roman" w:hAnsi="Times New Roman" w:cs="Times New Roman"/>
          <w:sz w:val="24"/>
          <w:szCs w:val="24"/>
        </w:rPr>
        <w:t xml:space="preserve"> and single base</w:t>
      </w:r>
      <w:r>
        <w:rPr>
          <w:rFonts w:hint="eastAsia" w:ascii="Times New Roman" w:hAnsi="Times New Roman" w:cs="Times New Roman"/>
          <w:sz w:val="24"/>
          <w:szCs w:val="24"/>
        </w:rPr>
        <w:t>call</w:t>
      </w:r>
      <w:r>
        <w:rPr>
          <w:rFonts w:ascii="Times New Roman" w:hAnsi="Times New Roman" w:cs="Times New Roman"/>
          <w:sz w:val="24"/>
          <w:szCs w:val="24"/>
        </w:rPr>
        <w:t xml:space="preserve"> error rate profile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Although </w:t>
      </w:r>
      <w:r>
        <w:rPr>
          <w:rFonts w:hint="eastAsia" w:ascii="Times New Roman" w:hAnsi="Times New Roman" w:cs="Times New Roman"/>
          <w:sz w:val="24"/>
          <w:szCs w:val="24"/>
        </w:rPr>
        <w:t xml:space="preserve">the </w:t>
      </w:r>
      <w:r>
        <w:rPr>
          <w:rFonts w:ascii="Times New Roman" w:hAnsi="Times New Roman" w:cs="Times New Roman"/>
          <w:sz w:val="24"/>
          <w:szCs w:val="24"/>
        </w:rPr>
        <w:t xml:space="preserve">3 instruments showed similar error rates, however, their performance in variant calls vary hugely. In Table 3, we show the false positive variant calls for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samples using a threshold of mutation frequency &gt; 0.5%. We looked into 100,000 random sites from the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genome, NovaSeq called 1782 false positive variants, MGI called 210 false positive variants, and </w:t>
      </w:r>
      <w:r>
        <w:rPr>
          <w:rFonts w:hint="eastAsia" w:ascii="Times New Roman" w:hAnsi="Times New Roman" w:cs="Times New Roman"/>
          <w:sz w:val="24"/>
          <w:szCs w:val="24"/>
        </w:rPr>
        <w:t>EVO</w:t>
      </w:r>
      <w:r>
        <w:rPr>
          <w:rFonts w:ascii="Times New Roman" w:hAnsi="Times New Roman" w:cs="Times New Roman"/>
          <w:sz w:val="24"/>
          <w:szCs w:val="24"/>
        </w:rPr>
        <w:t xml:space="preserve"> called only 104 variants. When we limit the sites to those measured at high depth such as </w:t>
      </w:r>
      <w:r>
        <w:rPr>
          <w:rFonts w:ascii="宋体" w:hAnsi="宋体" w:eastAsia="宋体" w:cs="Times New Roman"/>
          <w:sz w:val="24"/>
          <w:szCs w:val="24"/>
        </w:rPr>
        <w:t>≥</w:t>
      </w:r>
      <w:r>
        <w:rPr>
          <w:rFonts w:ascii="Times New Roman" w:hAnsi="Times New Roman" w:cs="Times New Roman"/>
          <w:sz w:val="24"/>
          <w:szCs w:val="24"/>
        </w:rPr>
        <w:t>1000</w:t>
      </w:r>
      <w:r>
        <w:rPr>
          <w:rFonts w:ascii="宋体" w:hAnsi="宋体" w:eastAsia="宋体" w:cs="Times New Roman"/>
          <w:sz w:val="24"/>
          <w:szCs w:val="24"/>
        </w:rPr>
        <w:t>×</w:t>
      </w:r>
      <w:r>
        <w:rPr>
          <w:rFonts w:ascii="Times New Roman" w:hAnsi="Times New Roman" w:cs="Times New Roman"/>
          <w:sz w:val="24"/>
          <w:szCs w:val="24"/>
        </w:rPr>
        <w:t xml:space="preserve"> or </w:t>
      </w:r>
      <w:r>
        <w:rPr>
          <w:rFonts w:ascii="宋体" w:hAnsi="宋体" w:eastAsia="宋体" w:cs="Times New Roman"/>
          <w:sz w:val="24"/>
          <w:szCs w:val="24"/>
        </w:rPr>
        <w:t>≥</w:t>
      </w:r>
      <w:r>
        <w:rPr>
          <w:rFonts w:ascii="Times New Roman" w:hAnsi="Times New Roman" w:cs="Times New Roman"/>
          <w:sz w:val="24"/>
          <w:szCs w:val="24"/>
        </w:rPr>
        <w:t>1500</w:t>
      </w:r>
      <w:r>
        <w:rPr>
          <w:rFonts w:ascii="宋体" w:hAnsi="宋体" w:eastAsia="宋体" w:cs="Times New Roman"/>
          <w:sz w:val="24"/>
          <w:szCs w:val="24"/>
        </w:rPr>
        <w:t>×</w:t>
      </w:r>
      <w:r>
        <w:rPr>
          <w:rFonts w:ascii="Times New Roman" w:hAnsi="Times New Roman" w:cs="Times New Roman"/>
          <w:sz w:val="24"/>
          <w:szCs w:val="24"/>
        </w:rPr>
        <w:t>, the conclusion is similar (Table 3).</w:t>
      </w:r>
    </w:p>
    <w:p>
      <w:pPr>
        <w:ind w:firstLine="420"/>
        <w:jc w:val="both"/>
        <w:rPr>
          <w:rFonts w:ascii="Times New Roman" w:hAnsi="Times New Roman" w:cs="Times New Roman"/>
          <w:sz w:val="24"/>
          <w:szCs w:val="24"/>
        </w:rPr>
      </w:pPr>
    </w:p>
    <w:p>
      <w:pPr>
        <w:rPr>
          <w:rFonts w:ascii="Times New Roman" w:hAnsi="Times New Roman" w:cs="Times New Roman"/>
        </w:rPr>
      </w:pPr>
      <w:r>
        <w:rPr>
          <w:rFonts w:ascii="Times New Roman" w:hAnsi="Times New Roman" w:cs="Times New Roman"/>
        </w:rPr>
        <w:t xml:space="preserve">Table 3. False positive rate for </w:t>
      </w:r>
      <w:r>
        <w:rPr>
          <w:rFonts w:ascii="Times New Roman" w:hAnsi="Times New Roman" w:cs="Times New Roman"/>
          <w:i/>
          <w:iCs/>
        </w:rPr>
        <w:t>E</w:t>
      </w:r>
      <w:r>
        <w:rPr>
          <w:rFonts w:hint="eastAsia" w:ascii="Times New Roman" w:hAnsi="Times New Roman" w:cs="Times New Roman"/>
          <w:i/>
          <w:iCs/>
        </w:rPr>
        <w:t>.</w:t>
      </w:r>
      <w:r>
        <w:rPr>
          <w:rFonts w:ascii="Times New Roman" w:hAnsi="Times New Roman" w:cs="Times New Roman"/>
          <w:i/>
          <w:iCs/>
        </w:rPr>
        <w:t xml:space="preserve"> coli</w:t>
      </w:r>
      <w:r>
        <w:rPr>
          <w:rFonts w:ascii="Times New Roman" w:hAnsi="Times New Roman" w:cs="Times New Roman"/>
        </w:rPr>
        <w:t xml:space="preserve"> samples. Mutation Frequency (MF) &gt; 0.005 in 100,000 sites. </w:t>
      </w:r>
    </w:p>
    <w:tbl>
      <w:tblPr>
        <w:tblStyle w:val="5"/>
        <w:tblW w:w="9960" w:type="dxa"/>
        <w:tblInd w:w="0" w:type="dxa"/>
        <w:tblLayout w:type="fixed"/>
        <w:tblCellMar>
          <w:top w:w="15" w:type="dxa"/>
          <w:left w:w="108" w:type="dxa"/>
          <w:bottom w:w="0" w:type="dxa"/>
          <w:right w:w="108" w:type="dxa"/>
        </w:tblCellMar>
      </w:tblPr>
      <w:tblGrid>
        <w:gridCol w:w="2499"/>
        <w:gridCol w:w="1661"/>
        <w:gridCol w:w="1060"/>
        <w:gridCol w:w="1900"/>
        <w:gridCol w:w="2840"/>
      </w:tblGrid>
      <w:tr>
        <w:tblPrEx>
          <w:tblCellMar>
            <w:top w:w="15" w:type="dxa"/>
            <w:left w:w="108" w:type="dxa"/>
            <w:bottom w:w="0" w:type="dxa"/>
            <w:right w:w="108" w:type="dxa"/>
          </w:tblCellMar>
        </w:tblPrEx>
        <w:trPr>
          <w:trHeight w:val="130" w:hRule="atLeast"/>
        </w:trPr>
        <w:tc>
          <w:tcPr>
            <w:tcW w:w="2499" w:type="dxa"/>
            <w:tcBorders>
              <w:top w:val="single" w:color="000000" w:sz="8" w:space="0"/>
            </w:tcBorders>
            <w:shd w:val="clear" w:color="auto" w:fill="auto"/>
            <w:vAlign w:val="center"/>
          </w:tcPr>
          <w:p>
            <w:pPr>
              <w:rPr>
                <w:rFonts w:ascii="Times New Roman" w:hAnsi="Times New Roman" w:cs="Times New Roman"/>
              </w:rPr>
            </w:pPr>
          </w:p>
        </w:tc>
        <w:tc>
          <w:tcPr>
            <w:tcW w:w="1661" w:type="dxa"/>
            <w:tcBorders>
              <w:top w:val="single" w:color="000000" w:sz="8" w:space="0"/>
            </w:tcBorders>
            <w:shd w:val="clear" w:color="auto" w:fill="auto"/>
            <w:vAlign w:val="center"/>
          </w:tcPr>
          <w:p>
            <w:pPr>
              <w:rPr>
                <w:rFonts w:ascii="Times New Roman" w:hAnsi="Times New Roman" w:cs="Times New Roman"/>
              </w:rPr>
            </w:pPr>
            <w:r>
              <w:rPr>
                <w:rFonts w:ascii="Times New Roman" w:hAnsi="Times New Roman" w:cs="Times New Roman"/>
              </w:rPr>
              <w:t xml:space="preserve"> </w:t>
            </w:r>
          </w:p>
        </w:tc>
        <w:tc>
          <w:tcPr>
            <w:tcW w:w="5800" w:type="dxa"/>
            <w:gridSpan w:val="3"/>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Sites that consist of at least one allele with a MF &gt; 0.005</w:t>
            </w:r>
          </w:p>
        </w:tc>
      </w:tr>
      <w:tr>
        <w:tblPrEx>
          <w:tblCellMar>
            <w:top w:w="15" w:type="dxa"/>
            <w:left w:w="108" w:type="dxa"/>
            <w:bottom w:w="0" w:type="dxa"/>
            <w:right w:w="108" w:type="dxa"/>
          </w:tblCellMar>
        </w:tblPrEx>
        <w:trPr>
          <w:trHeight w:val="264" w:hRule="atLeast"/>
        </w:trPr>
        <w:tc>
          <w:tcPr>
            <w:tcW w:w="2499"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Sequencer</w:t>
            </w:r>
          </w:p>
        </w:tc>
        <w:tc>
          <w:tcPr>
            <w:tcW w:w="1661"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Mismatch (%)</w:t>
            </w:r>
          </w:p>
        </w:tc>
        <w:tc>
          <w:tcPr>
            <w:tcW w:w="106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Total</w:t>
            </w:r>
          </w:p>
        </w:tc>
        <w:tc>
          <w:tcPr>
            <w:tcW w:w="190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Depth &gt;= 1000</w:t>
            </w:r>
          </w:p>
        </w:tc>
        <w:tc>
          <w:tcPr>
            <w:tcW w:w="284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Depth &gt;= 1500</w:t>
            </w:r>
          </w:p>
        </w:tc>
      </w:tr>
      <w:tr>
        <w:tblPrEx>
          <w:tblCellMar>
            <w:top w:w="15" w:type="dxa"/>
            <w:left w:w="108" w:type="dxa"/>
            <w:bottom w:w="0" w:type="dxa"/>
            <w:right w:w="108" w:type="dxa"/>
          </w:tblCellMar>
        </w:tblPrEx>
        <w:trPr>
          <w:trHeight w:val="264" w:hRule="atLeast"/>
        </w:trPr>
        <w:tc>
          <w:tcPr>
            <w:tcW w:w="2499" w:type="dxa"/>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Nova</w:t>
            </w:r>
            <w:r>
              <w:rPr>
                <w:rFonts w:ascii="Times New Roman" w:hAnsi="Times New Roman" w:cs="Times New Roman"/>
                <w:lang w:val="zh-CN"/>
              </w:rPr>
              <w:t>S</w:t>
            </w:r>
            <w:r>
              <w:rPr>
                <w:rFonts w:ascii="Times New Roman" w:hAnsi="Times New Roman" w:cs="Times New Roman"/>
              </w:rPr>
              <w:t>eq</w:t>
            </w:r>
          </w:p>
        </w:tc>
        <w:tc>
          <w:tcPr>
            <w:tcW w:w="1661" w:type="dxa"/>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0.0912</w:t>
            </w:r>
          </w:p>
        </w:tc>
        <w:tc>
          <w:tcPr>
            <w:tcW w:w="1060" w:type="dxa"/>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1782</w:t>
            </w:r>
          </w:p>
        </w:tc>
        <w:tc>
          <w:tcPr>
            <w:tcW w:w="1900" w:type="dxa"/>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1757</w:t>
            </w:r>
          </w:p>
        </w:tc>
        <w:tc>
          <w:tcPr>
            <w:tcW w:w="2840" w:type="dxa"/>
            <w:tcBorders>
              <w:top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1173</w:t>
            </w:r>
          </w:p>
        </w:tc>
      </w:tr>
      <w:tr>
        <w:tblPrEx>
          <w:tblCellMar>
            <w:top w:w="15" w:type="dxa"/>
            <w:left w:w="108" w:type="dxa"/>
            <w:bottom w:w="0" w:type="dxa"/>
            <w:right w:w="108" w:type="dxa"/>
          </w:tblCellMar>
        </w:tblPrEx>
        <w:trPr>
          <w:trHeight w:val="264" w:hRule="atLeast"/>
        </w:trPr>
        <w:tc>
          <w:tcPr>
            <w:tcW w:w="2499" w:type="dxa"/>
            <w:shd w:val="clear" w:color="auto" w:fill="auto"/>
            <w:vAlign w:val="center"/>
          </w:tcPr>
          <w:p>
            <w:pPr>
              <w:jc w:val="center"/>
              <w:rPr>
                <w:rFonts w:ascii="Times New Roman" w:hAnsi="Times New Roman" w:cs="Times New Roman"/>
              </w:rPr>
            </w:pPr>
            <w:r>
              <w:rPr>
                <w:rFonts w:ascii="Times New Roman" w:hAnsi="Times New Roman" w:cs="Times New Roman"/>
                <w:lang w:val="zh-CN"/>
              </w:rPr>
              <w:t>DNBSEQ-T7</w:t>
            </w:r>
          </w:p>
        </w:tc>
        <w:tc>
          <w:tcPr>
            <w:tcW w:w="1661" w:type="dxa"/>
            <w:shd w:val="clear" w:color="auto" w:fill="auto"/>
            <w:vAlign w:val="center"/>
          </w:tcPr>
          <w:p>
            <w:pPr>
              <w:jc w:val="center"/>
              <w:rPr>
                <w:rFonts w:ascii="Times New Roman" w:hAnsi="Times New Roman" w:cs="Times New Roman"/>
              </w:rPr>
            </w:pPr>
            <w:r>
              <w:rPr>
                <w:rFonts w:ascii="Times New Roman" w:hAnsi="Times New Roman" w:cs="Times New Roman"/>
              </w:rPr>
              <w:t>0.067</w:t>
            </w:r>
            <w:r>
              <w:rPr>
                <w:rFonts w:ascii="Times New Roman" w:hAnsi="Times New Roman" w:cs="Times New Roman"/>
                <w:lang w:val="zh-CN"/>
              </w:rPr>
              <w:t>6</w:t>
            </w:r>
          </w:p>
        </w:tc>
        <w:tc>
          <w:tcPr>
            <w:tcW w:w="1060" w:type="dxa"/>
            <w:shd w:val="clear" w:color="auto" w:fill="auto"/>
            <w:vAlign w:val="center"/>
          </w:tcPr>
          <w:p>
            <w:pPr>
              <w:jc w:val="center"/>
              <w:rPr>
                <w:rFonts w:ascii="Times New Roman" w:hAnsi="Times New Roman" w:cs="Times New Roman"/>
              </w:rPr>
            </w:pPr>
            <w:r>
              <w:rPr>
                <w:rFonts w:ascii="Times New Roman" w:hAnsi="Times New Roman" w:cs="Times New Roman"/>
              </w:rPr>
              <w:t>210</w:t>
            </w:r>
          </w:p>
        </w:tc>
        <w:tc>
          <w:tcPr>
            <w:tcW w:w="1900" w:type="dxa"/>
            <w:shd w:val="clear" w:color="auto" w:fill="auto"/>
            <w:vAlign w:val="center"/>
          </w:tcPr>
          <w:p>
            <w:pPr>
              <w:jc w:val="center"/>
              <w:rPr>
                <w:rFonts w:ascii="Times New Roman" w:hAnsi="Times New Roman" w:cs="Times New Roman"/>
              </w:rPr>
            </w:pPr>
            <w:r>
              <w:rPr>
                <w:rFonts w:ascii="Times New Roman" w:hAnsi="Times New Roman" w:cs="Times New Roman"/>
              </w:rPr>
              <w:t>203</w:t>
            </w:r>
          </w:p>
        </w:tc>
        <w:tc>
          <w:tcPr>
            <w:tcW w:w="2840" w:type="dxa"/>
            <w:shd w:val="clear" w:color="auto" w:fill="auto"/>
            <w:vAlign w:val="center"/>
          </w:tcPr>
          <w:p>
            <w:pPr>
              <w:jc w:val="center"/>
              <w:rPr>
                <w:rFonts w:ascii="Times New Roman" w:hAnsi="Times New Roman" w:cs="Times New Roman"/>
              </w:rPr>
            </w:pPr>
            <w:r>
              <w:rPr>
                <w:rFonts w:ascii="Times New Roman" w:hAnsi="Times New Roman" w:cs="Times New Roman"/>
              </w:rPr>
              <w:t>103</w:t>
            </w:r>
          </w:p>
        </w:tc>
      </w:tr>
      <w:tr>
        <w:tblPrEx>
          <w:tblCellMar>
            <w:top w:w="15" w:type="dxa"/>
            <w:left w:w="108" w:type="dxa"/>
            <w:bottom w:w="0" w:type="dxa"/>
            <w:right w:w="108" w:type="dxa"/>
          </w:tblCellMar>
        </w:tblPrEx>
        <w:trPr>
          <w:trHeight w:val="264" w:hRule="atLeast"/>
        </w:trPr>
        <w:tc>
          <w:tcPr>
            <w:tcW w:w="2499" w:type="dxa"/>
            <w:shd w:val="clear" w:color="auto" w:fill="auto"/>
            <w:vAlign w:val="center"/>
          </w:tcPr>
          <w:p>
            <w:pPr>
              <w:jc w:val="center"/>
              <w:rPr>
                <w:rFonts w:ascii="Times New Roman" w:hAnsi="Times New Roman" w:cs="Times New Roman"/>
              </w:rPr>
            </w:pPr>
            <w:r>
              <w:rPr>
                <w:rFonts w:hint="eastAsia" w:ascii="Times New Roman" w:hAnsi="Times New Roman" w:cs="Times New Roman"/>
              </w:rPr>
              <w:t>EVO</w:t>
            </w:r>
          </w:p>
        </w:tc>
        <w:tc>
          <w:tcPr>
            <w:tcW w:w="1661" w:type="dxa"/>
            <w:shd w:val="clear" w:color="auto" w:fill="auto"/>
            <w:vAlign w:val="center"/>
          </w:tcPr>
          <w:p>
            <w:pPr>
              <w:jc w:val="center"/>
              <w:rPr>
                <w:rFonts w:ascii="Times New Roman" w:hAnsi="Times New Roman" w:cs="Times New Roman"/>
              </w:rPr>
            </w:pPr>
            <w:r>
              <w:rPr>
                <w:rFonts w:ascii="Times New Roman" w:hAnsi="Times New Roman" w:cs="Times New Roman"/>
              </w:rPr>
              <w:t>0.0652</w:t>
            </w:r>
          </w:p>
        </w:tc>
        <w:tc>
          <w:tcPr>
            <w:tcW w:w="1060" w:type="dxa"/>
            <w:shd w:val="clear" w:color="auto" w:fill="auto"/>
            <w:vAlign w:val="center"/>
          </w:tcPr>
          <w:p>
            <w:pPr>
              <w:jc w:val="center"/>
              <w:rPr>
                <w:rFonts w:ascii="Times New Roman" w:hAnsi="Times New Roman" w:cs="Times New Roman"/>
              </w:rPr>
            </w:pPr>
            <w:r>
              <w:rPr>
                <w:rFonts w:ascii="Times New Roman" w:hAnsi="Times New Roman" w:cs="Times New Roman"/>
              </w:rPr>
              <w:t>104</w:t>
            </w:r>
          </w:p>
        </w:tc>
        <w:tc>
          <w:tcPr>
            <w:tcW w:w="1900" w:type="dxa"/>
            <w:shd w:val="clear" w:color="auto" w:fill="auto"/>
            <w:vAlign w:val="center"/>
          </w:tcPr>
          <w:p>
            <w:pPr>
              <w:jc w:val="center"/>
              <w:rPr>
                <w:rFonts w:ascii="Times New Roman" w:hAnsi="Times New Roman" w:cs="Times New Roman"/>
              </w:rPr>
            </w:pPr>
            <w:r>
              <w:rPr>
                <w:rFonts w:ascii="Times New Roman" w:hAnsi="Times New Roman" w:cs="Times New Roman"/>
              </w:rPr>
              <w:t>97</w:t>
            </w:r>
          </w:p>
        </w:tc>
        <w:tc>
          <w:tcPr>
            <w:tcW w:w="2840" w:type="dxa"/>
            <w:shd w:val="clear" w:color="auto" w:fill="auto"/>
            <w:vAlign w:val="center"/>
          </w:tcPr>
          <w:p>
            <w:pPr>
              <w:jc w:val="center"/>
              <w:rPr>
                <w:rFonts w:ascii="Times New Roman" w:hAnsi="Times New Roman" w:cs="Times New Roman"/>
              </w:rPr>
            </w:pPr>
            <w:r>
              <w:rPr>
                <w:rFonts w:ascii="Times New Roman" w:hAnsi="Times New Roman" w:cs="Times New Roman"/>
              </w:rPr>
              <w:t>59</w:t>
            </w:r>
          </w:p>
        </w:tc>
      </w:tr>
      <w:tr>
        <w:tblPrEx>
          <w:tblCellMar>
            <w:top w:w="15" w:type="dxa"/>
            <w:left w:w="108" w:type="dxa"/>
            <w:bottom w:w="0" w:type="dxa"/>
            <w:right w:w="108" w:type="dxa"/>
          </w:tblCellMar>
        </w:tblPrEx>
        <w:trPr>
          <w:trHeight w:val="264" w:hRule="atLeast"/>
        </w:trPr>
        <w:tc>
          <w:tcPr>
            <w:tcW w:w="2499" w:type="dxa"/>
            <w:tcBorders>
              <w:bottom w:val="single" w:color="000000" w:sz="8" w:space="0"/>
            </w:tcBorders>
            <w:shd w:val="clear" w:color="auto" w:fill="auto"/>
            <w:vAlign w:val="center"/>
          </w:tcPr>
          <w:p>
            <w:pPr>
              <w:jc w:val="center"/>
              <w:rPr>
                <w:rFonts w:ascii="Times New Roman" w:hAnsi="Times New Roman" w:cs="Times New Roman"/>
              </w:rPr>
            </w:pPr>
            <w:bookmarkStart w:id="3" w:name="_Hlk186749644"/>
            <w:r>
              <w:rPr>
                <w:rFonts w:hint="eastAsia" w:ascii="Times New Roman" w:hAnsi="Times New Roman" w:cs="Times New Roman"/>
              </w:rPr>
              <w:t>EVO</w:t>
            </w:r>
            <w:r>
              <w:rPr>
                <w:rFonts w:ascii="Times New Roman" w:hAnsi="Times New Roman" w:cs="Times New Roman"/>
              </w:rPr>
              <w:t xml:space="preserve"> </w:t>
            </w:r>
            <w:r>
              <w:rPr>
                <w:rFonts w:ascii="Times New Roman" w:hAnsi="Times New Roman" w:cs="Times New Roman"/>
                <w:lang w:val="zh-CN"/>
              </w:rPr>
              <w:t>(Loosened filtration condition)</w:t>
            </w:r>
            <w:bookmarkEnd w:id="3"/>
          </w:p>
        </w:tc>
        <w:tc>
          <w:tcPr>
            <w:tcW w:w="1661"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0.10</w:t>
            </w:r>
            <w:r>
              <w:rPr>
                <w:rFonts w:ascii="Times New Roman" w:hAnsi="Times New Roman" w:cs="Times New Roman"/>
                <w:lang w:val="zh-CN"/>
              </w:rPr>
              <w:t>2</w:t>
            </w:r>
          </w:p>
        </w:tc>
        <w:tc>
          <w:tcPr>
            <w:tcW w:w="106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1050</w:t>
            </w:r>
          </w:p>
        </w:tc>
        <w:tc>
          <w:tcPr>
            <w:tcW w:w="190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997</w:t>
            </w:r>
          </w:p>
        </w:tc>
        <w:tc>
          <w:tcPr>
            <w:tcW w:w="2840" w:type="dxa"/>
            <w:tcBorders>
              <w:bottom w:val="single" w:color="000000" w:sz="8" w:space="0"/>
            </w:tcBorders>
            <w:shd w:val="clear" w:color="auto" w:fill="auto"/>
            <w:vAlign w:val="center"/>
          </w:tcPr>
          <w:p>
            <w:pPr>
              <w:jc w:val="center"/>
              <w:rPr>
                <w:rFonts w:ascii="Times New Roman" w:hAnsi="Times New Roman" w:cs="Times New Roman"/>
              </w:rPr>
            </w:pPr>
            <w:r>
              <w:rPr>
                <w:rFonts w:ascii="Times New Roman" w:hAnsi="Times New Roman" w:cs="Times New Roman"/>
              </w:rPr>
              <w:t>682</w:t>
            </w:r>
          </w:p>
        </w:tc>
      </w:tr>
    </w:tbl>
    <w:p>
      <w:pPr>
        <w:jc w:val="center"/>
        <w:rPr>
          <w:rFonts w:hint="eastAsia"/>
        </w:rPr>
      </w:pP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It is surprising to note that the number of variants called by T7 and </w:t>
      </w:r>
      <w:r>
        <w:rPr>
          <w:rFonts w:hint="eastAsia" w:ascii="Times New Roman" w:hAnsi="Times New Roman" w:cs="Times New Roman"/>
          <w:sz w:val="24"/>
          <w:szCs w:val="24"/>
        </w:rPr>
        <w:t>EVO</w:t>
      </w:r>
      <w:r>
        <w:rPr>
          <w:rFonts w:ascii="Times New Roman" w:hAnsi="Times New Roman" w:cs="Times New Roman"/>
          <w:sz w:val="24"/>
          <w:szCs w:val="24"/>
        </w:rPr>
        <w:t xml:space="preserve"> is almost one order of magnitude lower than that by NovaSeq. Since the overall error rates var</w:t>
      </w:r>
      <w:r>
        <w:rPr>
          <w:rFonts w:hint="eastAsia" w:ascii="Times New Roman" w:hAnsi="Times New Roman" w:cs="Times New Roman"/>
          <w:sz w:val="24"/>
          <w:szCs w:val="24"/>
        </w:rPr>
        <w:t>y for the 3 instruments</w:t>
      </w:r>
      <w:r>
        <w:rPr>
          <w:rFonts w:ascii="Times New Roman" w:hAnsi="Times New Roman" w:cs="Times New Roman"/>
          <w:sz w:val="24"/>
          <w:szCs w:val="24"/>
        </w:rPr>
        <w:t xml:space="preserve">, we loosened the bioinformatic filtration conditions for the data from </w:t>
      </w:r>
      <w:r>
        <w:rPr>
          <w:rFonts w:hint="eastAsia" w:ascii="Times New Roman" w:hAnsi="Times New Roman" w:cs="Times New Roman"/>
          <w:sz w:val="24"/>
          <w:szCs w:val="24"/>
        </w:rPr>
        <w:t>EVO</w:t>
      </w:r>
      <w:r>
        <w:rPr>
          <w:rFonts w:ascii="Times New Roman" w:hAnsi="Times New Roman" w:cs="Times New Roman"/>
          <w:sz w:val="24"/>
          <w:szCs w:val="24"/>
        </w:rPr>
        <w:t>. Now that it has a mismatch rate of 1.02% (row 4 of Table 3), even a little higher than that of NovaSeq. It is apparent that the error rate has a huge impact on the number of false positive variants called. Still, the false positive variant call</w:t>
      </w:r>
      <w:r>
        <w:rPr>
          <w:rFonts w:hint="eastAsia" w:ascii="Times New Roman" w:hAnsi="Times New Roman" w:cs="Times New Roman"/>
          <w:sz w:val="24"/>
          <w:szCs w:val="24"/>
        </w:rPr>
        <w:t>s</w:t>
      </w:r>
      <w:r>
        <w:rPr>
          <w:rFonts w:ascii="Times New Roman" w:hAnsi="Times New Roman" w:cs="Times New Roman"/>
          <w:sz w:val="24"/>
          <w:szCs w:val="24"/>
        </w:rPr>
        <w:t xml:space="preserve"> by </w:t>
      </w:r>
      <w:r>
        <w:rPr>
          <w:rFonts w:hint="eastAsia" w:ascii="Times New Roman" w:hAnsi="Times New Roman" w:cs="Times New Roman"/>
          <w:sz w:val="24"/>
          <w:szCs w:val="24"/>
        </w:rPr>
        <w:t>EVO</w:t>
      </w:r>
      <w:r>
        <w:rPr>
          <w:rFonts w:ascii="Times New Roman" w:hAnsi="Times New Roman" w:cs="Times New Roman"/>
          <w:sz w:val="24"/>
          <w:szCs w:val="24"/>
        </w:rPr>
        <w:t xml:space="preserve"> </w:t>
      </w:r>
      <w:r>
        <w:rPr>
          <w:rFonts w:hint="eastAsia" w:ascii="Times New Roman" w:hAnsi="Times New Roman" w:cs="Times New Roman"/>
          <w:sz w:val="24"/>
          <w:szCs w:val="24"/>
        </w:rPr>
        <w:t>are</w:t>
      </w:r>
      <w:r>
        <w:rPr>
          <w:rFonts w:ascii="Times New Roman" w:hAnsi="Times New Roman" w:cs="Times New Roman"/>
          <w:sz w:val="24"/>
          <w:szCs w:val="24"/>
        </w:rPr>
        <w:t xml:space="preserve"> almost 2 times fewer than that by NovaSeq.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Why similar </w:t>
      </w:r>
      <w:r>
        <w:rPr>
          <w:rFonts w:hint="eastAsia" w:ascii="Times New Roman" w:hAnsi="Times New Roman" w:cs="Times New Roman"/>
          <w:sz w:val="24"/>
          <w:szCs w:val="24"/>
        </w:rPr>
        <w:t xml:space="preserve">basecall </w:t>
      </w:r>
      <w:r>
        <w:rPr>
          <w:rFonts w:ascii="Times New Roman" w:hAnsi="Times New Roman" w:cs="Times New Roman"/>
          <w:sz w:val="24"/>
          <w:szCs w:val="24"/>
        </w:rPr>
        <w:t xml:space="preserve">error rates can </w:t>
      </w:r>
      <w:r>
        <w:rPr>
          <w:rFonts w:hint="eastAsia" w:ascii="Times New Roman" w:hAnsi="Times New Roman" w:cs="Times New Roman"/>
          <w:sz w:val="24"/>
          <w:szCs w:val="24"/>
        </w:rPr>
        <w:t xml:space="preserve">lead to </w:t>
      </w:r>
      <w:r>
        <w:rPr>
          <w:rFonts w:ascii="Times New Roman" w:hAnsi="Times New Roman" w:cs="Times New Roman"/>
          <w:sz w:val="24"/>
          <w:szCs w:val="24"/>
        </w:rPr>
        <w:t xml:space="preserve">large difference in the number of false positive variants called? To have a closer look, we plotted basecall error rate distributions for 100,000 randomly selected sites from the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genome in Figure 3. In Figure 3B, the </w:t>
      </w:r>
      <w:r>
        <w:rPr>
          <w:rFonts w:ascii="Times New Roman" w:hAnsi="Times New Roman" w:cs="Times New Roman"/>
          <w:i/>
          <w:iCs/>
          <w:sz w:val="24"/>
          <w:szCs w:val="24"/>
        </w:rPr>
        <w:t>x</w:t>
      </w:r>
      <w:r>
        <w:rPr>
          <w:rFonts w:ascii="Times New Roman" w:hAnsi="Times New Roman" w:cs="Times New Roman"/>
          <w:sz w:val="24"/>
          <w:szCs w:val="24"/>
        </w:rPr>
        <w:t xml:space="preserve">-axis represents the negative logarithm of the error rate of a site on the genome. The more to the right, the higher error rate a site has. The </w:t>
      </w:r>
      <w:r>
        <w:rPr>
          <w:rFonts w:ascii="Times New Roman" w:hAnsi="Times New Roman" w:cs="Times New Roman"/>
          <w:i/>
          <w:iCs/>
          <w:sz w:val="24"/>
          <w:szCs w:val="24"/>
        </w:rPr>
        <w:t>y</w:t>
      </w:r>
      <w:r>
        <w:rPr>
          <w:rFonts w:ascii="Times New Roman" w:hAnsi="Times New Roman" w:cs="Times New Roman"/>
          <w:sz w:val="24"/>
          <w:szCs w:val="24"/>
        </w:rPr>
        <w:t xml:space="preserve">-axis is the count of sites with that error rate. </w:t>
      </w:r>
    </w:p>
    <w:p>
      <w:pPr>
        <w:ind w:firstLine="420"/>
        <w:jc w:val="both"/>
        <w:rPr>
          <w:rFonts w:ascii="Times New Roman" w:hAnsi="Times New Roman" w:cs="Times New Roman"/>
          <w:sz w:val="24"/>
          <w:szCs w:val="24"/>
        </w:rPr>
      </w:pPr>
      <w:r>
        <w:rPr>
          <w:rFonts w:ascii="Times New Roman" w:hAnsi="Times New Roman" w:cs="Times New Roman"/>
          <w:sz w:val="24"/>
          <w:szCs w:val="24"/>
        </w:rPr>
        <w:t>The distribution shows a Poisson-like profile, with the largest peak at x = -3.2, which is 1 error out of ~1600 measurements. The second peak is at -2.9, which is 2 errors out of ~1600 measurements. The peaks are expanded because the sequencing depth is different for different sites. The peaks become indistinguishable for ~</w:t>
      </w:r>
      <w:r>
        <w:rPr>
          <w:rFonts w:hint="eastAsia" w:ascii="Times New Roman" w:hAnsi="Times New Roman" w:cs="Times New Roman"/>
          <w:sz w:val="24"/>
          <w:szCs w:val="24"/>
        </w:rPr>
        <w:t>4</w:t>
      </w:r>
      <w:r>
        <w:rPr>
          <w:rFonts w:ascii="Times New Roman" w:hAnsi="Times New Roman" w:cs="Times New Roman"/>
          <w:sz w:val="24"/>
          <w:szCs w:val="24"/>
        </w:rPr>
        <w:t xml:space="preserve"> and above errors. For all 3 instruments, there are many sites with 0 errors. Since they cannot be plotted in a logarithm scale, the counts for 0-error sites are plotted in Figure 3A.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The error rate distribution profiles for the 3 sequencers are similar </w:t>
      </w:r>
      <w:r>
        <w:rPr>
          <w:rFonts w:hint="eastAsia" w:ascii="Times New Roman" w:hAnsi="Times New Roman" w:cs="Times New Roman"/>
          <w:sz w:val="24"/>
          <w:szCs w:val="24"/>
        </w:rPr>
        <w:t xml:space="preserve">in general but show large difference at </w:t>
      </w:r>
      <w:r>
        <w:rPr>
          <w:rFonts w:ascii="Times New Roman" w:hAnsi="Times New Roman" w:cs="Times New Roman"/>
          <w:sz w:val="24"/>
          <w:szCs w:val="24"/>
        </w:rPr>
        <w:t xml:space="preserve">high error rate regions. NovaSeq has a remarkably long tail </w:t>
      </w:r>
      <w:r>
        <w:rPr>
          <w:rFonts w:hint="eastAsia" w:ascii="Times New Roman" w:hAnsi="Times New Roman" w:cs="Times New Roman"/>
          <w:sz w:val="24"/>
          <w:szCs w:val="24"/>
        </w:rPr>
        <w:t xml:space="preserve">into </w:t>
      </w:r>
      <w:r>
        <w:rPr>
          <w:rFonts w:ascii="Times New Roman" w:hAnsi="Times New Roman" w:cs="Times New Roman"/>
          <w:sz w:val="24"/>
          <w:szCs w:val="24"/>
        </w:rPr>
        <w:t>the high error region, indicating that some of the sites are particularly prone to erroneous calls during sequencing</w:t>
      </w:r>
      <w:r>
        <w:rPr>
          <w:rFonts w:hint="eastAsia" w:ascii="Times New Roman" w:hAnsi="Times New Roman" w:cs="Times New Roman"/>
          <w:sz w:val="24"/>
          <w:szCs w:val="24"/>
        </w:rPr>
        <w:t>, and these errors are NOT random</w:t>
      </w:r>
      <w:r>
        <w:rPr>
          <w:rFonts w:ascii="Times New Roman" w:hAnsi="Times New Roman" w:cs="Times New Roman"/>
          <w:sz w:val="24"/>
          <w:szCs w:val="24"/>
        </w:rPr>
        <w:t xml:space="preserve">. The high error rate sites are candidates for false positive variants, which is unfavorable. For T7 and Salus </w:t>
      </w:r>
      <w:r>
        <w:rPr>
          <w:rFonts w:hint="eastAsia" w:ascii="Times New Roman" w:hAnsi="Times New Roman" w:cs="Times New Roman"/>
          <w:sz w:val="24"/>
          <w:szCs w:val="24"/>
        </w:rPr>
        <w:t>EVO</w:t>
      </w:r>
      <w:r>
        <w:rPr>
          <w:rFonts w:ascii="Times New Roman" w:hAnsi="Times New Roman" w:cs="Times New Roman"/>
          <w:sz w:val="24"/>
          <w:szCs w:val="24"/>
        </w:rPr>
        <w:t xml:space="preserve">, the tail portion is cleaner, with Salus </w:t>
      </w:r>
      <w:r>
        <w:rPr>
          <w:rFonts w:hint="eastAsia" w:ascii="Times New Roman" w:hAnsi="Times New Roman" w:cs="Times New Roman"/>
          <w:sz w:val="24"/>
          <w:szCs w:val="24"/>
        </w:rPr>
        <w:t>EVO</w:t>
      </w:r>
      <w:r>
        <w:rPr>
          <w:rFonts w:ascii="Times New Roman" w:hAnsi="Times New Roman" w:cs="Times New Roman"/>
          <w:sz w:val="24"/>
          <w:szCs w:val="24"/>
        </w:rPr>
        <w:t xml:space="preserve"> ha</w:t>
      </w:r>
      <w:r>
        <w:rPr>
          <w:rFonts w:hint="eastAsia" w:ascii="Times New Roman" w:hAnsi="Times New Roman" w:cs="Times New Roman"/>
          <w:sz w:val="24"/>
          <w:szCs w:val="24"/>
        </w:rPr>
        <w:t>ving</w:t>
      </w:r>
      <w:r>
        <w:rPr>
          <w:rFonts w:ascii="Times New Roman" w:hAnsi="Times New Roman" w:cs="Times New Roman"/>
          <w:sz w:val="24"/>
          <w:szCs w:val="24"/>
        </w:rPr>
        <w:t xml:space="preserve"> the shortest tail among all 3 instruments.</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Since the overall error rate of the data from NovaSeq is slightly higher, we again used the </w:t>
      </w:r>
      <w:r>
        <w:rPr>
          <w:rFonts w:hint="eastAsia" w:ascii="Times New Roman" w:hAnsi="Times New Roman" w:cs="Times New Roman"/>
          <w:sz w:val="24"/>
          <w:szCs w:val="24"/>
        </w:rPr>
        <w:t>EVO</w:t>
      </w:r>
      <w:r>
        <w:rPr>
          <w:rFonts w:ascii="Times New Roman" w:hAnsi="Times New Roman" w:cs="Times New Roman"/>
          <w:sz w:val="24"/>
          <w:szCs w:val="24"/>
        </w:rPr>
        <w:t xml:space="preserve"> data with loosened filtration condition in plotting (error rate ~0.102%, Figure S3). Still </w:t>
      </w:r>
      <w:r>
        <w:rPr>
          <w:rFonts w:hint="eastAsia" w:ascii="Times New Roman" w:hAnsi="Times New Roman" w:cs="Times New Roman"/>
          <w:sz w:val="24"/>
          <w:szCs w:val="24"/>
        </w:rPr>
        <w:t>EVO</w:t>
      </w:r>
      <w:r>
        <w:rPr>
          <w:rFonts w:ascii="Times New Roman" w:hAnsi="Times New Roman" w:cs="Times New Roman"/>
          <w:sz w:val="24"/>
          <w:szCs w:val="24"/>
        </w:rPr>
        <w:t xml:space="preserve"> data has a flatter tail, which indicates that there are more profound reasons accounting for the high counts of high error sites for NovaSeq.   </w:t>
      </w:r>
    </w:p>
    <w:p>
      <w:pPr>
        <w:ind w:firstLine="420"/>
        <w:jc w:val="both"/>
        <w:rPr>
          <w:rFonts w:ascii="Times New Roman" w:hAnsi="Times New Roman" w:cs="Times New Roman"/>
          <w:sz w:val="24"/>
          <w:szCs w:val="24"/>
        </w:rPr>
      </w:pPr>
    </w:p>
    <w:p>
      <w:pPr>
        <w:jc w:val="center"/>
        <w:rPr>
          <w:rFonts w:ascii="Times New Roman" w:hAnsi="Times New Roman" w:eastAsia="宋体" w:cs="Times New Roman"/>
          <w:sz w:val="24"/>
          <w:szCs w:val="24"/>
        </w:rPr>
      </w:pPr>
      <w:r>
        <w:drawing>
          <wp:inline distT="0" distB="0" distL="0" distR="0">
            <wp:extent cx="2606675" cy="430466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a:xfrm>
                      <a:off x="0" y="0"/>
                      <a:ext cx="2606675" cy="4304665"/>
                    </a:xfrm>
                    <a:prstGeom prst="rect">
                      <a:avLst/>
                    </a:prstGeom>
                    <a:noFill/>
                  </pic:spPr>
                </pic:pic>
              </a:graphicData>
            </a:graphic>
          </wp:inline>
        </w:drawing>
      </w:r>
    </w:p>
    <w:p>
      <w:pPr>
        <w:jc w:val="both"/>
        <w:rPr>
          <w:rFonts w:hint="eastAsia"/>
          <w:sz w:val="24"/>
          <w:szCs w:val="24"/>
        </w:rPr>
      </w:pPr>
      <w:bookmarkStart w:id="4" w:name="_Hlk187006972"/>
      <w:r>
        <w:rPr>
          <w:rFonts w:ascii="Times New Roman" w:hAnsi="Times New Roman" w:cs="Times New Roman"/>
          <w:sz w:val="24"/>
          <w:szCs w:val="24"/>
        </w:rPr>
        <w:t xml:space="preserve">Figure 3. Error rate distributions for 100,000 random sites on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w:t>
      </w:r>
      <w:r>
        <w:rPr>
          <w:rFonts w:ascii="Times New Roman" w:hAnsi="Times New Roman" w:cs="Times New Roman"/>
          <w:sz w:val="24"/>
          <w:szCs w:val="24"/>
        </w:rPr>
        <w:t xml:space="preserve"> genome. (A) Counts of sites with 0 errors. (B) Histogram of error rates.</w:t>
      </w:r>
      <w:bookmarkEnd w:id="4"/>
    </w:p>
    <w:p>
      <w:pPr>
        <w:ind w:left="640" w:hanging="640"/>
        <w:rPr>
          <w:rFonts w:hint="eastAsia"/>
          <w:sz w:val="24"/>
          <w:szCs w:val="24"/>
        </w:rPr>
      </w:pPr>
      <w:bookmarkStart w:id="5" w:name="_Hlk182777770"/>
      <w:bookmarkEnd w:id="5"/>
    </w:p>
    <w:p>
      <w:pPr>
        <w:jc w:val="both"/>
        <w:rPr>
          <w:rFonts w:ascii="Times New Roman" w:hAnsi="Times New Roman" w:cs="Times New Roman"/>
          <w:b/>
          <w:bCs/>
          <w:sz w:val="24"/>
          <w:szCs w:val="24"/>
        </w:rPr>
      </w:pPr>
      <w:r>
        <w:rPr>
          <w:rFonts w:ascii="Times New Roman" w:hAnsi="Times New Roman" w:cs="Times New Roman"/>
          <w:b/>
          <w:bCs/>
          <w:sz w:val="24"/>
          <w:szCs w:val="24"/>
        </w:rPr>
        <w:t>Basecall error bias patterns</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To find out the reason, we analyzed error profiles in 2 ways: (a) the 12 single base substitution errors and (b) single base substitution errors in tri-base context.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Figure 4 shows the histograms of the 12 single base substitution errors for 3 instruments, where the dashed line at 8.3% indicates the ratio when the error is random. All 3 sequencers have their own bias patterns. NovaSeq has a high tendency to make A-to-C and T-to-G miscalls; similar high A-to-C miscalls has been reported for MiSeq instrument </w:t>
      </w:r>
      <w:r>
        <w:fldChar w:fldCharType="begin"/>
      </w:r>
      <w:r>
        <w:rPr>
          <w:rFonts w:ascii="Times New Roman" w:hAnsi="Times New Roman" w:cs="Times New Roman"/>
          <w:sz w:val="24"/>
          <w:szCs w:val="24"/>
        </w:rPr>
        <w:instrText xml:space="preserve">ADDIN EN.CITE &lt;EndNote&gt;&lt;Cite&gt;&lt;Author&gt;Schirmer&lt;/Author&gt;&lt;Year&gt;2015&lt;/Year&gt;&lt;RecNum&gt;1&lt;/RecNum&gt;&lt;DisplayText&gt;(9)&lt;/DisplayText&gt;&lt;record&gt;&lt;rec-number&gt;1&lt;/rec-number&gt;&lt;foreign-keys&gt;&lt;key app="EN" db-id="at9fad5vcrraere2ta7pawp59f05s0ddwapf"&gt;1&lt;/key&gt;&lt;/foreign-keys&gt;&lt;ref-type name="Journal Article"&gt;17&lt;/ref-type&gt;&lt;contributors&gt;&lt;authors&gt;&lt;author&gt;Schirmer, Melanie&lt;/author&gt;&lt;author&gt;Ijaz, Umer Z.&lt;/author&gt;&lt;author&gt;D&amp;apos;Amore, Rosalinda&lt;/author&gt;&lt;author&gt;Hall, Neil&lt;/author&gt;&lt;author&gt;Sloan, William T.&lt;/author&gt;&lt;author&gt;Quince, Christopher&lt;/author&gt;&lt;/authors&gt;&lt;/contributors&gt;&lt;titles&gt;&lt;title&gt;Insight into biases and sequencing errors for amplicon sequencing with the Illumina MiSeq platform&lt;/title&gt;&lt;secondary-title&gt;Nucleic Acids Research&lt;/secondary-title&gt;&lt;/titles&gt;&lt;periodical&gt;&lt;full-title&gt;Nucleic Acids Research&lt;/full-title&gt;&lt;/periodical&gt;&lt;pages&gt;e37-e37&lt;/pages&gt;&lt;volume&gt;43&lt;/volume&gt;&lt;number&gt;6&lt;/number&gt;&lt;keywords&gt;&lt;keyword&gt;genes&lt;/keyword&gt;&lt;keyword&gt;genetics&lt;/keyword&gt;&lt;keyword&gt;genome sequencing&lt;/keyword&gt;&lt;keyword&gt;laboratory techniques and procedures&lt;/keyword&gt;&lt;keyword&gt;laboratory test finding&lt;/keyword&gt;&lt;keyword&gt;libraries&lt;/keyword&gt;&lt;keyword&gt;longitudinal relaxation rate&lt;/keyword&gt;&lt;keyword&gt;metagenomics&lt;/keyword&gt;&lt;keyword&gt;molecular diagnostic techniques&lt;/keyword&gt;&lt;keyword&gt;nucleotides&lt;/keyword&gt;&lt;keyword&gt;rna, ribosomal, 16s&lt;/keyword&gt;&lt;keyword&gt;sequence analysis&lt;/keyword&gt;&lt;/keywords&gt;&lt;dates&gt;&lt;year&gt;2015&lt;/year&gt;&lt;pub-dates&gt;&lt;date&gt;2015/3//&lt;/date&gt;&lt;/pub-dates&gt;&lt;/dates&gt;&lt;publisher&gt;Oxford Academic&lt;/publisher&gt;&lt;urls&gt;&lt;related-urls&gt;&lt;url&gt;https://academic.oup.com/nar/article/43/6/e37/2453415&lt;/url&gt;&lt;/related-urls&gt;&lt;/urls&gt;&lt;electronic-resource-num&gt;10.1093/nar/gku1341&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DNBSeq-T7 tends to have C-to-G miscalls. </w:t>
      </w:r>
      <w:r>
        <w:rPr>
          <w:rFonts w:hint="eastAsia" w:ascii="Times New Roman" w:hAnsi="Times New Roman" w:cs="Times New Roman"/>
          <w:sz w:val="24"/>
          <w:szCs w:val="24"/>
        </w:rPr>
        <w:t>EVO</w:t>
      </w:r>
      <w:r>
        <w:rPr>
          <w:rFonts w:ascii="Times New Roman" w:hAnsi="Times New Roman" w:cs="Times New Roman"/>
          <w:sz w:val="24"/>
          <w:szCs w:val="24"/>
        </w:rPr>
        <w:t xml:space="preserve"> has a relatively higher A-to-T miscall percentage. Among all 3 instruments, </w:t>
      </w:r>
      <w:r>
        <w:rPr>
          <w:rFonts w:hint="eastAsia" w:ascii="Times New Roman" w:hAnsi="Times New Roman" w:cs="Times New Roman"/>
          <w:sz w:val="24"/>
          <w:szCs w:val="24"/>
        </w:rPr>
        <w:t>EVO</w:t>
      </w:r>
      <w:r>
        <w:rPr>
          <w:rFonts w:ascii="Times New Roman" w:hAnsi="Times New Roman" w:cs="Times New Roman"/>
          <w:sz w:val="24"/>
          <w:szCs w:val="24"/>
        </w:rPr>
        <w:t xml:space="preserve"> visually has the lowest error bias. </w:t>
      </w:r>
    </w:p>
    <w:p>
      <w:pPr>
        <w:ind w:firstLine="420"/>
        <w:jc w:val="both"/>
        <w:rPr>
          <w:rFonts w:ascii="Times New Roman" w:hAnsi="Times New Roman" w:cs="Times New Roman"/>
          <w:sz w:val="24"/>
          <w:szCs w:val="24"/>
        </w:rPr>
      </w:pPr>
      <w:r>
        <w:rPr>
          <w:rFonts w:ascii="Times New Roman" w:hAnsi="Times New Roman" w:cs="Times New Roman"/>
          <w:sz w:val="24"/>
          <w:szCs w:val="24"/>
        </w:rPr>
        <w:t>To quantitatively evaluate the error bias, we calculated cosine similarity between the observed ratios and the expected ratios (8.3%) for each type of sequencers, where cosine similarity is defined as:</w:t>
      </w:r>
    </w:p>
    <w:p>
      <w:pPr>
        <w:ind w:left="840" w:firstLine="420"/>
        <w:rPr>
          <w:rFonts w:ascii="Times New Roman" w:hAnsi="Times New Roman" w:cs="Times New Roman"/>
          <w:sz w:val="24"/>
          <w:szCs w:val="24"/>
        </w:rPr>
      </w:pPr>
      <w:r>
        <w:rPr>
          <w:rFonts w:ascii="Times New Roman" w:hAnsi="Times New Roman" w:cs="Times New Roman"/>
          <w:color w:val="444444"/>
          <w:sz w:val="24"/>
          <w:szCs w:val="24"/>
        </w:rPr>
        <w:t>Similarity(</w:t>
      </w:r>
      <w:r>
        <w:rPr>
          <w:rFonts w:ascii="Times New Roman" w:hAnsi="Times New Roman" w:cs="Times New Roman"/>
          <w:i/>
          <w:iCs/>
          <w:color w:val="444444"/>
          <w:sz w:val="24"/>
          <w:szCs w:val="24"/>
        </w:rPr>
        <w:t>A,B</w:t>
      </w:r>
      <w:r>
        <w:rPr>
          <w:rFonts w:ascii="Times New Roman" w:hAnsi="Times New Roman" w:cs="Times New Roman"/>
          <w:color w:val="444444"/>
          <w:sz w:val="24"/>
          <w:szCs w:val="24"/>
        </w:rPr>
        <w:t>) = (</w:t>
      </w:r>
      <w:r>
        <w:rPr>
          <w:rFonts w:ascii="Times New Roman" w:hAnsi="Times New Roman" w:cs="Times New Roman"/>
          <w:i/>
          <w:iCs/>
          <w:color w:val="444444"/>
          <w:sz w:val="24"/>
          <w:szCs w:val="24"/>
        </w:rPr>
        <w:t>A</w:t>
      </w:r>
      <w:r>
        <w:rPr>
          <w:rFonts w:ascii="Times New Roman" w:hAnsi="Times New Roman" w:eastAsia="宋体" w:cs="Times New Roman"/>
          <w:color w:val="444444"/>
          <w:sz w:val="24"/>
          <w:szCs w:val="24"/>
        </w:rPr>
        <w:t>·</w:t>
      </w:r>
      <w:r>
        <w:rPr>
          <w:rFonts w:ascii="Times New Roman" w:hAnsi="Times New Roman" w:cs="Times New Roman"/>
          <w:i/>
          <w:iCs/>
          <w:color w:val="444444"/>
          <w:sz w:val="24"/>
          <w:szCs w:val="24"/>
        </w:rPr>
        <w:t>B</w:t>
      </w:r>
      <w:r>
        <w:rPr>
          <w:rFonts w:ascii="Times New Roman" w:hAnsi="Times New Roman" w:cs="Times New Roman"/>
          <w:color w:val="444444"/>
          <w:sz w:val="24"/>
          <w:szCs w:val="24"/>
        </w:rPr>
        <w:t>) / (||</w:t>
      </w:r>
      <w:r>
        <w:rPr>
          <w:rFonts w:ascii="Times New Roman" w:hAnsi="Times New Roman" w:cs="Times New Roman"/>
          <w:i/>
          <w:iCs/>
          <w:color w:val="444444"/>
          <w:sz w:val="24"/>
          <w:szCs w:val="24"/>
        </w:rPr>
        <w:t>A</w:t>
      </w:r>
      <w:r>
        <w:rPr>
          <w:rFonts w:ascii="Times New Roman" w:hAnsi="Times New Roman" w:cs="Times New Roman"/>
          <w:color w:val="444444"/>
          <w:sz w:val="24"/>
          <w:szCs w:val="24"/>
        </w:rPr>
        <w:t xml:space="preserve">|| </w:t>
      </w:r>
      <w:r>
        <w:rPr>
          <w:rFonts w:ascii="Times New Roman" w:hAnsi="Times New Roman" w:cs="Times New Roman"/>
          <w:color w:val="000000"/>
          <w:spacing w:val="5"/>
          <w:sz w:val="24"/>
          <w:szCs w:val="24"/>
          <w:shd w:val="clear" w:color="auto" w:fill="FFFFFF"/>
        </w:rPr>
        <w:t>×</w:t>
      </w:r>
      <w:r>
        <w:rPr>
          <w:rFonts w:ascii="Times New Roman" w:hAnsi="Times New Roman" w:cs="Times New Roman"/>
          <w:color w:val="444444"/>
          <w:sz w:val="24"/>
          <w:szCs w:val="24"/>
        </w:rPr>
        <w:t xml:space="preserve"> ||</w:t>
      </w:r>
      <w:r>
        <w:rPr>
          <w:rFonts w:ascii="Times New Roman" w:hAnsi="Times New Roman" w:cs="Times New Roman"/>
          <w:i/>
          <w:iCs/>
          <w:color w:val="444444"/>
          <w:sz w:val="24"/>
          <w:szCs w:val="24"/>
        </w:rPr>
        <w:t>B</w:t>
      </w:r>
      <w:r>
        <w:rPr>
          <w:rFonts w:ascii="Times New Roman" w:hAnsi="Times New Roman" w:cs="Times New Roman"/>
          <w:color w:val="444444"/>
          <w:sz w:val="24"/>
          <w:szCs w:val="24"/>
        </w:rPr>
        <w:t>||)</w:t>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ab/>
      </w:r>
      <w:r>
        <w:rPr>
          <w:rFonts w:ascii="Times New Roman" w:hAnsi="Times New Roman" w:cs="Times New Roman"/>
          <w:color w:val="444444"/>
          <w:sz w:val="24"/>
          <w:szCs w:val="24"/>
        </w:rPr>
        <w:t>(1)</w:t>
      </w:r>
      <w:r>
        <w:rPr>
          <w:rFonts w:ascii="Times New Roman" w:hAnsi="Times New Roman" w:cs="Times New Roman"/>
          <w:sz w:val="24"/>
          <w:szCs w:val="24"/>
        </w:rPr>
        <w:t xml:space="preserve"> </w:t>
      </w:r>
    </w:p>
    <w:p>
      <w:pPr>
        <w:jc w:val="both"/>
        <w:rPr>
          <w:rFonts w:ascii="Times New Roman" w:hAnsi="Times New Roman" w:cs="Times New Roman"/>
          <w:sz w:val="24"/>
          <w:szCs w:val="24"/>
        </w:rPr>
      </w:pPr>
      <w:r>
        <w:rPr>
          <w:rFonts w:ascii="Times New Roman" w:hAnsi="Times New Roman" w:cs="Times New Roman"/>
          <w:i/>
          <w:iCs/>
          <w:sz w:val="24"/>
          <w:szCs w:val="24"/>
        </w:rPr>
        <w:t>A</w:t>
      </w:r>
      <w:r>
        <w:rPr>
          <w:rFonts w:ascii="Times New Roman" w:hAnsi="Times New Roman" w:cs="Times New Roman"/>
          <w:sz w:val="24"/>
          <w:szCs w:val="24"/>
        </w:rPr>
        <w:t xml:space="preserve"> and </w:t>
      </w:r>
      <w:r>
        <w:rPr>
          <w:rFonts w:ascii="Times New Roman" w:hAnsi="Times New Roman" w:cs="Times New Roman"/>
          <w:i/>
          <w:iCs/>
          <w:sz w:val="24"/>
          <w:szCs w:val="24"/>
        </w:rPr>
        <w:t>B</w:t>
      </w:r>
      <w:r>
        <w:rPr>
          <w:rFonts w:ascii="Times New Roman" w:hAnsi="Times New Roman" w:cs="Times New Roman"/>
          <w:sz w:val="24"/>
          <w:szCs w:val="24"/>
        </w:rPr>
        <w:t xml:space="preserve"> are two vectors of ratios, </w:t>
      </w:r>
      <w:r>
        <w:rPr>
          <w:rFonts w:ascii="Times New Roman" w:hAnsi="Times New Roman" w:cs="Times New Roman"/>
          <w:color w:val="444444"/>
          <w:sz w:val="24"/>
          <w:szCs w:val="24"/>
        </w:rPr>
        <w:t>||</w:t>
      </w:r>
      <w:r>
        <w:rPr>
          <w:rFonts w:ascii="Times New Roman" w:hAnsi="Times New Roman" w:cs="Times New Roman"/>
          <w:i/>
          <w:iCs/>
          <w:color w:val="444444"/>
          <w:sz w:val="24"/>
          <w:szCs w:val="24"/>
        </w:rPr>
        <w:t>A</w:t>
      </w:r>
      <w:r>
        <w:rPr>
          <w:rFonts w:ascii="Times New Roman" w:hAnsi="Times New Roman" w:cs="Times New Roman"/>
          <w:color w:val="444444"/>
          <w:sz w:val="24"/>
          <w:szCs w:val="24"/>
        </w:rPr>
        <w:t>|| and ||</w:t>
      </w:r>
      <w:r>
        <w:rPr>
          <w:rFonts w:ascii="Times New Roman" w:hAnsi="Times New Roman" w:cs="Times New Roman"/>
          <w:i/>
          <w:iCs/>
          <w:color w:val="444444"/>
          <w:sz w:val="24"/>
          <w:szCs w:val="24"/>
        </w:rPr>
        <w:t>B</w:t>
      </w:r>
      <w:r>
        <w:rPr>
          <w:rFonts w:ascii="Times New Roman" w:hAnsi="Times New Roman" w:cs="Times New Roman"/>
          <w:color w:val="444444"/>
          <w:sz w:val="24"/>
          <w:szCs w:val="24"/>
        </w:rPr>
        <w:t xml:space="preserve">|| are the length of the vectors, respectively. </w:t>
      </w:r>
      <w:r>
        <w:rPr>
          <w:rFonts w:ascii="Times New Roman" w:hAnsi="Times New Roman" w:cs="Times New Roman"/>
          <w:sz w:val="24"/>
          <w:szCs w:val="24"/>
        </w:rPr>
        <w:t xml:space="preserve">The similarity scores are 0.92 for </w:t>
      </w:r>
      <w:r>
        <w:rPr>
          <w:rFonts w:hint="eastAsia" w:ascii="Times New Roman" w:hAnsi="Times New Roman" w:cs="Times New Roman"/>
          <w:sz w:val="24"/>
          <w:szCs w:val="24"/>
        </w:rPr>
        <w:t>EVO</w:t>
      </w:r>
      <w:r>
        <w:rPr>
          <w:rFonts w:ascii="Times New Roman" w:hAnsi="Times New Roman" w:cs="Times New Roman"/>
          <w:sz w:val="24"/>
          <w:szCs w:val="24"/>
        </w:rPr>
        <w:t xml:space="preserve">, 0.54 for DNBSeq-T7, and 0.42 for NovaSeq, respectively. Apparently, </w:t>
      </w:r>
      <w:r>
        <w:rPr>
          <w:rFonts w:hint="eastAsia" w:ascii="Times New Roman" w:hAnsi="Times New Roman" w:cs="Times New Roman"/>
          <w:sz w:val="24"/>
          <w:szCs w:val="24"/>
        </w:rPr>
        <w:t>EVO</w:t>
      </w:r>
      <w:r>
        <w:rPr>
          <w:rFonts w:ascii="Times New Roman" w:hAnsi="Times New Roman" w:cs="Times New Roman"/>
          <w:sz w:val="24"/>
          <w:szCs w:val="24"/>
        </w:rPr>
        <w:t xml:space="preserve"> has an error profile most resembling that caused by random errors.</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Using the human NA12878 samples (Figure S4), we obtained completely distinctive mismatch patterns. Since for human samples, the mismatch comes from both basecall errors and sample mutations, the mismatch pattern is not discussed. </w:t>
      </w:r>
    </w:p>
    <w:p>
      <w:pPr>
        <w:ind w:left="640" w:hanging="640"/>
        <w:rPr>
          <w:rFonts w:hint="eastAsia"/>
          <w:sz w:val="24"/>
          <w:szCs w:val="24"/>
        </w:rPr>
      </w:pPr>
      <w:r>
        <w:drawing>
          <wp:inline distT="0" distB="0" distL="0" distR="0">
            <wp:extent cx="5844540" cy="241935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10"/>
                    <a:stretch>
                      <a:fillRect/>
                    </a:stretch>
                  </pic:blipFill>
                  <pic:spPr>
                    <a:xfrm>
                      <a:off x="0" y="0"/>
                      <a:ext cx="5844540" cy="2419350"/>
                    </a:xfrm>
                    <a:prstGeom prst="rect">
                      <a:avLst/>
                    </a:prstGeom>
                    <a:noFill/>
                  </pic:spPr>
                </pic:pic>
              </a:graphicData>
            </a:graphic>
          </wp:inline>
        </w:drawing>
      </w:r>
    </w:p>
    <w:p>
      <w:pPr>
        <w:rPr>
          <w:rFonts w:ascii="Times New Roman" w:hAnsi="Times New Roman" w:cs="Times New Roman"/>
          <w:sz w:val="24"/>
          <w:szCs w:val="24"/>
        </w:rPr>
      </w:pPr>
      <w:bookmarkStart w:id="6" w:name="_Hlk182778098"/>
      <w:r>
        <w:rPr>
          <w:rFonts w:ascii="Times New Roman" w:hAnsi="Times New Roman" w:cs="Times New Roman"/>
          <w:sz w:val="24"/>
          <w:szCs w:val="24"/>
        </w:rPr>
        <w:t xml:space="preserve">Figure 4. Histograms of 12 single base substitution error types using the </w:t>
      </w:r>
      <w:r>
        <w:rPr>
          <w:rFonts w:ascii="Times New Roman" w:hAnsi="Times New Roman" w:cs="Times New Roman"/>
          <w:i/>
          <w:iCs/>
          <w:sz w:val="24"/>
          <w:szCs w:val="24"/>
        </w:rPr>
        <w:t>E</w:t>
      </w:r>
      <w:r>
        <w:rPr>
          <w:rFonts w:hint="eastAsia" w:ascii="Times New Roman" w:hAnsi="Times New Roman" w:cs="Times New Roman"/>
          <w:i/>
          <w:iCs/>
          <w:sz w:val="24"/>
          <w:szCs w:val="24"/>
        </w:rPr>
        <w:t>.</w:t>
      </w:r>
      <w:r>
        <w:rPr>
          <w:rFonts w:ascii="Times New Roman" w:hAnsi="Times New Roman" w:cs="Times New Roman"/>
          <w:i/>
          <w:iCs/>
          <w:sz w:val="24"/>
          <w:szCs w:val="24"/>
        </w:rPr>
        <w:t xml:space="preserve"> coli </w:t>
      </w:r>
      <w:r>
        <w:rPr>
          <w:rFonts w:ascii="Times New Roman" w:hAnsi="Times New Roman" w:cs="Times New Roman"/>
          <w:sz w:val="24"/>
          <w:szCs w:val="24"/>
        </w:rPr>
        <w:t xml:space="preserve">sample. </w:t>
      </w:r>
      <w:bookmarkEnd w:id="6"/>
    </w:p>
    <w:p>
      <w:pPr>
        <w:ind w:firstLine="420"/>
        <w:jc w:val="both"/>
        <w:rPr>
          <w:rFonts w:ascii="Times New Roman" w:hAnsi="Times New Roman" w:cs="Times New Roman"/>
          <w:sz w:val="24"/>
          <w:szCs w:val="24"/>
        </w:rPr>
      </w:pP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There are many factors that may affect the single base substitution errors. Examples include instrumental, e.g., poorly designed optics that leads to high cross-talks between a pair of bases thus high error rates for these two bases, and biochemical, e.g., polymerase preference that leads to specific biased errors. To further analyze the root cause of higher error rate at some base sites, we analyzed the errors for all 64 types of tri-bases with the last one being the erroneous one. The histograms for 3 substitution errors are plotted for each of the 64 tri-bases (Figure 5). If the error is random, the 3 bars representing 3 substitution errors for each tri-base should be equally high, at ~33% level. </w:t>
      </w:r>
    </w:p>
    <w:p>
      <w:pPr>
        <w:spacing w:line="259"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From Figure 5, we notice </w:t>
      </w:r>
      <w:r>
        <w:rPr>
          <w:rFonts w:hint="eastAsia" w:ascii="Times New Roman" w:hAnsi="Times New Roman" w:cs="Times New Roman"/>
          <w:sz w:val="24"/>
          <w:szCs w:val="24"/>
        </w:rPr>
        <w:t>3</w:t>
      </w:r>
      <w:r>
        <w:rPr>
          <w:rFonts w:ascii="Times New Roman" w:hAnsi="Times New Roman" w:cs="Times New Roman"/>
          <w:sz w:val="24"/>
          <w:szCs w:val="24"/>
        </w:rPr>
        <w:t xml:space="preserve"> things: (a) all instruments have its own error bias pattern, which is understandable: no instrument is perfect. (b) Some of the bias patterns show no relationship to the tri-base context, while some display strong correlation. For example, for </w:t>
      </w:r>
      <w:r>
        <w:rPr>
          <w:rFonts w:hint="eastAsia" w:ascii="Times New Roman" w:hAnsi="Times New Roman" w:cs="Times New Roman"/>
          <w:sz w:val="24"/>
          <w:szCs w:val="24"/>
        </w:rPr>
        <w:t>EVO</w:t>
      </w:r>
      <w:r>
        <w:rPr>
          <w:rFonts w:ascii="Times New Roman" w:hAnsi="Times New Roman" w:cs="Times New Roman"/>
          <w:sz w:val="24"/>
          <w:szCs w:val="24"/>
        </w:rPr>
        <w:t xml:space="preserve">, all A-to-T substitution percentages are high irrespective of its sequence context. Similar cases can be found for A-to-C substitutions for NovaSeq, G-to-C substitutions for T-7, etc. However, some errors show strong context dependency. Typical examples include A-to-T errors for T-7 (first column of Figure 5B), where the error percentage is strongly related to the bases before A. Similar examples include C-to-G errors of </w:t>
      </w:r>
      <w:r>
        <w:rPr>
          <w:rFonts w:hint="eastAsia" w:ascii="Times New Roman" w:hAnsi="Times New Roman" w:cs="Times New Roman"/>
          <w:sz w:val="24"/>
          <w:szCs w:val="24"/>
        </w:rPr>
        <w:t>EVO</w:t>
      </w:r>
      <w:r>
        <w:rPr>
          <w:rFonts w:ascii="Times New Roman" w:hAnsi="Times New Roman" w:cs="Times New Roman"/>
          <w:sz w:val="24"/>
          <w:szCs w:val="24"/>
        </w:rPr>
        <w:t>, etc. Note that similar context-dependent error pattern has been reported for different types of instruments</w:t>
      </w:r>
      <w:r>
        <w:rPr>
          <w:rFonts w:ascii="Times New Roman" w:hAnsi="Times New Roman" w:cs="Times New Roman"/>
          <w:color w:val="000000"/>
          <w:sz w:val="24"/>
          <w:szCs w:val="24"/>
        </w:rPr>
        <w:t xml:space="preserve"> </w:t>
      </w:r>
      <w:r>
        <w:fldChar w:fldCharType="begin"/>
      </w:r>
      <w:r>
        <w:rPr>
          <w:rFonts w:ascii="Times New Roman" w:hAnsi="Times New Roman" w:cs="Times New Roman"/>
          <w:color w:val="000000"/>
          <w:sz w:val="24"/>
          <w:szCs w:val="24"/>
        </w:rPr>
        <w:instrText xml:space="preserve">ADDIN EN.CITE</w:instrText>
      </w:r>
      <w:r>
        <w:fldChar w:fldCharType="begin"/>
      </w:r>
      <w:r>
        <w:rPr>
          <w:rFonts w:ascii="Times New Roman" w:hAnsi="Times New Roman" w:cs="Times New Roman"/>
          <w:color w:val="000000"/>
          <w:sz w:val="24"/>
          <w:szCs w:val="24"/>
        </w:rPr>
        <w:instrText xml:space="preserve">ADDIN EN.CITE.DATA</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(8</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,9,25-27).</w:t>
      </w:r>
      <w:r>
        <w:rPr>
          <w:rFonts w:ascii="Times New Roman" w:hAnsi="Times New Roman" w:cs="Times New Roman"/>
          <w:sz w:val="24"/>
          <w:szCs w:val="24"/>
        </w:rPr>
        <w:t xml:space="preserve"> </w:t>
      </w:r>
      <w:r>
        <w:rPr>
          <w:rFonts w:hint="eastAsia" w:ascii="Times New Roman" w:hAnsi="Times New Roman" w:cs="Times New Roman"/>
          <w:sz w:val="24"/>
          <w:szCs w:val="24"/>
        </w:rPr>
        <w:t xml:space="preserve">(c) </w:t>
      </w:r>
      <w:r>
        <w:rPr>
          <w:rFonts w:ascii="Times New Roman" w:hAnsi="Times New Roman" w:cs="Times New Roman"/>
          <w:sz w:val="24"/>
          <w:szCs w:val="24"/>
        </w:rPr>
        <w:t>We designed a method to quantitatively evaluate the effect of the two leading bases for the miscalled base. For a certain miscall, e.g. A, if there is no context effect, the error pattern (i.e. the histogram in a small window in Figure 5A) would be the same or very similar</w:t>
      </w:r>
      <w:r>
        <w:rPr>
          <w:rFonts w:hint="eastAsia" w:ascii="Times New Roman" w:hAnsi="Times New Roman" w:cs="Times New Roman"/>
          <w:sz w:val="24"/>
          <w:szCs w:val="24"/>
        </w:rPr>
        <w:t xml:space="preserve"> irrespective of the bases before base A</w:t>
      </w:r>
      <w:r>
        <w:rPr>
          <w:rFonts w:ascii="Times New Roman" w:hAnsi="Times New Roman" w:cs="Times New Roman"/>
          <w:sz w:val="24"/>
          <w:szCs w:val="24"/>
        </w:rPr>
        <w:t xml:space="preserve">. As a consequence, the Pearson correlation coefficient between the error patterns </w:t>
      </w:r>
      <w:r>
        <w:rPr>
          <w:rFonts w:hint="eastAsia" w:ascii="Times New Roman" w:hAnsi="Times New Roman" w:cs="Times New Roman"/>
          <w:sz w:val="24"/>
          <w:szCs w:val="24"/>
        </w:rPr>
        <w:t xml:space="preserve">of any of the two combinations </w:t>
      </w:r>
      <w:r>
        <w:rPr>
          <w:rFonts w:ascii="Times New Roman" w:hAnsi="Times New Roman" w:cs="Times New Roman"/>
          <w:sz w:val="24"/>
          <w:szCs w:val="24"/>
        </w:rPr>
        <w:t xml:space="preserve">would be close to 1. Each base has 16 combinations for the 2 leading bases, leading to a total of 16 x 15 = 240 correlation coefficients between each pair of the 16 combinations. There are 4 bases, giving 960 correlation coefficients. Using an arbitrary threshold of 0.8, we counted the total number of “high” correlation coefficients for each type of instruments. There are 544 high correlation coefficients for </w:t>
      </w:r>
      <w:r>
        <w:rPr>
          <w:rFonts w:hint="eastAsia" w:ascii="Times New Roman" w:hAnsi="Times New Roman" w:cs="Times New Roman"/>
          <w:sz w:val="24"/>
          <w:szCs w:val="24"/>
        </w:rPr>
        <w:t>EVO</w:t>
      </w:r>
      <w:r>
        <w:rPr>
          <w:rFonts w:ascii="Times New Roman" w:hAnsi="Times New Roman" w:cs="Times New Roman"/>
          <w:sz w:val="24"/>
          <w:szCs w:val="24"/>
        </w:rPr>
        <w:t xml:space="preserve">, 533 for NovaSeq, and 394 for T7. This indicates </w:t>
      </w:r>
      <w:r>
        <w:rPr>
          <w:rFonts w:hint="eastAsia" w:ascii="Times New Roman" w:hAnsi="Times New Roman" w:cs="Times New Roman"/>
          <w:sz w:val="24"/>
          <w:szCs w:val="24"/>
        </w:rPr>
        <w:t>EVO</w:t>
      </w:r>
      <w:r>
        <w:rPr>
          <w:rFonts w:ascii="Times New Roman" w:hAnsi="Times New Roman" w:cs="Times New Roman"/>
          <w:sz w:val="24"/>
          <w:szCs w:val="24"/>
        </w:rPr>
        <w:t xml:space="preserve"> and NovaSeq have less context effect on the basecall bias. </w:t>
      </w:r>
    </w:p>
    <w:p>
      <w:pPr>
        <w:spacing w:line="259" w:lineRule="auto"/>
        <w:ind w:firstLine="420"/>
        <w:jc w:val="both"/>
        <w:rPr>
          <w:rFonts w:ascii="Times New Roman" w:hAnsi="Times New Roman" w:cs="Times New Roman"/>
          <w:sz w:val="24"/>
          <w:szCs w:val="24"/>
        </w:rPr>
      </w:pPr>
      <w:r>
        <w:rPr>
          <w:rFonts w:hint="eastAsia" w:ascii="Times New Roman" w:hAnsi="Times New Roman" w:cs="Times New Roman"/>
          <w:sz w:val="24"/>
          <w:szCs w:val="24"/>
        </w:rPr>
        <w:t xml:space="preserve">For </w:t>
      </w:r>
      <w:r>
        <w:rPr>
          <w:rFonts w:ascii="Times New Roman" w:hAnsi="Times New Roman" w:cs="Times New Roman"/>
          <w:sz w:val="24"/>
          <w:szCs w:val="24"/>
        </w:rPr>
        <w:t>context-dependent errors</w:t>
      </w:r>
      <w:r>
        <w:rPr>
          <w:rFonts w:hint="eastAsia" w:ascii="Times New Roman" w:hAnsi="Times New Roman" w:cs="Times New Roman"/>
          <w:sz w:val="24"/>
          <w:szCs w:val="24"/>
        </w:rPr>
        <w:t xml:space="preserve">, it is highly likely that these errors are relevant to the polymerase preference used in </w:t>
      </w:r>
      <w:r>
        <w:rPr>
          <w:rFonts w:ascii="Times New Roman" w:hAnsi="Times New Roman" w:cs="Times New Roman"/>
          <w:sz w:val="24"/>
          <w:szCs w:val="24"/>
        </w:rPr>
        <w:t>sequencing</w:t>
      </w:r>
      <w:r>
        <w:rPr>
          <w:rFonts w:hint="eastAsia" w:ascii="Times New Roman" w:hAnsi="Times New Roman" w:cs="Times New Roman"/>
          <w:sz w:val="24"/>
          <w:szCs w:val="24"/>
        </w:rPr>
        <w:t xml:space="preserve">-by-sequencing approach. This may suggest </w:t>
      </w:r>
      <w:r>
        <w:rPr>
          <w:rFonts w:ascii="Times New Roman" w:hAnsi="Times New Roman" w:cs="Times New Roman"/>
          <w:sz w:val="24"/>
          <w:szCs w:val="24"/>
        </w:rPr>
        <w:t>that</w:t>
      </w:r>
      <w:r>
        <w:rPr>
          <w:rFonts w:hint="eastAsia" w:ascii="Times New Roman" w:hAnsi="Times New Roman" w:cs="Times New Roman"/>
          <w:sz w:val="24"/>
          <w:szCs w:val="24"/>
        </w:rPr>
        <w:t xml:space="preserve"> EVO and NovaSeq used polymerase </w:t>
      </w:r>
      <w:r>
        <w:rPr>
          <w:rFonts w:ascii="Times New Roman" w:hAnsi="Times New Roman" w:cs="Times New Roman"/>
          <w:sz w:val="24"/>
          <w:szCs w:val="24"/>
        </w:rPr>
        <w:t>that</w:t>
      </w:r>
      <w:r>
        <w:rPr>
          <w:rFonts w:hint="eastAsia" w:ascii="Times New Roman" w:hAnsi="Times New Roman" w:cs="Times New Roman"/>
          <w:sz w:val="24"/>
          <w:szCs w:val="24"/>
        </w:rPr>
        <w:t xml:space="preserve"> is less biased. </w:t>
      </w:r>
    </w:p>
    <w:p>
      <w:pPr>
        <w:spacing w:line="259" w:lineRule="auto"/>
        <w:ind w:firstLine="420"/>
        <w:jc w:val="both"/>
        <w:rPr>
          <w:rFonts w:ascii="Times New Roman" w:hAnsi="Times New Roman" w:cs="Times New Roman"/>
          <w:sz w:val="24"/>
          <w:szCs w:val="24"/>
        </w:rPr>
      </w:pPr>
      <w:r>
        <w:rPr>
          <w:rFonts w:ascii="Times New Roman" w:hAnsi="Times New Roman" w:cs="Times New Roman"/>
          <w:sz w:val="24"/>
          <w:szCs w:val="24"/>
        </w:rPr>
        <w:t xml:space="preserve">The histograms of 3 single base substitution mismatches for each of all 64 types of tri-bases using human NA12878 samples are plotted in FigureS5. The mismatch pattern is not discussed here. </w:t>
      </w:r>
    </w:p>
    <w:p>
      <w:pPr>
        <w:spacing w:line="259" w:lineRule="auto"/>
        <w:ind w:firstLine="420"/>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 xml:space="preserve">Possible reasons for basecall </w:t>
      </w:r>
      <w:r>
        <w:rPr>
          <w:rFonts w:hint="eastAsia" w:ascii="Times New Roman" w:hAnsi="Times New Roman" w:cs="Times New Roman"/>
          <w:b/>
          <w:bCs/>
          <w:sz w:val="24"/>
          <w:szCs w:val="24"/>
        </w:rPr>
        <w:t xml:space="preserve">error </w:t>
      </w:r>
      <w:r>
        <w:rPr>
          <w:rFonts w:ascii="Times New Roman" w:hAnsi="Times New Roman" w:cs="Times New Roman"/>
          <w:b/>
          <w:bCs/>
          <w:sz w:val="24"/>
          <w:szCs w:val="24"/>
        </w:rPr>
        <w:t>bias</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Sequencing error rates and error bias patterns are two major factors for the performance of a sequencer. Especially, low sequencing error bias is essential for an accurate variant detection (Scheme 1). However, the sequencing error bias patterns, especially under a similar error rate for different instruments, have rarely been systematically compared before. Here, we compared error rates and error bias patterns for 3 high-throughput sequencers. </w:t>
      </w:r>
    </w:p>
    <w:p>
      <w:pPr>
        <w:ind w:firstLine="420"/>
        <w:jc w:val="both"/>
        <w:rPr>
          <w:rFonts w:ascii="Times New Roman" w:hAnsi="Times New Roman" w:cs="Times New Roman"/>
          <w:sz w:val="24"/>
          <w:szCs w:val="24"/>
        </w:rPr>
      </w:pPr>
      <w:r>
        <w:rPr>
          <w:rFonts w:ascii="Times New Roman" w:hAnsi="Times New Roman" w:cs="Times New Roman"/>
          <w:sz w:val="24"/>
          <w:szCs w:val="24"/>
        </w:rPr>
        <w:t xml:space="preserve">We show that although the overall error rates for the three sequencers are in the similar range, however, their performance on variant calls is largely different. Among the 3 DNA sequencers, </w:t>
      </w:r>
      <w:r>
        <w:rPr>
          <w:rFonts w:hint="eastAsia" w:ascii="Times New Roman" w:hAnsi="Times New Roman" w:cs="Times New Roman"/>
          <w:sz w:val="24"/>
          <w:szCs w:val="24"/>
        </w:rPr>
        <w:t>EVO</w:t>
      </w:r>
      <w:r>
        <w:rPr>
          <w:rFonts w:ascii="Times New Roman" w:hAnsi="Times New Roman" w:cs="Times New Roman"/>
          <w:sz w:val="24"/>
          <w:szCs w:val="24"/>
        </w:rPr>
        <w:t xml:space="preserve"> called the least number of false variants. A careful scrutinization shows that under high sequencing depth, basecall error rate distribution</w:t>
      </w:r>
      <w:r>
        <w:rPr>
          <w:rFonts w:hint="eastAsia" w:ascii="Times New Roman" w:hAnsi="Times New Roman" w:cs="Times New Roman"/>
          <w:sz w:val="24"/>
          <w:szCs w:val="24"/>
        </w:rPr>
        <w:t>s all</w:t>
      </w:r>
      <w:r>
        <w:rPr>
          <w:rFonts w:ascii="Times New Roman" w:hAnsi="Times New Roman" w:cs="Times New Roman"/>
          <w:sz w:val="24"/>
          <w:szCs w:val="24"/>
        </w:rPr>
        <w:t xml:space="preserve"> deviate from Poisson-like distribution and show a long tail at high error rate regions, indicating that there are significant non-random errors in basecalling. These high error rate sites are highly likely to be erroneously called as variants</w:t>
      </w:r>
      <w:r>
        <w:rPr>
          <w:rFonts w:hint="eastAsia" w:ascii="Times New Roman" w:hAnsi="Times New Roman" w:cs="Times New Roman"/>
          <w:sz w:val="24"/>
          <w:szCs w:val="24"/>
        </w:rPr>
        <w:t>, which are false</w:t>
      </w:r>
      <w:r>
        <w:rPr>
          <w:rFonts w:ascii="Times New Roman" w:hAnsi="Times New Roman" w:cs="Times New Roman"/>
          <w:sz w:val="24"/>
          <w:szCs w:val="24"/>
        </w:rPr>
        <w:t>.</w:t>
      </w:r>
      <w:r>
        <w:rPr>
          <w:rFonts w:hint="eastAsia" w:ascii="Times New Roman" w:hAnsi="Times New Roman" w:cs="Times New Roman"/>
          <w:sz w:val="24"/>
          <w:szCs w:val="24"/>
        </w:rPr>
        <w:t xml:space="preserve"> Within the 3 </w:t>
      </w:r>
      <w:r>
        <w:rPr>
          <w:rFonts w:ascii="Times New Roman" w:hAnsi="Times New Roman" w:cs="Times New Roman"/>
          <w:sz w:val="24"/>
          <w:szCs w:val="24"/>
        </w:rPr>
        <w:t>instruments</w:t>
      </w:r>
      <w:r>
        <w:rPr>
          <w:rFonts w:hint="eastAsia" w:ascii="Times New Roman" w:hAnsi="Times New Roman" w:cs="Times New Roman"/>
          <w:sz w:val="24"/>
          <w:szCs w:val="24"/>
        </w:rPr>
        <w:t xml:space="preserve">, EVO shows the cleanest tail.  </w:t>
      </w:r>
      <w:r>
        <w:rPr>
          <w:rFonts w:ascii="Times New Roman" w:hAnsi="Times New Roman" w:cs="Times New Roman"/>
          <w:sz w:val="24"/>
          <w:szCs w:val="24"/>
        </w:rPr>
        <w:t xml:space="preserve"> </w:t>
      </w:r>
    </w:p>
    <w:p>
      <w:pPr>
        <w:ind w:firstLine="420"/>
        <w:jc w:val="both"/>
        <w:rPr>
          <w:rFonts w:ascii="Times New Roman" w:hAnsi="Times New Roman" w:cs="Times New Roman"/>
          <w:sz w:val="24"/>
          <w:szCs w:val="24"/>
        </w:rPr>
      </w:pPr>
      <w:r>
        <w:rPr>
          <w:rFonts w:ascii="Times New Roman" w:hAnsi="Times New Roman" w:cs="Times New Roman"/>
          <w:sz w:val="24"/>
          <w:szCs w:val="24"/>
        </w:rPr>
        <w:t>Further analysis shows that different sequencers have different error patterns. Some errors have little or no correlation with its sequence context while some show a strong dependence. The possible reasons for the context-independent errors can be instrumental and</w:t>
      </w:r>
      <w:r>
        <w:rPr>
          <w:rFonts w:hint="eastAsia" w:ascii="Times New Roman" w:hAnsi="Times New Roman" w:cs="Times New Roman"/>
          <w:sz w:val="24"/>
          <w:szCs w:val="24"/>
        </w:rPr>
        <w:t>/or</w:t>
      </w:r>
      <w:r>
        <w:rPr>
          <w:rFonts w:ascii="Times New Roman" w:hAnsi="Times New Roman" w:cs="Times New Roman"/>
          <w:sz w:val="24"/>
          <w:szCs w:val="24"/>
        </w:rPr>
        <w:t xml:space="preserve"> biochemical, e.g. instrument</w:t>
      </w:r>
      <w:r>
        <w:rPr>
          <w:rFonts w:hint="eastAsia" w:ascii="Times New Roman" w:hAnsi="Times New Roman" w:cs="Times New Roman"/>
          <w:sz w:val="24"/>
          <w:szCs w:val="24"/>
        </w:rPr>
        <w:t xml:space="preserve"> design or dye set used</w:t>
      </w:r>
      <w:r>
        <w:rPr>
          <w:rFonts w:ascii="Times New Roman" w:hAnsi="Times New Roman" w:cs="Times New Roman"/>
          <w:sz w:val="24"/>
          <w:szCs w:val="24"/>
        </w:rPr>
        <w:t xml:space="preserve">. The context-dependent errors are </w:t>
      </w:r>
      <w:r>
        <w:rPr>
          <w:rFonts w:hint="eastAsia" w:ascii="Times New Roman" w:hAnsi="Times New Roman" w:cs="Times New Roman"/>
          <w:sz w:val="24"/>
          <w:szCs w:val="24"/>
        </w:rPr>
        <w:t xml:space="preserve">more likely </w:t>
      </w:r>
      <w:r>
        <w:rPr>
          <w:rFonts w:ascii="Times New Roman" w:hAnsi="Times New Roman" w:cs="Times New Roman"/>
          <w:sz w:val="24"/>
          <w:szCs w:val="24"/>
        </w:rPr>
        <w:t xml:space="preserve">related to the enzyme used in the sequencing-by-synthesis step. </w:t>
      </w:r>
    </w:p>
    <w:p>
      <w:pPr>
        <w:spacing w:line="259" w:lineRule="auto"/>
        <w:ind w:firstLine="420"/>
        <w:jc w:val="both"/>
        <w:rPr>
          <w:rFonts w:ascii="Times New Roman" w:hAnsi="Times New Roman" w:cs="Times New Roman"/>
          <w:sz w:val="24"/>
          <w:szCs w:val="24"/>
        </w:rPr>
      </w:pPr>
    </w:p>
    <w:p>
      <w:pPr>
        <w:jc w:val="center"/>
        <w:rPr>
          <w:rFonts w:ascii="Times New Roman" w:hAnsi="Times New Roman" w:cs="Times New Roman"/>
          <w:sz w:val="24"/>
          <w:szCs w:val="24"/>
        </w:rPr>
      </w:pPr>
      <w:r>
        <w:drawing>
          <wp:inline distT="0" distB="0" distL="0" distR="0">
            <wp:extent cx="4188460" cy="543179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1"/>
                    <a:stretch>
                      <a:fillRect/>
                    </a:stretch>
                  </pic:blipFill>
                  <pic:spPr>
                    <a:xfrm>
                      <a:off x="0" y="0"/>
                      <a:ext cx="4188460" cy="5431790"/>
                    </a:xfrm>
                    <a:prstGeom prst="rect">
                      <a:avLst/>
                    </a:prstGeom>
                    <a:noFill/>
                  </pic:spPr>
                </pic:pic>
              </a:graphicData>
            </a:graphic>
          </wp:inline>
        </w:drawing>
      </w:r>
    </w:p>
    <w:p>
      <w:pPr>
        <w:jc w:val="center"/>
        <w:rPr>
          <w:rFonts w:ascii="Times New Roman" w:hAnsi="Times New Roman" w:cs="Times New Roman"/>
          <w:sz w:val="24"/>
          <w:szCs w:val="24"/>
        </w:rPr>
      </w:pPr>
      <w:r>
        <w:drawing>
          <wp:inline distT="0" distB="0" distL="0" distR="0">
            <wp:extent cx="4115435" cy="542607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2"/>
                    <a:stretch>
                      <a:fillRect/>
                    </a:stretch>
                  </pic:blipFill>
                  <pic:spPr>
                    <a:xfrm>
                      <a:off x="0" y="0"/>
                      <a:ext cx="4115435" cy="5426075"/>
                    </a:xfrm>
                    <a:prstGeom prst="rect">
                      <a:avLst/>
                    </a:prstGeom>
                    <a:noFill/>
                  </pic:spPr>
                </pic:pic>
              </a:graphicData>
            </a:graphic>
          </wp:inline>
        </w:drawing>
      </w:r>
    </w:p>
    <w:p>
      <w:pPr>
        <w:jc w:val="center"/>
        <w:rPr>
          <w:rFonts w:ascii="Times New Roman" w:hAnsi="Times New Roman" w:cs="Times New Roman"/>
          <w:sz w:val="24"/>
          <w:szCs w:val="24"/>
        </w:rPr>
      </w:pPr>
      <w:r>
        <w:drawing>
          <wp:inline distT="0" distB="0" distL="0" distR="0">
            <wp:extent cx="4102735" cy="544449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noChangeArrowheads="1"/>
                    </pic:cNvPicPr>
                  </pic:nvPicPr>
                  <pic:blipFill>
                    <a:blip r:embed="rId13"/>
                    <a:stretch>
                      <a:fillRect/>
                    </a:stretch>
                  </pic:blipFill>
                  <pic:spPr>
                    <a:xfrm>
                      <a:off x="0" y="0"/>
                      <a:ext cx="4102735" cy="5444490"/>
                    </a:xfrm>
                    <a:prstGeom prst="rect">
                      <a:avLst/>
                    </a:prstGeom>
                    <a:noFill/>
                  </pic:spPr>
                </pic:pic>
              </a:graphicData>
            </a:graphic>
          </wp:inline>
        </w:drawing>
      </w:r>
    </w:p>
    <w:p>
      <w:pPr>
        <w:rPr>
          <w:rFonts w:ascii="Times New Roman" w:hAnsi="Times New Roman" w:cs="Times New Roman"/>
          <w:sz w:val="24"/>
          <w:szCs w:val="24"/>
        </w:rPr>
      </w:pPr>
      <w:r>
        <w:rPr>
          <w:rFonts w:ascii="Times New Roman" w:hAnsi="Times New Roman" w:cs="Times New Roman"/>
          <w:sz w:val="24"/>
          <w:szCs w:val="24"/>
        </w:rPr>
        <w:t xml:space="preserve">Figure 5. Histograms of 3 single base substitution errors for each of all 64 types of tri-bases with the last one being the erroneous one. The </w:t>
      </w:r>
      <w:r>
        <w:rPr>
          <w:rFonts w:hint="eastAsia" w:ascii="Times New Roman" w:hAnsi="Times New Roman" w:cs="Times New Roman"/>
          <w:i/>
          <w:iCs/>
          <w:sz w:val="24"/>
          <w:szCs w:val="24"/>
        </w:rPr>
        <w:t>x</w:t>
      </w:r>
      <w:r>
        <w:rPr>
          <w:rFonts w:ascii="Times New Roman" w:hAnsi="Times New Roman" w:cs="Times New Roman"/>
          <w:sz w:val="24"/>
          <w:szCs w:val="24"/>
        </w:rPr>
        <w:t xml:space="preserve">-axis shows the base that was mistaken for. (A) </w:t>
      </w:r>
      <w:r>
        <w:rPr>
          <w:rFonts w:hint="eastAsia" w:ascii="Times New Roman" w:hAnsi="Times New Roman" w:cs="Times New Roman"/>
          <w:sz w:val="24"/>
          <w:szCs w:val="24"/>
        </w:rPr>
        <w:t>EVO</w:t>
      </w:r>
      <w:r>
        <w:rPr>
          <w:rFonts w:ascii="Times New Roman" w:hAnsi="Times New Roman" w:cs="Times New Roman"/>
          <w:sz w:val="24"/>
          <w:szCs w:val="24"/>
        </w:rPr>
        <w:t>. (B) DNBSeq-T7. (C) NovaSeq.</w:t>
      </w:r>
    </w:p>
    <w:p>
      <w:pPr>
        <w:rPr>
          <w:rFonts w:hint="eastAsia"/>
        </w:rPr>
      </w:pP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 xml:space="preserve">Conclusions </w:t>
      </w:r>
    </w:p>
    <w:p>
      <w:pPr>
        <w:tabs>
          <w:tab w:val="left" w:pos="43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r>
        <w:rPr>
          <w:rFonts w:ascii="Times New Roman" w:hAnsi="Times New Roman" w:cs="Times New Roman"/>
          <w:sz w:val="24"/>
          <w:szCs w:val="24"/>
        </w:rPr>
        <w:tab/>
      </w:r>
      <w:r>
        <w:rPr>
          <w:rFonts w:hint="eastAsia" w:ascii="Times New Roman" w:hAnsi="Times New Roman" w:cs="Times New Roman"/>
          <w:sz w:val="24"/>
          <w:szCs w:val="24"/>
        </w:rPr>
        <w:t>W</w:t>
      </w:r>
      <w:r>
        <w:rPr>
          <w:rFonts w:ascii="Times New Roman" w:hAnsi="Times New Roman" w:cs="Times New Roman"/>
          <w:sz w:val="24"/>
          <w:szCs w:val="24"/>
        </w:rPr>
        <w:t>e investigated basecall error rates and error bias patterns for three high-throughput sequencers by comparing the base call mismatches against</w:t>
      </w:r>
      <w:r>
        <w:rPr>
          <w:rFonts w:ascii="Times New Roman" w:hAnsi="Times New Roman" w:cs="Times New Roman"/>
          <w:i/>
          <w:iCs/>
          <w:sz w:val="24"/>
          <w:szCs w:val="24"/>
        </w:rPr>
        <w:t xml:space="preserve"> E.coli </w:t>
      </w:r>
      <w:r>
        <w:rPr>
          <w:rFonts w:ascii="Times New Roman" w:hAnsi="Times New Roman" w:cs="Times New Roman"/>
          <w:sz w:val="24"/>
          <w:szCs w:val="24"/>
        </w:rPr>
        <w:t xml:space="preserve">genome reference. Their overall error rates fall in the 0.05~0.1% range but they show large difference on variant calls. Using a threshold of mutation frequency of 0.5%, NovaSeq’s false positive variant call rate is ~ 10 times higher than </w:t>
      </w:r>
      <w:r>
        <w:rPr>
          <w:rFonts w:hint="eastAsia" w:ascii="Times New Roman" w:hAnsi="Times New Roman" w:cs="Times New Roman"/>
          <w:sz w:val="24"/>
          <w:szCs w:val="24"/>
        </w:rPr>
        <w:t xml:space="preserve">that of </w:t>
      </w:r>
      <w:r>
        <w:rPr>
          <w:rFonts w:ascii="Times New Roman" w:hAnsi="Times New Roman" w:cs="Times New Roman"/>
          <w:sz w:val="24"/>
          <w:szCs w:val="24"/>
        </w:rPr>
        <w:t xml:space="preserve">T7 and ~ 20 times higher than </w:t>
      </w:r>
      <w:r>
        <w:rPr>
          <w:rFonts w:hint="eastAsia" w:ascii="Times New Roman" w:hAnsi="Times New Roman" w:cs="Times New Roman"/>
          <w:sz w:val="24"/>
          <w:szCs w:val="24"/>
        </w:rPr>
        <w:t>that of EVO</w:t>
      </w:r>
      <w:r>
        <w:rPr>
          <w:rFonts w:ascii="Times New Roman" w:hAnsi="Times New Roman" w:cs="Times New Roman"/>
          <w:sz w:val="24"/>
          <w:szCs w:val="24"/>
        </w:rPr>
        <w:t xml:space="preserve">. The basecall error rate distributions shows that there are significant non-random errors in basecalling, which are the major cause for false positive variant calls. Different sequencers have different error bias patterns including those sequence context-dependent and -independent. The instrument design and the enzyme used in the sequencing-by-synthesis approach determines the basecall accuracy of a sequencer. </w:t>
      </w:r>
    </w:p>
    <w:p>
      <w:pPr>
        <w:rPr>
          <w:rFonts w:ascii="Times New Roman" w:hAnsi="Times New Roman" w:eastAsia="宋体"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Data availability</w:t>
      </w:r>
    </w:p>
    <w:p>
      <w:pPr>
        <w:jc w:val="both"/>
        <w:rPr>
          <w:rFonts w:ascii="Times New Roman" w:hAnsi="Times New Roman" w:cs="Times New Roman"/>
          <w:sz w:val="24"/>
          <w:szCs w:val="24"/>
        </w:rPr>
      </w:pPr>
      <w:r>
        <w:rPr>
          <w:rFonts w:ascii="Times New Roman" w:hAnsi="Times New Roman" w:cs="Times New Roman"/>
          <w:sz w:val="24"/>
          <w:szCs w:val="24"/>
        </w:rPr>
        <w:t>The data underlying this article are available in the article and in its online supplementary material. Raw data are available in NCBI BioProject repository via accession number PRJNA1207107. The script was submitted to Github and can be found through the following link</w:t>
      </w:r>
      <w:r>
        <w:rPr>
          <w:rFonts w:hint="eastAsia" w:ascii="Times New Roman" w:hAnsi="Times New Roman" w:cs="Times New Roman"/>
          <w:sz w:val="24"/>
          <w:szCs w:val="24"/>
        </w:rPr>
        <w:t>:</w:t>
      </w:r>
    </w:p>
    <w:p>
      <w:pPr>
        <w:jc w:val="both"/>
        <w:rPr>
          <w:rFonts w:ascii="Times New Roman" w:hAnsi="Times New Roman" w:cs="Times New Roman"/>
          <w:sz w:val="24"/>
          <w:szCs w:val="24"/>
        </w:rPr>
      </w:pPr>
      <w:r>
        <w:rPr>
          <w:rFonts w:ascii="Times New Roman" w:hAnsi="Times New Roman" w:cs="Times New Roman"/>
          <w:sz w:val="24"/>
          <w:szCs w:val="24"/>
        </w:rPr>
        <w:t>https://github.com/yaotianran/get_position_info</w:t>
      </w:r>
    </w:p>
    <w:p>
      <w:pPr>
        <w:rPr>
          <w:rFonts w:ascii="Times New Roman" w:hAnsi="Times New Roman" w:cs="Times New Roman"/>
          <w:sz w:val="24"/>
          <w:szCs w:val="24"/>
        </w:rPr>
      </w:pPr>
    </w:p>
    <w:p>
      <w:pPr>
        <w:rPr>
          <w:rFonts w:ascii="Times New Roman" w:hAnsi="Times New Roman" w:cs="Times New Roman"/>
          <w:b/>
          <w:bCs/>
          <w:sz w:val="24"/>
          <w:szCs w:val="24"/>
        </w:rPr>
      </w:pPr>
      <w:r>
        <w:rPr>
          <w:rFonts w:ascii="Times New Roman" w:hAnsi="Times New Roman" w:cs="Times New Roman"/>
          <w:b/>
          <w:bCs/>
          <w:sz w:val="24"/>
          <w:szCs w:val="24"/>
        </w:rPr>
        <w:t>Acknowledgements</w:t>
      </w:r>
    </w:p>
    <w:p>
      <w:pPr>
        <w:jc w:val="both"/>
        <w:rPr>
          <w:rFonts w:ascii="Times New Roman" w:hAnsi="Times New Roman" w:cs="Times New Roman"/>
          <w:color w:val="0000FF"/>
          <w:sz w:val="24"/>
          <w:szCs w:val="24"/>
        </w:rPr>
      </w:pPr>
      <w:r>
        <w:rPr>
          <w:rFonts w:hint="eastAsia" w:ascii="Times New Roman" w:hAnsi="Times New Roman" w:cs="Times New Roman"/>
          <w:sz w:val="24"/>
          <w:szCs w:val="24"/>
        </w:rPr>
        <w:t>This study was supported by the National Key Science and Technology Special Project for Deep Earth Research, Deep subsurface microbial dynamic evolution and knowledge graph visualization (2024ZD1000603), Spring City Plan: the High-level Talent Promotion and Training Project of Kunming (2022SCP002).</w:t>
      </w:r>
    </w:p>
    <w:p>
      <w:pPr>
        <w:jc w:val="both"/>
        <w:rPr>
          <w:rFonts w:ascii="Times New Roman" w:hAnsi="Times New Roman" w:cs="Times New Roman"/>
          <w:sz w:val="24"/>
          <w:szCs w:val="24"/>
        </w:rPr>
      </w:pPr>
    </w:p>
    <w:p>
      <w:pPr>
        <w:rPr>
          <w:rFonts w:ascii="Times New Roman" w:hAnsi="Times New Roman" w:cs="Times New Roman"/>
          <w:b/>
          <w:bCs/>
          <w:sz w:val="24"/>
          <w:szCs w:val="24"/>
        </w:rPr>
      </w:pPr>
      <w:r>
        <w:rPr>
          <w:rFonts w:hint="eastAsia" w:ascii="Times New Roman" w:hAnsi="Times New Roman" w:cs="Times New Roman"/>
          <w:b/>
          <w:bCs/>
          <w:sz w:val="24"/>
          <w:szCs w:val="24"/>
        </w:rPr>
        <w:t>Conflict of interest statement</w:t>
      </w:r>
    </w:p>
    <w:p>
      <w:pPr>
        <w:rPr>
          <w:rFonts w:ascii="Times New Roman" w:hAnsi="Times New Roman" w:cs="Times New Roman"/>
          <w:sz w:val="24"/>
          <w:szCs w:val="24"/>
        </w:rPr>
      </w:pPr>
      <w:r>
        <w:rPr>
          <w:rFonts w:hint="eastAsia" w:ascii="Times New Roman" w:hAnsi="Times New Roman" w:eastAsia="Times New Roman" w:cs="Times New Roman"/>
          <w:sz w:val="24"/>
          <w:szCs w:val="24"/>
        </w:rPr>
        <w:t>The authors declare that there is no conflict of interest</w:t>
      </w:r>
      <w:r>
        <w:rPr>
          <w:rFonts w:hint="eastAsia" w:ascii="宋体" w:hAnsi="宋体" w:eastAsia="宋体" w:cs="宋体"/>
          <w:sz w:val="24"/>
          <w:szCs w:val="24"/>
        </w:rPr>
        <w:t>.</w:t>
      </w:r>
    </w:p>
    <w:p>
      <w:pPr>
        <w:rPr>
          <w:rFonts w:ascii="Times New Roman" w:hAnsi="Times New Roman" w:eastAsia="宋体" w:cs="Times New Roman"/>
          <w:b/>
          <w:bCs/>
          <w:sz w:val="24"/>
          <w:szCs w:val="24"/>
        </w:rPr>
      </w:pPr>
    </w:p>
    <w:p>
      <w:pPr>
        <w:rPr>
          <w:rFonts w:ascii="Times New Roman" w:hAnsi="Times New Roman" w:eastAsia="宋体" w:cs="Times New Roman"/>
          <w:b/>
          <w:bCs/>
          <w:sz w:val="24"/>
          <w:szCs w:val="24"/>
        </w:rPr>
      </w:pPr>
    </w:p>
    <w:p>
      <w:pPr>
        <w:pStyle w:val="2"/>
        <w:spacing w:beforeAutospacing="0" w:afterAutospacing="0"/>
        <w:rPr>
          <w:rFonts w:hint="default" w:ascii="Times New Roman" w:hAnsi="Times New Roman"/>
          <w:caps/>
          <w:sz w:val="24"/>
          <w:szCs w:val="24"/>
        </w:rPr>
      </w:pPr>
      <w:r>
        <w:rPr>
          <w:rFonts w:ascii="Times New Roman" w:hAnsi="Times New Roman"/>
          <w:caps/>
          <w:sz w:val="24"/>
          <w:szCs w:val="24"/>
        </w:rPr>
        <w:t>References</w:t>
      </w:r>
    </w:p>
    <w:p>
      <w:pPr>
        <w:ind w:left="720" w:hanging="720"/>
        <w:rPr>
          <w:rFonts w:ascii="Calibri" w:hAnsi="Calibri" w:cs="Calibri"/>
          <w:szCs w:val="24"/>
        </w:rPr>
      </w:pPr>
      <w:r>
        <w:fldChar w:fldCharType="begin"/>
      </w:r>
      <w:r>
        <w:rPr>
          <w:rFonts w:ascii="Times New Roman" w:hAnsi="Times New Roman" w:cs="Times New Roman"/>
          <w:sz w:val="24"/>
          <w:szCs w:val="24"/>
        </w:rPr>
        <w:instrText xml:space="preserve">ADDIN EN.REFLIST</w:instrText>
      </w:r>
      <w:r>
        <w:rPr>
          <w:rFonts w:ascii="Times New Roman" w:hAnsi="Times New Roman" w:cs="Times New Roman"/>
          <w:sz w:val="24"/>
          <w:szCs w:val="24"/>
        </w:rPr>
        <w:fldChar w:fldCharType="separate"/>
      </w:r>
      <w:bookmarkStart w:id="7" w:name="_ENREF_1"/>
      <w:r>
        <w:rPr>
          <w:rFonts w:ascii="Calibri" w:hAnsi="Calibri" w:cs="Calibri"/>
          <w:szCs w:val="24"/>
        </w:rPr>
        <w:t>1.</w:t>
      </w:r>
      <w:r>
        <w:rPr>
          <w:rFonts w:ascii="Calibri" w:hAnsi="Calibri" w:cs="Calibri"/>
          <w:szCs w:val="24"/>
        </w:rPr>
        <w:tab/>
      </w:r>
      <w:r>
        <w:rPr>
          <w:rFonts w:ascii="Calibri" w:hAnsi="Calibri" w:cs="Calibri"/>
          <w:szCs w:val="24"/>
        </w:rPr>
        <w:t>Lan, Y., Xu, B., Xi, Y., Luo, Y., Guo, X., Huang, Z., Luo, D., Zhu, A., He, P., Li, C.</w:t>
      </w:r>
      <w:r>
        <w:rPr>
          <w:rFonts w:ascii="Calibri" w:hAnsi="Calibri" w:cs="Calibri"/>
          <w:i/>
          <w:szCs w:val="24"/>
        </w:rPr>
        <w:t xml:space="preserve"> et al.</w:t>
      </w:r>
      <w:r>
        <w:rPr>
          <w:rFonts w:ascii="Calibri" w:hAnsi="Calibri" w:cs="Calibri"/>
          <w:szCs w:val="24"/>
        </w:rPr>
        <w:t xml:space="preserve"> (2024) Accurate Detection of Multiple Tumor Mutations in Formalin-Fixed Paraffin-Embedded Tissues by Coupling Sequence Artifacts Elimination and Mutation Enrichment With MeltArray. </w:t>
      </w:r>
      <w:r>
        <w:rPr>
          <w:rFonts w:ascii="Calibri" w:hAnsi="Calibri" w:cs="Calibri"/>
          <w:i/>
          <w:szCs w:val="24"/>
        </w:rPr>
        <w:t>Laboratory Investigation</w:t>
      </w:r>
      <w:r>
        <w:rPr>
          <w:rFonts w:ascii="Calibri" w:hAnsi="Calibri" w:cs="Calibri"/>
          <w:szCs w:val="24"/>
        </w:rPr>
        <w:t>, 104, 100300-100300.</w:t>
      </w:r>
    </w:p>
    <w:p>
      <w:pPr>
        <w:ind w:left="720" w:hanging="720"/>
        <w:rPr>
          <w:rFonts w:ascii="Calibri" w:hAnsi="Calibri" w:cs="Calibri"/>
          <w:szCs w:val="24"/>
        </w:rPr>
      </w:pPr>
      <w:r>
        <w:rPr>
          <w:rFonts w:ascii="Calibri" w:hAnsi="Calibri" w:cs="Calibri"/>
          <w:szCs w:val="24"/>
        </w:rPr>
        <w:t>2.</w:t>
      </w:r>
      <w:r>
        <w:rPr>
          <w:rFonts w:ascii="Calibri" w:hAnsi="Calibri" w:cs="Calibri"/>
          <w:szCs w:val="24"/>
        </w:rPr>
        <w:tab/>
      </w:r>
      <w:r>
        <w:rPr>
          <w:rFonts w:ascii="Calibri" w:hAnsi="Calibri" w:cs="Calibri"/>
          <w:szCs w:val="24"/>
        </w:rPr>
        <w:t xml:space="preserve">Guo, Q., Lakatos, E., Bakir, I.A., Curtius, K., Graham, T.A. and Mustonen, V. (2022) The mutational signatures of formalin fixation on the human genome. </w:t>
      </w:r>
      <w:r>
        <w:rPr>
          <w:rFonts w:ascii="Calibri" w:hAnsi="Calibri" w:cs="Calibri"/>
          <w:i/>
          <w:szCs w:val="24"/>
        </w:rPr>
        <w:t>Nature Communications 2022 13:1</w:t>
      </w:r>
      <w:r>
        <w:rPr>
          <w:rFonts w:ascii="Calibri" w:hAnsi="Calibri" w:cs="Calibri"/>
          <w:szCs w:val="24"/>
        </w:rPr>
        <w:t>, 13, 1-14.</w:t>
      </w:r>
    </w:p>
    <w:p>
      <w:pPr>
        <w:ind w:left="720" w:hanging="720"/>
        <w:rPr>
          <w:rFonts w:ascii="Calibri" w:hAnsi="Calibri" w:cs="Calibri"/>
          <w:szCs w:val="24"/>
        </w:rPr>
      </w:pPr>
      <w:r>
        <w:rPr>
          <w:rFonts w:ascii="Calibri" w:hAnsi="Calibri" w:cs="Calibri"/>
          <w:szCs w:val="24"/>
        </w:rPr>
        <w:t>3.</w:t>
      </w:r>
      <w:r>
        <w:rPr>
          <w:rFonts w:ascii="Calibri" w:hAnsi="Calibri" w:cs="Calibri"/>
          <w:szCs w:val="24"/>
        </w:rPr>
        <w:tab/>
      </w:r>
      <w:r>
        <w:rPr>
          <w:rFonts w:ascii="Calibri" w:hAnsi="Calibri" w:cs="Calibri"/>
          <w:szCs w:val="24"/>
        </w:rPr>
        <w:t xml:space="preserve">Chen, G., Mosier, S., Gocke, C.D., Lin, M.T. and Eshleman, J.R. (2014) Cytosine Deamination is a Major Cause of Baseline Noise in Next Generation Sequencing. </w:t>
      </w:r>
      <w:r>
        <w:rPr>
          <w:rFonts w:ascii="Calibri" w:hAnsi="Calibri" w:cs="Calibri"/>
          <w:i/>
          <w:szCs w:val="24"/>
        </w:rPr>
        <w:t>Molecular diagnosis &amp; therapy</w:t>
      </w:r>
      <w:r>
        <w:rPr>
          <w:rFonts w:ascii="Calibri" w:hAnsi="Calibri" w:cs="Calibri"/>
          <w:szCs w:val="24"/>
        </w:rPr>
        <w:t>, 18, 587-587.</w:t>
      </w:r>
    </w:p>
    <w:p>
      <w:pPr>
        <w:ind w:left="720" w:hanging="720"/>
        <w:rPr>
          <w:rFonts w:ascii="Calibri" w:hAnsi="Calibri" w:cs="Calibri"/>
          <w:szCs w:val="24"/>
        </w:rPr>
      </w:pPr>
      <w:r>
        <w:rPr>
          <w:rFonts w:ascii="Calibri" w:hAnsi="Calibri" w:cs="Calibri"/>
          <w:szCs w:val="24"/>
        </w:rPr>
        <w:t>4.</w:t>
      </w:r>
      <w:r>
        <w:rPr>
          <w:rFonts w:ascii="Calibri" w:hAnsi="Calibri" w:cs="Calibri"/>
          <w:szCs w:val="24"/>
        </w:rPr>
        <w:tab/>
      </w:r>
      <w:r>
        <w:rPr>
          <w:rFonts w:ascii="Calibri" w:hAnsi="Calibri" w:cs="Calibri"/>
          <w:szCs w:val="24"/>
        </w:rPr>
        <w:t>Costello, M., Pugh, T.J., Fennell, T.J., Stewart, C., Lichtenstein, L., Meldrim, J.C., Fostel, J.L., Friedrich, D.C., Perrin, D., Dionne, D.</w:t>
      </w:r>
      <w:r>
        <w:rPr>
          <w:rFonts w:ascii="Calibri" w:hAnsi="Calibri" w:cs="Calibri"/>
          <w:i/>
          <w:szCs w:val="24"/>
        </w:rPr>
        <w:t xml:space="preserve"> et al.</w:t>
      </w:r>
      <w:r>
        <w:rPr>
          <w:rFonts w:ascii="Calibri" w:hAnsi="Calibri" w:cs="Calibri"/>
          <w:szCs w:val="24"/>
        </w:rPr>
        <w:t xml:space="preserve"> (2013) Discovery and characterization of artifactual mutations in deep coverage targeted capture sequencing data due to oxidative DNA damage during sample preparation. </w:t>
      </w:r>
      <w:r>
        <w:rPr>
          <w:rFonts w:ascii="Calibri" w:hAnsi="Calibri" w:cs="Calibri"/>
          <w:i/>
          <w:szCs w:val="24"/>
        </w:rPr>
        <w:t>Nucleic Acids Research</w:t>
      </w:r>
      <w:r>
        <w:rPr>
          <w:rFonts w:ascii="Calibri" w:hAnsi="Calibri" w:cs="Calibri"/>
          <w:szCs w:val="24"/>
        </w:rPr>
        <w:t>, 41, e67-e67.</w:t>
      </w:r>
    </w:p>
    <w:p>
      <w:pPr>
        <w:ind w:left="720" w:hanging="720"/>
        <w:rPr>
          <w:rFonts w:ascii="Calibri" w:hAnsi="Calibri" w:cs="Calibri"/>
          <w:szCs w:val="24"/>
        </w:rPr>
      </w:pPr>
      <w:r>
        <w:rPr>
          <w:rFonts w:ascii="Calibri" w:hAnsi="Calibri" w:cs="Calibri"/>
          <w:szCs w:val="24"/>
        </w:rPr>
        <w:t>5.</w:t>
      </w:r>
      <w:r>
        <w:rPr>
          <w:rFonts w:ascii="Calibri" w:hAnsi="Calibri" w:cs="Calibri"/>
          <w:szCs w:val="24"/>
        </w:rPr>
        <w:tab/>
      </w:r>
      <w:r>
        <w:rPr>
          <w:rFonts w:ascii="Calibri" w:hAnsi="Calibri" w:cs="Calibri"/>
          <w:szCs w:val="24"/>
        </w:rPr>
        <w:t>McCall, C.M., Mosier, S., Thiess, M., Debeljak, M., Pallavajjala, A., Beierl, K., Deak, K.L., Datto, M.B., Gocke, C.D., Lin, M.T.</w:t>
      </w:r>
      <w:r>
        <w:rPr>
          <w:rFonts w:ascii="Calibri" w:hAnsi="Calibri" w:cs="Calibri"/>
          <w:i/>
          <w:szCs w:val="24"/>
        </w:rPr>
        <w:t xml:space="preserve"> et al.</w:t>
      </w:r>
      <w:r>
        <w:rPr>
          <w:rFonts w:ascii="Calibri" w:hAnsi="Calibri" w:cs="Calibri"/>
          <w:szCs w:val="24"/>
        </w:rPr>
        <w:t xml:space="preserve"> (2014) False Positives in Multiplex PCR-Based Next-Generation Sequencing Have Unique Signatures. </w:t>
      </w:r>
      <w:r>
        <w:rPr>
          <w:rFonts w:ascii="Calibri" w:hAnsi="Calibri" w:cs="Calibri"/>
          <w:i/>
          <w:szCs w:val="24"/>
        </w:rPr>
        <w:t>The Journal of Molecular Diagnostics : JMD</w:t>
      </w:r>
      <w:r>
        <w:rPr>
          <w:rFonts w:ascii="Calibri" w:hAnsi="Calibri" w:cs="Calibri"/>
          <w:szCs w:val="24"/>
        </w:rPr>
        <w:t>, 16, 541-541.</w:t>
      </w:r>
    </w:p>
    <w:p>
      <w:pPr>
        <w:ind w:left="720" w:hanging="720"/>
        <w:rPr>
          <w:rFonts w:ascii="Calibri" w:hAnsi="Calibri" w:cs="Calibri"/>
          <w:szCs w:val="24"/>
        </w:rPr>
      </w:pPr>
      <w:r>
        <w:rPr>
          <w:rFonts w:ascii="Calibri" w:hAnsi="Calibri" w:cs="Calibri"/>
          <w:szCs w:val="24"/>
        </w:rPr>
        <w:t>6.</w:t>
      </w:r>
      <w:r>
        <w:rPr>
          <w:rFonts w:ascii="Calibri" w:hAnsi="Calibri" w:cs="Calibri"/>
          <w:szCs w:val="24"/>
        </w:rPr>
        <w:tab/>
      </w:r>
      <w:r>
        <w:rPr>
          <w:rFonts w:ascii="Calibri" w:hAnsi="Calibri" w:cs="Calibri"/>
          <w:szCs w:val="24"/>
        </w:rPr>
        <w:t xml:space="preserve">Do, H. and Dobrovic, A. (2015) Sequence Artifacts in DNA from Formalin-Fixed Tissues: Causes and Strategies for Minimization. </w:t>
      </w:r>
      <w:r>
        <w:rPr>
          <w:rFonts w:ascii="Calibri" w:hAnsi="Calibri" w:cs="Calibri"/>
          <w:i/>
          <w:szCs w:val="24"/>
        </w:rPr>
        <w:t>Clinical Chemistry</w:t>
      </w:r>
      <w:r>
        <w:rPr>
          <w:rFonts w:ascii="Calibri" w:hAnsi="Calibri" w:cs="Calibri"/>
          <w:szCs w:val="24"/>
        </w:rPr>
        <w:t>, 61, 64-71.</w:t>
      </w:r>
    </w:p>
    <w:p>
      <w:pPr>
        <w:ind w:left="720" w:hanging="720"/>
        <w:rPr>
          <w:rFonts w:ascii="Calibri" w:hAnsi="Calibri" w:cs="Calibri"/>
          <w:szCs w:val="24"/>
        </w:rPr>
      </w:pPr>
      <w:r>
        <w:rPr>
          <w:rFonts w:ascii="Calibri" w:hAnsi="Calibri" w:cs="Calibri"/>
          <w:szCs w:val="24"/>
        </w:rPr>
        <w:t>7.</w:t>
      </w:r>
      <w:r>
        <w:rPr>
          <w:rFonts w:ascii="Calibri" w:hAnsi="Calibri" w:cs="Calibri"/>
          <w:szCs w:val="24"/>
        </w:rPr>
        <w:tab/>
      </w:r>
      <w:r>
        <w:rPr>
          <w:rFonts w:ascii="Calibri" w:hAnsi="Calibri" w:cs="Calibri"/>
          <w:szCs w:val="24"/>
        </w:rPr>
        <w:t xml:space="preserve">Pfeiffer, F., Gröber, C., Blank, M., Händler, K., Beyer, M., Schultze, J.L. and Mayer, G. (2018) Systematic evaluation of error rates and causes in short samples in next-generation sequencing. </w:t>
      </w:r>
      <w:r>
        <w:rPr>
          <w:rFonts w:ascii="Calibri" w:hAnsi="Calibri" w:cs="Calibri"/>
          <w:i/>
          <w:szCs w:val="24"/>
        </w:rPr>
        <w:t>Scientific Reports 2018 8:1</w:t>
      </w:r>
      <w:r>
        <w:rPr>
          <w:rFonts w:ascii="Calibri" w:hAnsi="Calibri" w:cs="Calibri"/>
          <w:szCs w:val="24"/>
        </w:rPr>
        <w:t>, 8, 1-14.</w:t>
      </w:r>
    </w:p>
    <w:p>
      <w:pPr>
        <w:ind w:left="720" w:hanging="720"/>
        <w:rPr>
          <w:rFonts w:ascii="Calibri" w:hAnsi="Calibri" w:cs="Calibri"/>
          <w:szCs w:val="24"/>
        </w:rPr>
      </w:pPr>
      <w:r>
        <w:rPr>
          <w:rFonts w:ascii="Calibri" w:hAnsi="Calibri" w:cs="Calibri"/>
          <w:szCs w:val="24"/>
        </w:rPr>
        <w:t>8.</w:t>
      </w:r>
      <w:r>
        <w:rPr>
          <w:rFonts w:ascii="Calibri" w:hAnsi="Calibri" w:cs="Calibri"/>
          <w:szCs w:val="24"/>
        </w:rPr>
        <w:tab/>
      </w:r>
      <w:r>
        <w:rPr>
          <w:rFonts w:ascii="Calibri" w:hAnsi="Calibri" w:cs="Calibri"/>
          <w:szCs w:val="24"/>
        </w:rPr>
        <w:t>Nakamura, K., Oshima, T., Morimoto, T., Ikeda, S., Yoshikawa, H., Shiwa, Y., Ishikawa, S., Linak, M.C., Hirai, A., Takahashi, H.</w:t>
      </w:r>
      <w:r>
        <w:rPr>
          <w:rFonts w:ascii="Calibri" w:hAnsi="Calibri" w:cs="Calibri"/>
          <w:i/>
          <w:szCs w:val="24"/>
        </w:rPr>
        <w:t xml:space="preserve"> et al.</w:t>
      </w:r>
      <w:r>
        <w:rPr>
          <w:rFonts w:ascii="Calibri" w:hAnsi="Calibri" w:cs="Calibri"/>
          <w:szCs w:val="24"/>
        </w:rPr>
        <w:t xml:space="preserve"> (2011) Sequence-specific error profile of Illumina sequencers. </w:t>
      </w:r>
      <w:r>
        <w:rPr>
          <w:rFonts w:ascii="Calibri" w:hAnsi="Calibri" w:cs="Calibri"/>
          <w:i/>
          <w:szCs w:val="24"/>
        </w:rPr>
        <w:t>Nucleic Acids Research</w:t>
      </w:r>
      <w:r>
        <w:rPr>
          <w:rFonts w:ascii="Calibri" w:hAnsi="Calibri" w:cs="Calibri"/>
          <w:szCs w:val="24"/>
        </w:rPr>
        <w:t>, 39, e90-e90.</w:t>
      </w:r>
    </w:p>
    <w:p>
      <w:pPr>
        <w:ind w:left="720" w:hanging="720"/>
        <w:rPr>
          <w:rFonts w:ascii="Calibri" w:hAnsi="Calibri" w:cs="Calibri"/>
          <w:szCs w:val="24"/>
        </w:rPr>
      </w:pPr>
      <w:r>
        <w:rPr>
          <w:rFonts w:ascii="Calibri" w:hAnsi="Calibri" w:cs="Calibri"/>
          <w:szCs w:val="24"/>
        </w:rPr>
        <w:t>9.</w:t>
      </w:r>
      <w:r>
        <w:rPr>
          <w:rFonts w:ascii="Calibri" w:hAnsi="Calibri" w:cs="Calibri"/>
          <w:szCs w:val="24"/>
        </w:rPr>
        <w:tab/>
      </w:r>
      <w:r>
        <w:rPr>
          <w:rFonts w:ascii="Calibri" w:hAnsi="Calibri" w:cs="Calibri"/>
          <w:szCs w:val="24"/>
        </w:rPr>
        <w:t xml:space="preserve">Schirmer, M., Ijaz, U.Z., D'Amore, R., Hall, N., Sloan, W.T. and Quince, C. (2015) Insight into biases and sequencing errors for amplicon sequencing with the Illumina MiSeq platform. </w:t>
      </w:r>
      <w:r>
        <w:rPr>
          <w:rFonts w:ascii="Calibri" w:hAnsi="Calibri" w:cs="Calibri"/>
          <w:i/>
          <w:szCs w:val="24"/>
        </w:rPr>
        <w:t>Nucleic Acids Research</w:t>
      </w:r>
      <w:r>
        <w:rPr>
          <w:rFonts w:ascii="Calibri" w:hAnsi="Calibri" w:cs="Calibri"/>
          <w:szCs w:val="24"/>
        </w:rPr>
        <w:t>, 43, e37-e37.</w:t>
      </w:r>
    </w:p>
    <w:p>
      <w:pPr>
        <w:ind w:left="720" w:hanging="720"/>
        <w:rPr>
          <w:rFonts w:ascii="Calibri" w:hAnsi="Calibri" w:cs="Calibri"/>
          <w:szCs w:val="24"/>
        </w:rPr>
      </w:pPr>
      <w:r>
        <w:rPr>
          <w:rFonts w:ascii="Calibri" w:hAnsi="Calibri" w:cs="Calibri"/>
          <w:szCs w:val="24"/>
        </w:rPr>
        <w:t>10.</w:t>
      </w:r>
      <w:r>
        <w:rPr>
          <w:rFonts w:ascii="Calibri" w:hAnsi="Calibri" w:cs="Calibri"/>
          <w:szCs w:val="24"/>
        </w:rPr>
        <w:tab/>
      </w:r>
      <w:r>
        <w:rPr>
          <w:rFonts w:ascii="Calibri" w:hAnsi="Calibri" w:cs="Calibri"/>
          <w:szCs w:val="24"/>
        </w:rPr>
        <w:t>Foox, J., Tighe, S.W., Nicolet, C.M., Zook, J.M., Byrska-Bishop, M., Clarke, W.E., Khayat, M.M., Mahmoud, M., Laaguiby, P.K., Herbert, Z.T.</w:t>
      </w:r>
      <w:r>
        <w:rPr>
          <w:rFonts w:ascii="Calibri" w:hAnsi="Calibri" w:cs="Calibri"/>
          <w:i/>
          <w:szCs w:val="24"/>
        </w:rPr>
        <w:t xml:space="preserve"> et al.</w:t>
      </w:r>
      <w:r>
        <w:rPr>
          <w:rFonts w:ascii="Calibri" w:hAnsi="Calibri" w:cs="Calibri"/>
          <w:szCs w:val="24"/>
        </w:rPr>
        <w:t xml:space="preserve"> (2021) Performance assessment of DNA sequencing platforms in the ABRF Next-Generation Sequencing Study. </w:t>
      </w:r>
      <w:r>
        <w:rPr>
          <w:rFonts w:ascii="Calibri" w:hAnsi="Calibri" w:cs="Calibri"/>
          <w:i/>
          <w:szCs w:val="24"/>
        </w:rPr>
        <w:t>Nature Biotechnology 2021 39:9</w:t>
      </w:r>
      <w:r>
        <w:rPr>
          <w:rFonts w:ascii="Calibri" w:hAnsi="Calibri" w:cs="Calibri"/>
          <w:szCs w:val="24"/>
        </w:rPr>
        <w:t>, 39, 1129-1140.</w:t>
      </w:r>
    </w:p>
    <w:p>
      <w:pPr>
        <w:ind w:left="720" w:hanging="720"/>
        <w:rPr>
          <w:rFonts w:ascii="Calibri" w:hAnsi="Calibri" w:cs="Calibri"/>
          <w:szCs w:val="24"/>
        </w:rPr>
      </w:pPr>
      <w:r>
        <w:rPr>
          <w:rFonts w:ascii="Calibri" w:hAnsi="Calibri" w:cs="Calibri"/>
          <w:szCs w:val="24"/>
        </w:rPr>
        <w:t>11.</w:t>
      </w:r>
      <w:r>
        <w:rPr>
          <w:rFonts w:ascii="Calibri" w:hAnsi="Calibri" w:cs="Calibri"/>
          <w:szCs w:val="24"/>
        </w:rPr>
        <w:tab/>
      </w:r>
      <w:r>
        <w:rPr>
          <w:rFonts w:ascii="Calibri" w:hAnsi="Calibri" w:cs="Calibri"/>
          <w:szCs w:val="24"/>
        </w:rPr>
        <w:t xml:space="preserve">Hoffmann, S., Otto, C., Kurtz, S., Sharma, C.M., Khaitovich, P., Vogel, J., Stadler, P.F. and Hackermüller, J. (2009) Fast Mapping of Short Sequences with Mismatches, Insertions and Deletions Using Index Structures. </w:t>
      </w:r>
      <w:r>
        <w:rPr>
          <w:rFonts w:ascii="Calibri" w:hAnsi="Calibri" w:cs="Calibri"/>
          <w:i/>
          <w:szCs w:val="24"/>
        </w:rPr>
        <w:t>PLOS Computational Biology</w:t>
      </w:r>
      <w:r>
        <w:rPr>
          <w:rFonts w:ascii="Calibri" w:hAnsi="Calibri" w:cs="Calibri"/>
          <w:szCs w:val="24"/>
        </w:rPr>
        <w:t>, 5, e1000502-e1000502.</w:t>
      </w:r>
    </w:p>
    <w:p>
      <w:pPr>
        <w:ind w:left="720" w:hanging="720"/>
        <w:rPr>
          <w:rFonts w:ascii="Calibri" w:hAnsi="Calibri" w:cs="Calibri"/>
          <w:szCs w:val="24"/>
        </w:rPr>
      </w:pPr>
      <w:r>
        <w:rPr>
          <w:rFonts w:ascii="Calibri" w:hAnsi="Calibri" w:cs="Calibri"/>
          <w:szCs w:val="24"/>
        </w:rPr>
        <w:t>12.</w:t>
      </w:r>
      <w:r>
        <w:rPr>
          <w:rFonts w:ascii="Calibri" w:hAnsi="Calibri" w:cs="Calibri"/>
          <w:szCs w:val="24"/>
        </w:rPr>
        <w:tab/>
      </w:r>
      <w:r>
        <w:rPr>
          <w:rFonts w:ascii="Calibri" w:hAnsi="Calibri" w:cs="Calibri"/>
          <w:szCs w:val="24"/>
        </w:rPr>
        <w:t xml:space="preserve">Dohm, J.C., Lottaz, C., Borodina, T. and Himmelbauer, H. (2008) Substantial biases in ultra-short read data sets from high-throughput DNA sequencing. </w:t>
      </w:r>
      <w:r>
        <w:rPr>
          <w:rFonts w:ascii="Calibri" w:hAnsi="Calibri" w:cs="Calibri"/>
          <w:i/>
          <w:szCs w:val="24"/>
        </w:rPr>
        <w:t>Nucleic Acids Research</w:t>
      </w:r>
      <w:r>
        <w:rPr>
          <w:rFonts w:ascii="Calibri" w:hAnsi="Calibri" w:cs="Calibri"/>
          <w:szCs w:val="24"/>
        </w:rPr>
        <w:t>, 36, 105-105.</w:t>
      </w:r>
    </w:p>
    <w:p>
      <w:pPr>
        <w:ind w:left="720" w:hanging="720"/>
        <w:rPr>
          <w:rFonts w:ascii="Calibri" w:hAnsi="Calibri" w:cs="Calibri"/>
          <w:szCs w:val="24"/>
        </w:rPr>
      </w:pPr>
      <w:r>
        <w:rPr>
          <w:rFonts w:ascii="Calibri" w:hAnsi="Calibri" w:cs="Calibri"/>
          <w:szCs w:val="24"/>
        </w:rPr>
        <w:t>13.</w:t>
      </w:r>
      <w:r>
        <w:rPr>
          <w:rFonts w:ascii="Calibri" w:hAnsi="Calibri" w:cs="Calibri"/>
          <w:szCs w:val="24"/>
        </w:rPr>
        <w:tab/>
      </w:r>
      <w:r>
        <w:rPr>
          <w:rFonts w:ascii="Calibri" w:hAnsi="Calibri" w:cs="Calibri"/>
          <w:szCs w:val="24"/>
        </w:rPr>
        <w:t xml:space="preserve">Chen, S., Zhou, Y., Chen, Y. and Gu, J. (2018) fastp: an ultra-fast all-in-one FASTQ preprocessor. </w:t>
      </w:r>
      <w:r>
        <w:rPr>
          <w:rFonts w:ascii="Calibri" w:hAnsi="Calibri" w:cs="Calibri"/>
          <w:i/>
          <w:szCs w:val="24"/>
        </w:rPr>
        <w:t>Bioinformatics</w:t>
      </w:r>
      <w:r>
        <w:rPr>
          <w:rFonts w:ascii="Calibri" w:hAnsi="Calibri" w:cs="Calibri"/>
          <w:szCs w:val="24"/>
        </w:rPr>
        <w:t>, 34, i884-i890.</w:t>
      </w:r>
    </w:p>
    <w:p>
      <w:pPr>
        <w:ind w:left="720" w:hanging="720"/>
        <w:rPr>
          <w:rFonts w:ascii="Calibri" w:hAnsi="Calibri" w:cs="Calibri"/>
          <w:szCs w:val="24"/>
        </w:rPr>
      </w:pPr>
      <w:r>
        <w:rPr>
          <w:rFonts w:ascii="Calibri" w:hAnsi="Calibri" w:cs="Calibri"/>
          <w:szCs w:val="24"/>
        </w:rPr>
        <w:t>14.</w:t>
      </w:r>
      <w:r>
        <w:rPr>
          <w:rFonts w:ascii="Calibri" w:hAnsi="Calibri" w:cs="Calibri"/>
          <w:szCs w:val="24"/>
        </w:rPr>
        <w:tab/>
      </w:r>
      <w:r>
        <w:rPr>
          <w:rFonts w:ascii="Calibri" w:hAnsi="Calibri" w:cs="Calibri"/>
          <w:szCs w:val="24"/>
        </w:rPr>
        <w:t xml:space="preserve">Md, V., Misra, S., Li, H. and Aluru, S. (2019) Efficient architecture-aware acceleration of BWA-MEM for multicore systems. </w:t>
      </w:r>
      <w:r>
        <w:rPr>
          <w:rFonts w:ascii="Calibri" w:hAnsi="Calibri" w:cs="Calibri"/>
          <w:i/>
          <w:szCs w:val="24"/>
        </w:rPr>
        <w:t>Proceedings - 2019 IEEE 33rd International Parallel and Distributed Processing Symposium, IPDPS 2019</w:t>
      </w:r>
      <w:r>
        <w:rPr>
          <w:rFonts w:ascii="Calibri" w:hAnsi="Calibri" w:cs="Calibri"/>
          <w:szCs w:val="24"/>
        </w:rPr>
        <w:t>, 314-324.</w:t>
      </w:r>
    </w:p>
    <w:p>
      <w:pPr>
        <w:ind w:left="720" w:hanging="720"/>
        <w:rPr>
          <w:rFonts w:ascii="Calibri" w:hAnsi="Calibri" w:cs="Calibri"/>
          <w:szCs w:val="24"/>
        </w:rPr>
      </w:pPr>
      <w:r>
        <w:rPr>
          <w:rFonts w:ascii="Calibri" w:hAnsi="Calibri" w:cs="Calibri"/>
          <w:szCs w:val="24"/>
        </w:rPr>
        <w:t>15.</w:t>
      </w:r>
      <w:r>
        <w:rPr>
          <w:rFonts w:ascii="Calibri" w:hAnsi="Calibri" w:cs="Calibri"/>
          <w:szCs w:val="24"/>
        </w:rPr>
        <w:tab/>
      </w:r>
      <w:r>
        <w:rPr>
          <w:rFonts w:ascii="Calibri" w:hAnsi="Calibri" w:cs="Calibri"/>
          <w:szCs w:val="24"/>
        </w:rPr>
        <w:t xml:space="preserve">Tarasov, A., Vilella, A.J., Cuppen, E., Nijman, I.J. and Prins, P. (2015) Sambamba: fast processing of NGS alignment formats. </w:t>
      </w:r>
      <w:r>
        <w:rPr>
          <w:rFonts w:ascii="Calibri" w:hAnsi="Calibri" w:cs="Calibri"/>
          <w:i/>
          <w:szCs w:val="24"/>
        </w:rPr>
        <w:t>Bioinformatics</w:t>
      </w:r>
      <w:r>
        <w:rPr>
          <w:rFonts w:ascii="Calibri" w:hAnsi="Calibri" w:cs="Calibri"/>
          <w:szCs w:val="24"/>
        </w:rPr>
        <w:t>, 31, 2032-2034.</w:t>
      </w:r>
    </w:p>
    <w:p>
      <w:pPr>
        <w:ind w:left="720" w:hanging="720"/>
        <w:rPr>
          <w:rFonts w:ascii="Calibri" w:hAnsi="Calibri" w:cs="Calibri"/>
          <w:szCs w:val="24"/>
        </w:rPr>
      </w:pPr>
      <w:r>
        <w:rPr>
          <w:rFonts w:ascii="Calibri" w:hAnsi="Calibri" w:cs="Calibri"/>
          <w:szCs w:val="24"/>
        </w:rPr>
        <w:t>16.</w:t>
      </w:r>
      <w:r>
        <w:rPr>
          <w:rFonts w:ascii="Calibri" w:hAnsi="Calibri" w:cs="Calibri"/>
          <w:szCs w:val="24"/>
        </w:rPr>
        <w:tab/>
      </w:r>
      <w:r>
        <w:rPr>
          <w:rFonts w:ascii="Calibri" w:hAnsi="Calibri" w:cs="Calibri"/>
          <w:szCs w:val="24"/>
        </w:rPr>
        <w:t>https://ftp-trace.ncbi.nlm.nih.gov/ReferenceSamples/giab/release/NA12878_HG001/NISTv4.2.1/GRCh37/.</w:t>
      </w:r>
    </w:p>
    <w:p>
      <w:pPr>
        <w:ind w:left="720" w:hanging="720"/>
        <w:rPr>
          <w:rFonts w:ascii="Calibri" w:hAnsi="Calibri" w:cs="Calibri"/>
          <w:szCs w:val="24"/>
        </w:rPr>
      </w:pPr>
      <w:r>
        <w:rPr>
          <w:rFonts w:ascii="Calibri" w:hAnsi="Calibri" w:cs="Calibri"/>
          <w:szCs w:val="24"/>
        </w:rPr>
        <w:t>17.</w:t>
      </w:r>
      <w:r>
        <w:rPr>
          <w:rFonts w:ascii="Calibri" w:hAnsi="Calibri" w:cs="Calibri"/>
          <w:szCs w:val="24"/>
        </w:rPr>
        <w:tab/>
      </w:r>
      <w:r>
        <w:rPr>
          <w:rFonts w:ascii="Calibri" w:hAnsi="Calibri" w:cs="Calibri"/>
          <w:szCs w:val="24"/>
        </w:rPr>
        <w:t xml:space="preserve">Jee, J., Rasouly, A., Shamovsky, I., Akivis, Y., R. Steinman, S., Mishra, B. and Nudler, E. (2016) Rates and mechanisms of bacterial mutagenesis from maximum-depth sequencing. </w:t>
      </w:r>
      <w:r>
        <w:rPr>
          <w:rFonts w:ascii="Calibri" w:hAnsi="Calibri" w:cs="Calibri"/>
          <w:i/>
          <w:szCs w:val="24"/>
        </w:rPr>
        <w:t>Nature</w:t>
      </w:r>
      <w:r>
        <w:rPr>
          <w:rFonts w:ascii="Calibri" w:hAnsi="Calibri" w:cs="Calibri"/>
          <w:szCs w:val="24"/>
        </w:rPr>
        <w:t>, 534, 693-696.</w:t>
      </w:r>
    </w:p>
    <w:p>
      <w:pPr>
        <w:ind w:left="720" w:hanging="720"/>
        <w:rPr>
          <w:rFonts w:ascii="Calibri" w:hAnsi="Calibri" w:cs="Calibri"/>
          <w:szCs w:val="24"/>
        </w:rPr>
      </w:pPr>
      <w:r>
        <w:rPr>
          <w:rFonts w:ascii="Calibri" w:hAnsi="Calibri" w:cs="Calibri"/>
          <w:szCs w:val="24"/>
        </w:rPr>
        <w:t>18.</w:t>
      </w:r>
      <w:r>
        <w:rPr>
          <w:rFonts w:ascii="Calibri" w:hAnsi="Calibri" w:cs="Calibri"/>
          <w:szCs w:val="24"/>
        </w:rPr>
        <w:tab/>
      </w:r>
      <w:r>
        <w:rPr>
          <w:rFonts w:ascii="Calibri" w:hAnsi="Calibri" w:cs="Calibri"/>
          <w:szCs w:val="24"/>
        </w:rPr>
        <w:t xml:space="preserve">Kinde, I., Wu, J., Papadopoulos, N., Kinzler, K.W. and Vogelstein, B. (2011) Detection and quantification of rare mutations with massively parallel sequencing. </w:t>
      </w:r>
      <w:r>
        <w:rPr>
          <w:rFonts w:ascii="Calibri" w:hAnsi="Calibri" w:cs="Calibri"/>
          <w:i/>
          <w:szCs w:val="24"/>
        </w:rPr>
        <w:t>Proceedings of the National Academy of Sciences</w:t>
      </w:r>
      <w:r>
        <w:rPr>
          <w:rFonts w:ascii="Calibri" w:hAnsi="Calibri" w:cs="Calibri"/>
          <w:szCs w:val="24"/>
        </w:rPr>
        <w:t>, 108, 9530-9535.</w:t>
      </w:r>
    </w:p>
    <w:p>
      <w:pPr>
        <w:ind w:left="720" w:hanging="720"/>
        <w:rPr>
          <w:rFonts w:ascii="Calibri" w:hAnsi="Calibri" w:cs="Calibri"/>
          <w:szCs w:val="24"/>
        </w:rPr>
      </w:pPr>
      <w:r>
        <w:rPr>
          <w:rFonts w:ascii="Calibri" w:hAnsi="Calibri" w:cs="Calibri"/>
          <w:szCs w:val="24"/>
        </w:rPr>
        <w:t>19.</w:t>
      </w:r>
      <w:r>
        <w:rPr>
          <w:rFonts w:ascii="Calibri" w:hAnsi="Calibri" w:cs="Calibri"/>
          <w:szCs w:val="24"/>
        </w:rPr>
        <w:tab/>
      </w:r>
      <w:r>
        <w:rPr>
          <w:rFonts w:ascii="Calibri" w:hAnsi="Calibri" w:cs="Calibri"/>
          <w:szCs w:val="24"/>
        </w:rPr>
        <w:t xml:space="preserve">Li, R., Wang, Q., Yang, J., Zhu, J., Liu, J., Wu, R. and Sun, H. (2023) Comparison of three massively parallel sequencing platforms for single nucleotide polymorphism (SNP) genotyping in forensic genetics. </w:t>
      </w:r>
      <w:r>
        <w:rPr>
          <w:rFonts w:ascii="Calibri" w:hAnsi="Calibri" w:cs="Calibri"/>
          <w:i/>
          <w:szCs w:val="24"/>
        </w:rPr>
        <w:t>International Journal of Legal Medicine</w:t>
      </w:r>
      <w:r>
        <w:rPr>
          <w:rFonts w:ascii="Calibri" w:hAnsi="Calibri" w:cs="Calibri"/>
          <w:szCs w:val="24"/>
        </w:rPr>
        <w:t>, 137, 1361-1372.</w:t>
      </w:r>
    </w:p>
    <w:p>
      <w:pPr>
        <w:ind w:left="720" w:hanging="720"/>
        <w:rPr>
          <w:rFonts w:ascii="Calibri" w:hAnsi="Calibri" w:cs="Calibri"/>
          <w:szCs w:val="24"/>
        </w:rPr>
      </w:pPr>
      <w:r>
        <w:rPr>
          <w:rFonts w:ascii="Calibri" w:hAnsi="Calibri" w:cs="Calibri"/>
          <w:szCs w:val="24"/>
        </w:rPr>
        <w:t>20.</w:t>
      </w:r>
      <w:r>
        <w:rPr>
          <w:rFonts w:ascii="Calibri" w:hAnsi="Calibri" w:cs="Calibri"/>
          <w:szCs w:val="24"/>
        </w:rPr>
        <w:tab/>
      </w:r>
      <w:r>
        <w:rPr>
          <w:rFonts w:ascii="Calibri" w:hAnsi="Calibri" w:cs="Calibri"/>
          <w:szCs w:val="24"/>
        </w:rPr>
        <w:t xml:space="preserve">Meng, X., Wang, M., Luo, M., Sun, L., Yan, Q. and Liu, Y. (2023) Systematic evaluation of multiple NGS platforms for structural variants detection. </w:t>
      </w:r>
      <w:r>
        <w:rPr>
          <w:rFonts w:ascii="Calibri" w:hAnsi="Calibri" w:cs="Calibri"/>
          <w:i/>
          <w:szCs w:val="24"/>
        </w:rPr>
        <w:t>Journal of Biological Chemistry</w:t>
      </w:r>
      <w:r>
        <w:rPr>
          <w:rFonts w:ascii="Calibri" w:hAnsi="Calibri" w:cs="Calibri"/>
          <w:szCs w:val="24"/>
        </w:rPr>
        <w:t>, 299, 105436-105437.</w:t>
      </w:r>
    </w:p>
    <w:p>
      <w:pPr>
        <w:ind w:left="720" w:hanging="720"/>
        <w:rPr>
          <w:rFonts w:ascii="Calibri" w:hAnsi="Calibri" w:cs="Calibri"/>
          <w:szCs w:val="24"/>
        </w:rPr>
      </w:pPr>
      <w:r>
        <w:rPr>
          <w:rFonts w:ascii="Calibri" w:hAnsi="Calibri" w:cs="Calibri"/>
          <w:szCs w:val="24"/>
        </w:rPr>
        <w:t>21.</w:t>
      </w:r>
      <w:r>
        <w:rPr>
          <w:rFonts w:ascii="Calibri" w:hAnsi="Calibri" w:cs="Calibri"/>
          <w:szCs w:val="24"/>
        </w:rPr>
        <w:tab/>
      </w:r>
      <w:r>
        <w:rPr>
          <w:rFonts w:ascii="Calibri" w:hAnsi="Calibri" w:cs="Calibri"/>
          <w:szCs w:val="24"/>
        </w:rPr>
        <w:t>Marin, M., Vargas, R., Harris, M., Jeffrey, B., Epperson, L.E., Durbin, D., Strong, M., Salfinger, M., Iqbal, Z., Akhundova, I.</w:t>
      </w:r>
      <w:r>
        <w:rPr>
          <w:rFonts w:ascii="Calibri" w:hAnsi="Calibri" w:cs="Calibri"/>
          <w:i/>
          <w:szCs w:val="24"/>
        </w:rPr>
        <w:t xml:space="preserve"> et al.</w:t>
      </w:r>
      <w:r>
        <w:rPr>
          <w:rFonts w:ascii="Calibri" w:hAnsi="Calibri" w:cs="Calibri"/>
          <w:szCs w:val="24"/>
        </w:rPr>
        <w:t xml:space="preserve"> (2022) Benchmarking the empirical accuracy of short-read sequencing across the M. tuberculosis genome. </w:t>
      </w:r>
      <w:r>
        <w:rPr>
          <w:rFonts w:ascii="Calibri" w:hAnsi="Calibri" w:cs="Calibri"/>
          <w:i/>
          <w:szCs w:val="24"/>
        </w:rPr>
        <w:t>Bioinformatics (Oxford, England)</w:t>
      </w:r>
      <w:r>
        <w:rPr>
          <w:rFonts w:ascii="Calibri" w:hAnsi="Calibri" w:cs="Calibri"/>
          <w:szCs w:val="24"/>
        </w:rPr>
        <w:t>, 38, 1781-1787.</w:t>
      </w:r>
    </w:p>
    <w:p>
      <w:pPr>
        <w:ind w:left="720" w:hanging="720"/>
        <w:rPr>
          <w:rFonts w:ascii="Calibri" w:hAnsi="Calibri" w:cs="Calibri"/>
          <w:szCs w:val="24"/>
        </w:rPr>
      </w:pPr>
      <w:r>
        <w:rPr>
          <w:rFonts w:ascii="Calibri" w:hAnsi="Calibri" w:cs="Calibri"/>
          <w:szCs w:val="24"/>
        </w:rPr>
        <w:t>22.</w:t>
      </w:r>
      <w:r>
        <w:rPr>
          <w:rFonts w:ascii="Calibri" w:hAnsi="Calibri" w:cs="Calibri"/>
          <w:szCs w:val="24"/>
        </w:rPr>
        <w:tab/>
      </w:r>
      <w:r>
        <w:rPr>
          <w:rFonts w:ascii="Calibri" w:hAnsi="Calibri" w:cs="Calibri"/>
          <w:szCs w:val="24"/>
        </w:rPr>
        <w:t xml:space="preserve">Wang, B., Wan, L., Wang, A. and Li, L.M. (2017) An adaptive decorrelation method removes Illumina DNA base-calling errors caused by crosstalk between adjacent clusters. </w:t>
      </w:r>
      <w:r>
        <w:rPr>
          <w:rFonts w:ascii="Calibri" w:hAnsi="Calibri" w:cs="Calibri"/>
          <w:i/>
          <w:szCs w:val="24"/>
        </w:rPr>
        <w:t>Scientific Reports 2017 7:1</w:t>
      </w:r>
      <w:r>
        <w:rPr>
          <w:rFonts w:ascii="Calibri" w:hAnsi="Calibri" w:cs="Calibri"/>
          <w:szCs w:val="24"/>
        </w:rPr>
        <w:t>, 7, 1-11.</w:t>
      </w:r>
    </w:p>
    <w:p>
      <w:pPr>
        <w:ind w:left="720" w:hanging="720"/>
        <w:rPr>
          <w:rFonts w:ascii="Calibri" w:hAnsi="Calibri" w:cs="Calibri"/>
          <w:szCs w:val="24"/>
        </w:rPr>
      </w:pPr>
      <w:r>
        <w:rPr>
          <w:rFonts w:ascii="Calibri" w:hAnsi="Calibri" w:cs="Calibri"/>
          <w:szCs w:val="24"/>
        </w:rPr>
        <w:t>23.</w:t>
      </w:r>
      <w:r>
        <w:rPr>
          <w:rFonts w:ascii="Calibri" w:hAnsi="Calibri" w:cs="Calibri"/>
          <w:szCs w:val="24"/>
        </w:rPr>
        <w:tab/>
      </w:r>
      <w:r>
        <w:rPr>
          <w:rFonts w:ascii="Calibri" w:hAnsi="Calibri" w:cs="Calibri"/>
          <w:szCs w:val="24"/>
        </w:rPr>
        <w:t xml:space="preserve">Cabanski, C.R., Cavin, K., Bizon, C., Wilkerson, M.D., Parker, J.S., Wilhelmsen, K.C., Perou, C.M., Marron, J.S. and Hayes, D.N. (2012) ReQON: a Bioconductor package for recalibrating quality scores from next-generation sequencing data. </w:t>
      </w:r>
      <w:r>
        <w:rPr>
          <w:rFonts w:ascii="Calibri" w:hAnsi="Calibri" w:cs="Calibri"/>
          <w:i/>
          <w:szCs w:val="24"/>
        </w:rPr>
        <w:t>BMC Bioinformatics</w:t>
      </w:r>
      <w:r>
        <w:rPr>
          <w:rFonts w:ascii="Calibri" w:hAnsi="Calibri" w:cs="Calibri"/>
          <w:szCs w:val="24"/>
        </w:rPr>
        <w:t>, 13, 1-10.</w:t>
      </w:r>
    </w:p>
    <w:p>
      <w:pPr>
        <w:ind w:left="720" w:hanging="720"/>
        <w:rPr>
          <w:rFonts w:ascii="Calibri" w:hAnsi="Calibri" w:cs="Calibri"/>
          <w:szCs w:val="24"/>
        </w:rPr>
      </w:pPr>
      <w:r>
        <w:rPr>
          <w:rFonts w:ascii="Calibri" w:hAnsi="Calibri" w:cs="Calibri"/>
          <w:szCs w:val="24"/>
        </w:rPr>
        <w:t>24.</w:t>
      </w:r>
      <w:r>
        <w:rPr>
          <w:rFonts w:ascii="Calibri" w:hAnsi="Calibri" w:cs="Calibri"/>
          <w:szCs w:val="24"/>
        </w:rPr>
        <w:tab/>
      </w:r>
      <w:r>
        <w:rPr>
          <w:rFonts w:ascii="Calibri" w:hAnsi="Calibri" w:cs="Calibri"/>
          <w:szCs w:val="24"/>
        </w:rPr>
        <w:t xml:space="preserve">Ni, S. and Stoneking, M. (2016) Improvement in detection of minor alleles in next generation sequencing by base quality recalibration. </w:t>
      </w:r>
      <w:r>
        <w:rPr>
          <w:rFonts w:ascii="Calibri" w:hAnsi="Calibri" w:cs="Calibri"/>
          <w:i/>
          <w:szCs w:val="24"/>
        </w:rPr>
        <w:t>BMC Genomics</w:t>
      </w:r>
      <w:r>
        <w:rPr>
          <w:rFonts w:ascii="Calibri" w:hAnsi="Calibri" w:cs="Calibri"/>
          <w:szCs w:val="24"/>
        </w:rPr>
        <w:t>, 17, 1-12.</w:t>
      </w:r>
    </w:p>
    <w:p>
      <w:pPr>
        <w:ind w:left="720" w:hanging="720"/>
        <w:rPr>
          <w:rFonts w:ascii="Calibri" w:hAnsi="Calibri" w:cs="Calibri"/>
          <w:szCs w:val="24"/>
        </w:rPr>
      </w:pPr>
      <w:r>
        <w:rPr>
          <w:rFonts w:ascii="Calibri" w:hAnsi="Calibri" w:cs="Calibri"/>
          <w:szCs w:val="24"/>
        </w:rPr>
        <w:t>25.</w:t>
      </w:r>
      <w:r>
        <w:rPr>
          <w:rFonts w:ascii="Calibri" w:hAnsi="Calibri" w:cs="Calibri"/>
          <w:szCs w:val="24"/>
        </w:rPr>
        <w:tab/>
      </w:r>
      <w:r>
        <w:rPr>
          <w:rFonts w:ascii="Calibri" w:hAnsi="Calibri" w:cs="Calibri"/>
          <w:szCs w:val="24"/>
        </w:rPr>
        <w:t xml:space="preserve">Schirmer, M., D'Amore, R., Ijaz, U.Z., Hall, N. and Quince, C. (2016) Illumina error profiles: Resolving fine-scale variation in metagenomic sequencing data. </w:t>
      </w:r>
      <w:r>
        <w:rPr>
          <w:rFonts w:ascii="Calibri" w:hAnsi="Calibri" w:cs="Calibri"/>
          <w:i/>
          <w:szCs w:val="24"/>
        </w:rPr>
        <w:t>BMC Bioinformatics</w:t>
      </w:r>
      <w:r>
        <w:rPr>
          <w:rFonts w:ascii="Calibri" w:hAnsi="Calibri" w:cs="Calibri"/>
          <w:szCs w:val="24"/>
        </w:rPr>
        <w:t>, 17, 1-15.</w:t>
      </w:r>
    </w:p>
    <w:p>
      <w:pPr>
        <w:ind w:left="720" w:hanging="720"/>
        <w:rPr>
          <w:rFonts w:ascii="Calibri" w:hAnsi="Calibri" w:cs="Calibri"/>
          <w:szCs w:val="24"/>
        </w:rPr>
      </w:pPr>
      <w:r>
        <w:rPr>
          <w:rFonts w:ascii="Calibri" w:hAnsi="Calibri" w:cs="Calibri"/>
          <w:szCs w:val="24"/>
        </w:rPr>
        <w:t>26.</w:t>
      </w:r>
      <w:r>
        <w:rPr>
          <w:rFonts w:ascii="Calibri" w:hAnsi="Calibri" w:cs="Calibri"/>
          <w:szCs w:val="24"/>
        </w:rPr>
        <w:tab/>
      </w:r>
      <w:r>
        <w:rPr>
          <w:rFonts w:ascii="Calibri" w:hAnsi="Calibri" w:cs="Calibri"/>
          <w:szCs w:val="24"/>
        </w:rPr>
        <w:t xml:space="preserve">Meacham, F., Boffelli, D., Dhahbi, J., Martin, D.I.K., Singer, M. and Pachter, L. (2011) Identification and correction of systematic error in high-throughput sequence data. </w:t>
      </w:r>
      <w:r>
        <w:rPr>
          <w:rFonts w:ascii="Calibri" w:hAnsi="Calibri" w:cs="Calibri"/>
          <w:i/>
          <w:szCs w:val="24"/>
        </w:rPr>
        <w:t>BMC Bioinformatics</w:t>
      </w:r>
      <w:r>
        <w:rPr>
          <w:rFonts w:ascii="Calibri" w:hAnsi="Calibri" w:cs="Calibri"/>
          <w:szCs w:val="24"/>
        </w:rPr>
        <w:t>, 12, 1-11.</w:t>
      </w:r>
    </w:p>
    <w:p>
      <w:pPr>
        <w:ind w:left="720" w:hanging="720"/>
        <w:rPr>
          <w:rFonts w:ascii="Calibri" w:hAnsi="Calibri" w:cs="Calibri"/>
          <w:szCs w:val="24"/>
        </w:rPr>
      </w:pPr>
      <w:r>
        <w:rPr>
          <w:rFonts w:ascii="Calibri" w:hAnsi="Calibri" w:cs="Calibri"/>
          <w:szCs w:val="24"/>
        </w:rPr>
        <w:t>27.</w:t>
      </w:r>
      <w:r>
        <w:rPr>
          <w:rFonts w:ascii="Calibri" w:hAnsi="Calibri" w:cs="Calibri"/>
          <w:szCs w:val="24"/>
        </w:rPr>
        <w:tab/>
      </w:r>
      <w:r>
        <w:rPr>
          <w:rFonts w:ascii="Calibri" w:hAnsi="Calibri" w:cs="Calibri"/>
          <w:szCs w:val="24"/>
        </w:rPr>
        <w:t xml:space="preserve">Stoler, N. and Nekrutenko, A. (2021) Sequencing error profiles of Illumina sequencing instruments. </w:t>
      </w:r>
      <w:r>
        <w:rPr>
          <w:rFonts w:ascii="Calibri" w:hAnsi="Calibri" w:cs="Calibri"/>
          <w:i/>
          <w:szCs w:val="24"/>
        </w:rPr>
        <w:t>NAR Genomics and Bioinformatics</w:t>
      </w:r>
      <w:r>
        <w:rPr>
          <w:rFonts w:ascii="Calibri" w:hAnsi="Calibri" w:cs="Calibri"/>
          <w:szCs w:val="24"/>
        </w:rPr>
        <w:t>, 3.</w:t>
      </w:r>
    </w:p>
    <w:p>
      <w:pPr>
        <w:rPr>
          <w:rFonts w:ascii="Times New Roman" w:hAnsi="Times New Roman" w:cs="Times New Roman"/>
          <w:sz w:val="24"/>
          <w:szCs w:val="24"/>
        </w:rPr>
      </w:pPr>
    </w:p>
    <w:p>
      <w:pPr>
        <w:rPr>
          <w:rFonts w:ascii="Times New Roman" w:hAnsi="Times New Roman" w:cs="Times New Roman"/>
          <w:sz w:val="24"/>
          <w:szCs w:val="24"/>
        </w:rPr>
      </w:pPr>
      <w:bookmarkStart w:id="8" w:name="_ENREF_19"/>
      <w:bookmarkStart w:id="9" w:name="_ENREF_4"/>
      <w:bookmarkStart w:id="10" w:name="_ENREF_8"/>
      <w:bookmarkStart w:id="11" w:name="_ENREF_21"/>
      <w:bookmarkStart w:id="12" w:name="_ENREF_13"/>
      <w:bookmarkStart w:id="13" w:name="_ENREF_23"/>
      <w:bookmarkStart w:id="14" w:name="_ENREF_5"/>
      <w:bookmarkStart w:id="15" w:name="_ENREF_12"/>
      <w:bookmarkStart w:id="16" w:name="_ENREF_26"/>
      <w:bookmarkStart w:id="17" w:name="_ENREF_18"/>
      <w:bookmarkStart w:id="18" w:name="_ENREF_9"/>
      <w:bookmarkStart w:id="19" w:name="_ENREF_6"/>
      <w:bookmarkStart w:id="20" w:name="_ENREF_2"/>
      <w:bookmarkStart w:id="21" w:name="_ENREF_11"/>
      <w:bookmarkStart w:id="22" w:name="_ENREF_27"/>
      <w:bookmarkStart w:id="23" w:name="_ENREF_15"/>
      <w:bookmarkStart w:id="24" w:name="_ENREF_22"/>
      <w:bookmarkStart w:id="25" w:name="_ENREF_14"/>
      <w:bookmarkStart w:id="26" w:name="_ENREF_3"/>
      <w:bookmarkStart w:id="27" w:name="_ENREF_25"/>
      <w:bookmarkStart w:id="28" w:name="_ENREF_24"/>
      <w:bookmarkStart w:id="29" w:name="_ENREF_16"/>
      <w:bookmarkStart w:id="30" w:name="_ENREF_20"/>
      <w:bookmarkStart w:id="31" w:name="_ENREF_10"/>
      <w:bookmarkStart w:id="32" w:name="_ENREF_7"/>
      <w:bookmarkStart w:id="33" w:name="_ENREF_17"/>
      <w:r>
        <w:rPr>
          <w:rFonts w:ascii="Times New Roman" w:hAnsi="Times New Roman" w:cs="Times New Roman"/>
          <w:sz w:val="24"/>
          <w:szCs w:val="24"/>
        </w:rPr>
        <w:fldChar w:fldCharType="end"/>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pPr>
        <w:rPr>
          <w:rFonts w:hint="eastAsia"/>
        </w:rPr>
      </w:pPr>
    </w:p>
    <w:sectPr>
      <w:footerReference r:id="rId3" w:type="default"/>
      <w:pgSz w:w="12240" w:h="15840"/>
      <w:pgMar w:top="1440" w:right="1440" w:bottom="1440" w:left="1440" w:header="720" w:footer="720"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288F0000" w:usb2="0000000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文泉驿正黑">
    <w:panose1 w:val="02000603000000000000"/>
    <w:charset w:val="86"/>
    <w:family w:val="auto"/>
    <w:pitch w:val="default"/>
    <w:sig w:usb0="900002BF" w:usb1="2BDF7DFB" w:usb2="00000036" w:usb3="00000000" w:csb0="603E000D" w:csb1="D2D70000"/>
  </w:font>
  <w:font w:name="等线 Light">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6223350"/>
    </w:sdtPr>
    <w:sdtContent>
      <w:p>
        <w:pPr>
          <w:pStyle w:val="6"/>
          <w:jc w:val="center"/>
          <w:rPr>
            <w:rFonts w:hint="eastAsia"/>
          </w:rPr>
        </w:pPr>
        <w:r>
          <w:fldChar w:fldCharType="begin"/>
        </w:r>
        <w:r>
          <w:instrText xml:space="preserve">PAGE   \* MERGEFORMAT</w:instrText>
        </w:r>
        <w:r>
          <w:fldChar w:fldCharType="separate"/>
        </w:r>
        <w:r>
          <w:rPr>
            <w:lang w:val="zh-CN"/>
          </w:rPr>
          <w:t>2</w:t>
        </w:r>
        <w:r>
          <w:fldChar w:fldCharType="end"/>
        </w:r>
      </w:p>
    </w:sdtContent>
  </w:sdt>
  <w:p>
    <w:pPr>
      <w:pStyle w:val="6"/>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97D044"/>
    <w:multiLevelType w:val="singleLevel"/>
    <w:tmpl w:val="D097D044"/>
    <w:lvl w:ilvl="0" w:tentative="0">
      <w:start w:val="1"/>
      <w:numFmt w:val="decimal"/>
      <w:suff w:val="space"/>
      <w:lvlText w:val="%1."/>
      <w:lvlJc w:val="left"/>
    </w:lvl>
  </w:abstractNum>
  <w:abstractNum w:abstractNumId="1">
    <w:nsid w:val="F89B109B"/>
    <w:multiLevelType w:val="singleLevel"/>
    <w:tmpl w:val="F89B109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0B5"/>
    <w:rsid w:val="00041336"/>
    <w:rsid w:val="000957F8"/>
    <w:rsid w:val="000C1A14"/>
    <w:rsid w:val="001849EA"/>
    <w:rsid w:val="001C398A"/>
    <w:rsid w:val="001F182D"/>
    <w:rsid w:val="001F4875"/>
    <w:rsid w:val="00204C15"/>
    <w:rsid w:val="00263B28"/>
    <w:rsid w:val="002B4B32"/>
    <w:rsid w:val="003429DE"/>
    <w:rsid w:val="00384AF9"/>
    <w:rsid w:val="003E1DAA"/>
    <w:rsid w:val="004427DC"/>
    <w:rsid w:val="00467F8F"/>
    <w:rsid w:val="00472D63"/>
    <w:rsid w:val="004A4EEB"/>
    <w:rsid w:val="004C7382"/>
    <w:rsid w:val="004F6A83"/>
    <w:rsid w:val="005320B9"/>
    <w:rsid w:val="005615AD"/>
    <w:rsid w:val="005E03AA"/>
    <w:rsid w:val="00606FA9"/>
    <w:rsid w:val="00607580"/>
    <w:rsid w:val="0068111E"/>
    <w:rsid w:val="006B77D0"/>
    <w:rsid w:val="006D2D42"/>
    <w:rsid w:val="006D361F"/>
    <w:rsid w:val="006E0B64"/>
    <w:rsid w:val="007070E1"/>
    <w:rsid w:val="00770D6C"/>
    <w:rsid w:val="007B3B39"/>
    <w:rsid w:val="007F11C7"/>
    <w:rsid w:val="00823C20"/>
    <w:rsid w:val="008C1C59"/>
    <w:rsid w:val="008D270A"/>
    <w:rsid w:val="008F53A5"/>
    <w:rsid w:val="00914C8C"/>
    <w:rsid w:val="009A7943"/>
    <w:rsid w:val="009B27F0"/>
    <w:rsid w:val="009E45CF"/>
    <w:rsid w:val="00A51B47"/>
    <w:rsid w:val="00A57CD2"/>
    <w:rsid w:val="00A737A3"/>
    <w:rsid w:val="00AA2E79"/>
    <w:rsid w:val="00AC0024"/>
    <w:rsid w:val="00B135C1"/>
    <w:rsid w:val="00B65BDE"/>
    <w:rsid w:val="00BB5B5B"/>
    <w:rsid w:val="00BD5C55"/>
    <w:rsid w:val="00BD76B8"/>
    <w:rsid w:val="00C2559D"/>
    <w:rsid w:val="00C3598A"/>
    <w:rsid w:val="00C51346"/>
    <w:rsid w:val="00C77B8B"/>
    <w:rsid w:val="00CC0DCF"/>
    <w:rsid w:val="00CE32FF"/>
    <w:rsid w:val="00CE398A"/>
    <w:rsid w:val="00D001EA"/>
    <w:rsid w:val="00D21BE1"/>
    <w:rsid w:val="00D5458F"/>
    <w:rsid w:val="00D66859"/>
    <w:rsid w:val="00D91AE2"/>
    <w:rsid w:val="00E120B5"/>
    <w:rsid w:val="00E362E0"/>
    <w:rsid w:val="00E53831"/>
    <w:rsid w:val="00EA54F0"/>
    <w:rsid w:val="00F0170E"/>
    <w:rsid w:val="00F04F76"/>
    <w:rsid w:val="00F65209"/>
    <w:rsid w:val="00F81A17"/>
    <w:rsid w:val="00F854F7"/>
    <w:rsid w:val="00FC1D4E"/>
    <w:rsid w:val="0D9B0684"/>
    <w:rsid w:val="1562362E"/>
    <w:rsid w:val="39561572"/>
    <w:rsid w:val="45DD7D3A"/>
    <w:rsid w:val="5CCF575E"/>
    <w:rsid w:val="5FC757C4"/>
    <w:rsid w:val="7BFF3749"/>
    <w:rsid w:val="EEF79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link w:val="10"/>
    <w:unhideWhenUsed/>
    <w:qFormat/>
    <w:uiPriority w:val="0"/>
    <w:pPr>
      <w:spacing w:beforeAutospacing="1" w:afterAutospacing="1"/>
      <w:outlineLvl w:val="2"/>
    </w:pPr>
    <w:rPr>
      <w:rFonts w:hint="eastAsia" w:ascii="宋体" w:hAnsi="宋体" w:eastAsia="宋体" w:cs="Times New Roman"/>
      <w:b/>
      <w:bCs/>
      <w:sz w:val="27"/>
      <w:szCs w:val="27"/>
      <w:lang w:val="en-US" w:eastAsia="zh-CN" w:bidi="ar-SA"/>
    </w:rPr>
  </w:style>
  <w:style w:type="paragraph" w:styleId="3">
    <w:name w:val="heading 4"/>
    <w:basedOn w:val="1"/>
    <w:next w:val="1"/>
    <w:link w:val="1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1"/>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tabs>
        <w:tab w:val="center" w:pos="4153"/>
        <w:tab w:val="right" w:pos="8306"/>
      </w:tabs>
      <w:snapToGrid w:val="0"/>
      <w:jc w:val="center"/>
    </w:pPr>
    <w:rPr>
      <w:sz w:val="18"/>
      <w:szCs w:val="18"/>
    </w:rPr>
  </w:style>
  <w:style w:type="paragraph" w:styleId="8">
    <w:name w:val="HTML Preformatted"/>
    <w:link w:val="17"/>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宋体" w:hAnsi="宋体" w:eastAsia="宋体" w:cs="Times New Roman"/>
      <w:sz w:val="24"/>
      <w:szCs w:val="24"/>
      <w:lang w:val="en-US" w:eastAsia="zh-CN" w:bidi="ar-SA"/>
    </w:rPr>
  </w:style>
  <w:style w:type="character" w:styleId="9">
    <w:name w:val="Hyperlink"/>
    <w:basedOn w:val="4"/>
    <w:qFormat/>
    <w:uiPriority w:val="0"/>
    <w:rPr>
      <w:color w:val="0000FF"/>
      <w:u w:val="single"/>
    </w:rPr>
  </w:style>
  <w:style w:type="character" w:customStyle="1" w:styleId="10">
    <w:name w:val="标题 3 字符"/>
    <w:basedOn w:val="4"/>
    <w:link w:val="2"/>
    <w:qFormat/>
    <w:uiPriority w:val="0"/>
    <w:rPr>
      <w:rFonts w:ascii="宋体" w:hAnsi="宋体" w:eastAsia="宋体" w:cs="Times New Roman"/>
      <w:b/>
      <w:bCs/>
      <w:kern w:val="0"/>
      <w:sz w:val="27"/>
      <w:szCs w:val="27"/>
    </w:rPr>
  </w:style>
  <w:style w:type="character" w:customStyle="1" w:styleId="11">
    <w:name w:val="页脚 字符"/>
    <w:basedOn w:val="4"/>
    <w:link w:val="6"/>
    <w:qFormat/>
    <w:uiPriority w:val="99"/>
    <w:rPr>
      <w:kern w:val="0"/>
      <w:sz w:val="18"/>
      <w:szCs w:val="18"/>
    </w:rPr>
  </w:style>
  <w:style w:type="paragraph" w:customStyle="1" w:styleId="12">
    <w:name w:val="BC_Author_Address"/>
    <w:basedOn w:val="1"/>
    <w:next w:val="1"/>
    <w:qFormat/>
    <w:uiPriority w:val="0"/>
    <w:pPr>
      <w:spacing w:after="240" w:line="480" w:lineRule="auto"/>
      <w:jc w:val="center"/>
    </w:pPr>
    <w:rPr>
      <w:rFonts w:ascii="Times" w:hAnsi="Times" w:eastAsia="Times New Roman" w:cs="Times New Roman"/>
      <w:sz w:val="24"/>
      <w:lang w:eastAsia="en-US"/>
    </w:rPr>
  </w:style>
  <w:style w:type="paragraph" w:customStyle="1" w:styleId="13">
    <w:name w:val="TA_Main_Text"/>
    <w:basedOn w:val="1"/>
    <w:qFormat/>
    <w:uiPriority w:val="0"/>
    <w:pPr>
      <w:spacing w:line="480" w:lineRule="auto"/>
      <w:ind w:firstLine="202"/>
      <w:jc w:val="both"/>
    </w:pPr>
    <w:rPr>
      <w:rFonts w:ascii="Times" w:hAnsi="Times" w:eastAsia="Times New Roman" w:cs="Times New Roman"/>
      <w:sz w:val="24"/>
      <w:lang w:eastAsia="en-US"/>
    </w:rPr>
  </w:style>
  <w:style w:type="character" w:customStyle="1" w:styleId="14">
    <w:name w:val="text-only"/>
    <w:basedOn w:val="4"/>
    <w:qFormat/>
    <w:uiPriority w:val="0"/>
  </w:style>
  <w:style w:type="character" w:customStyle="1" w:styleId="15">
    <w:name w:val="页眉 字符"/>
    <w:basedOn w:val="4"/>
    <w:link w:val="7"/>
    <w:qFormat/>
    <w:uiPriority w:val="99"/>
    <w:rPr>
      <w:kern w:val="0"/>
      <w:sz w:val="18"/>
      <w:szCs w:val="18"/>
    </w:rPr>
  </w:style>
  <w:style w:type="character" w:customStyle="1" w:styleId="16">
    <w:name w:val="标题 4 字符"/>
    <w:basedOn w:val="4"/>
    <w:link w:val="3"/>
    <w:semiHidden/>
    <w:qFormat/>
    <w:uiPriority w:val="9"/>
    <w:rPr>
      <w:rFonts w:asciiTheme="majorHAnsi" w:hAnsiTheme="majorHAnsi" w:eastAsiaTheme="majorEastAsia" w:cstheme="majorBidi"/>
      <w:b/>
      <w:bCs/>
      <w:sz w:val="28"/>
      <w:szCs w:val="28"/>
    </w:rPr>
  </w:style>
  <w:style w:type="character" w:customStyle="1" w:styleId="17">
    <w:name w:val="HTML 预设格式 字符"/>
    <w:basedOn w:val="4"/>
    <w:link w:val="8"/>
    <w:qFormat/>
    <w:uiPriority w:val="99"/>
    <w:rPr>
      <w:rFonts w:ascii="宋体" w:hAnsi="宋体" w:eastAsia="宋体" w:cs="Times New Roman"/>
      <w:sz w:val="24"/>
      <w:szCs w:val="24"/>
    </w:rPr>
  </w:style>
  <w:style w:type="character" w:customStyle="1" w:styleId="18">
    <w:name w:val="y2iqfc"/>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7090</Words>
  <Characters>40416</Characters>
  <Lines>336</Lines>
  <Paragraphs>94</Paragraphs>
  <TotalTime>14</TotalTime>
  <ScaleCrop>false</ScaleCrop>
  <LinksUpToDate>false</LinksUpToDate>
  <CharactersWithSpaces>47412</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2024-11-18T06:50:00Z</dcterms:created>
  <dc:creator>Gufeng Wang</dc:creator>
  <cp:lastModifiedBy>user</cp:lastModifiedBy>
  <dcterms:modified xsi:type="dcterms:W3CDTF">2025-04-14T15:18:38Z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eyJoZGlkIjoiYzRjOWZkZDhiMzgyY2IwY2FmNGY3Yjc1MWI4Zjk1ZTIiLCJ1c2VySWQiOiI3MzQ0MDQ0MTAifQ==</vt:lpwstr>
  </property>
  <property fmtid="{D5CDD505-2E9C-101B-9397-08002B2CF9AE}" pid="3" name="KSOProductBuildVer">
    <vt:lpwstr>1033-11.1.0.11698</vt:lpwstr>
  </property>
  <property fmtid="{D5CDD505-2E9C-101B-9397-08002B2CF9AE}" pid="4" name="ICV">
    <vt:lpwstr>FD805FAFB0C84836AB6BDA83226F5DD4_12</vt:lpwstr>
  </property>
</Properties>
</file>