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四大顶会区块链智能合约论文问答系统操作手册</w:t>
      </w:r>
    </w:p>
    <w:p>
      <w:r>
        <w:t>本手册对应 2026 年 10 月 24 日建立的独立项目。日常使用只需要启动服务，不需要重新下载论文、重新生成向量或重新建库。系统使用自己的 Docker MySQL、LightRAG 存储和登录账户，不使用原 DocTrace 数据库。</w:t>
      </w:r>
    </w:p>
    <w:p>
      <w:pPr>
        <w:pStyle w:val="Heading1"/>
      </w:pPr>
      <w:r>
        <w:t>一 先分清三个服务</w:t>
      </w:r>
    </w:p>
    <w:tbl>
      <w:tblPr>
        <w:tblW w:type="auto" w:w="0"/>
        <w:tblLayout w:type="fixed"/>
        <w:tblLook w:firstColumn="1" w:firstRow="1" w:lastColumn="0" w:lastRow="0" w:noHBand="0" w:noVBand="1" w:val="04A0"/>
      </w:tblPr>
      <w:tblGrid>
        <w:gridCol w:w="2232"/>
        <w:gridCol w:w="2952"/>
        <w:gridCol w:w="4896"/>
      </w:tblGrid>
      <w:tr>
        <w:trPr>
          <w:cantSplit/>
          <w:tblHeader/>
        </w:trPr>
        <w:tc>
          <w:tcPr>
            <w:tcW w:type="dxa" w:w="2232"/>
            <w:vAlign w:val="center"/>
            <w:tcMar>
              <w:top w:w="90" w:type="dxa"/>
              <w:bottom w:w="90" w:type="dxa"/>
              <w:left w:w="90" w:type="dxa"/>
              <w:right w:w="90" w:type="dxa"/>
            </w:tcMar>
            <w:shd w:fill="E7E6E6"/>
          </w:tcPr>
          <w:p>
            <w:pPr>
              <w:spacing w:before="100" w:after="100"/>
            </w:pPr>
            <w:r>
              <w:rPr>
                <w:b/>
                <w:sz w:val="20"/>
              </w:rPr>
              <w:t>服务</w:t>
            </w:r>
          </w:p>
        </w:tc>
        <w:tc>
          <w:tcPr>
            <w:tcW w:type="dxa" w:w="2952"/>
            <w:vAlign w:val="center"/>
            <w:tcMar>
              <w:top w:w="90" w:type="dxa"/>
              <w:bottom w:w="90" w:type="dxa"/>
              <w:left w:w="90" w:type="dxa"/>
              <w:right w:w="90" w:type="dxa"/>
            </w:tcMar>
            <w:shd w:fill="E7E6E6"/>
          </w:tcPr>
          <w:p>
            <w:pPr>
              <w:spacing w:before="100" w:after="100"/>
            </w:pPr>
            <w:r>
              <w:rPr>
                <w:b/>
                <w:sz w:val="20"/>
              </w:rPr>
              <w:t>本机位置</w:t>
            </w:r>
          </w:p>
        </w:tc>
        <w:tc>
          <w:tcPr>
            <w:tcW w:type="dxa" w:w="4896"/>
            <w:vAlign w:val="center"/>
            <w:tcMar>
              <w:top w:w="90" w:type="dxa"/>
              <w:bottom w:w="90" w:type="dxa"/>
              <w:left w:w="90" w:type="dxa"/>
              <w:right w:w="90" w:type="dxa"/>
            </w:tcMar>
            <w:shd w:fill="E7E6E6"/>
          </w:tcPr>
          <w:p>
            <w:pPr>
              <w:spacing w:before="100" w:after="100"/>
            </w:pPr>
            <w:r>
              <w:rPr>
                <w:b/>
                <w:sz w:val="20"/>
              </w:rPr>
              <w:t>用途</w:t>
            </w:r>
          </w:p>
        </w:tc>
      </w:tr>
      <w:tr>
        <w:trPr>
          <w:cantSplit/>
        </w:trPr>
        <w:tc>
          <w:tcPr>
            <w:tcW w:type="dxa" w:w="2232"/>
            <w:vAlign w:val="center"/>
            <w:tcMar>
              <w:top w:w="90" w:type="dxa"/>
              <w:bottom w:w="90" w:type="dxa"/>
              <w:left w:w="90" w:type="dxa"/>
              <w:right w:w="90" w:type="dxa"/>
            </w:tcMar>
          </w:tcPr>
          <w:p>
            <w:pPr>
              <w:spacing w:before="100" w:after="100"/>
            </w:pPr>
            <w:r>
              <w:rPr>
                <w:b w:val="0"/>
                <w:sz w:val="20"/>
              </w:rPr>
              <w:t>用户网页和业务后端</w:t>
            </w:r>
          </w:p>
        </w:tc>
        <w:tc>
          <w:tcPr>
            <w:tcW w:type="dxa" w:w="2952"/>
            <w:vAlign w:val="center"/>
            <w:tcMar>
              <w:top w:w="90" w:type="dxa"/>
              <w:bottom w:w="90" w:type="dxa"/>
              <w:left w:w="90" w:type="dxa"/>
              <w:right w:w="90" w:type="dxa"/>
            </w:tcMar>
          </w:tcPr>
          <w:p>
            <w:pPr>
              <w:spacing w:before="100" w:after="100"/>
            </w:pPr>
            <w:r>
              <w:rPr>
                <w:b w:val="0"/>
                <w:sz w:val="20"/>
              </w:rPr>
              <w:t>http://127.0.0.1:8003/</w:t>
            </w:r>
          </w:p>
        </w:tc>
        <w:tc>
          <w:tcPr>
            <w:tcW w:type="dxa" w:w="4896"/>
            <w:vAlign w:val="center"/>
            <w:tcMar>
              <w:top w:w="90" w:type="dxa"/>
              <w:bottom w:w="90" w:type="dxa"/>
              <w:left w:w="90" w:type="dxa"/>
              <w:right w:w="90" w:type="dxa"/>
            </w:tcMar>
          </w:tcPr>
          <w:p>
            <w:pPr>
              <w:spacing w:before="100" w:after="100"/>
            </w:pPr>
            <w:r>
              <w:rPr>
                <w:b w:val="0"/>
                <w:sz w:val="20"/>
              </w:rPr>
              <w:t>登录、选择论文、提问、查看引用和个人历史</w:t>
            </w:r>
          </w:p>
        </w:tc>
      </w:tr>
      <w:tr>
        <w:trPr>
          <w:cantSplit/>
        </w:trPr>
        <w:tc>
          <w:tcPr>
            <w:tcW w:type="dxa" w:w="2232"/>
            <w:vAlign w:val="center"/>
            <w:tcMar>
              <w:top w:w="90" w:type="dxa"/>
              <w:bottom w:w="90" w:type="dxa"/>
              <w:left w:w="90" w:type="dxa"/>
              <w:right w:w="90" w:type="dxa"/>
            </w:tcMar>
          </w:tcPr>
          <w:p>
            <w:pPr>
              <w:spacing w:before="100" w:after="100"/>
            </w:pPr>
            <w:r>
              <w:rPr>
                <w:b w:val="0"/>
                <w:sz w:val="20"/>
              </w:rPr>
              <w:t>LightRAG 管理页面</w:t>
            </w:r>
          </w:p>
        </w:tc>
        <w:tc>
          <w:tcPr>
            <w:tcW w:type="dxa" w:w="2952"/>
            <w:vAlign w:val="center"/>
            <w:tcMar>
              <w:top w:w="90" w:type="dxa"/>
              <w:bottom w:w="90" w:type="dxa"/>
              <w:left w:w="90" w:type="dxa"/>
              <w:right w:w="90" w:type="dxa"/>
            </w:tcMar>
          </w:tcPr>
          <w:p>
            <w:pPr>
              <w:spacing w:before="100" w:after="100"/>
            </w:pPr>
            <w:r>
              <w:rPr>
                <w:b w:val="0"/>
                <w:sz w:val="20"/>
              </w:rPr>
              <w:t>http://127.0.0.1:9630/webui/</w:t>
            </w:r>
          </w:p>
        </w:tc>
        <w:tc>
          <w:tcPr>
            <w:tcW w:type="dxa" w:w="4896"/>
            <w:vAlign w:val="center"/>
            <w:tcMar>
              <w:top w:w="90" w:type="dxa"/>
              <w:bottom w:w="90" w:type="dxa"/>
              <w:left w:w="90" w:type="dxa"/>
              <w:right w:w="90" w:type="dxa"/>
            </w:tcMar>
          </w:tcPr>
          <w:p>
            <w:pPr>
              <w:spacing w:before="100" w:after="100"/>
            </w:pPr>
            <w:r>
              <w:rPr>
                <w:b w:val="0"/>
                <w:sz w:val="20"/>
              </w:rPr>
              <w:t>查看新论文库的索引与图；日常提问不需要进入此页</w:t>
            </w:r>
          </w:p>
        </w:tc>
      </w:tr>
      <w:tr>
        <w:trPr>
          <w:cantSplit/>
        </w:trPr>
        <w:tc>
          <w:tcPr>
            <w:tcW w:type="dxa" w:w="2232"/>
            <w:vAlign w:val="center"/>
            <w:tcMar>
              <w:top w:w="90" w:type="dxa"/>
              <w:bottom w:w="90" w:type="dxa"/>
              <w:left w:w="90" w:type="dxa"/>
              <w:right w:w="90" w:type="dxa"/>
            </w:tcMar>
          </w:tcPr>
          <w:p>
            <w:pPr>
              <w:spacing w:before="100" w:after="100"/>
            </w:pPr>
            <w:r>
              <w:rPr>
                <w:b w:val="0"/>
                <w:sz w:val="20"/>
              </w:rPr>
              <w:t>新 MySQL</w:t>
            </w:r>
          </w:p>
        </w:tc>
        <w:tc>
          <w:tcPr>
            <w:tcW w:type="dxa" w:w="2952"/>
            <w:vAlign w:val="center"/>
            <w:tcMar>
              <w:top w:w="90" w:type="dxa"/>
              <w:bottom w:w="90" w:type="dxa"/>
              <w:left w:w="90" w:type="dxa"/>
              <w:right w:w="90" w:type="dxa"/>
            </w:tcMar>
          </w:tcPr>
          <w:p>
            <w:pPr>
              <w:spacing w:before="100" w:after="100"/>
            </w:pPr>
            <w:r>
              <w:rPr>
                <w:b w:val="0"/>
                <w:sz w:val="20"/>
              </w:rPr>
              <w:t>127.0.0.1:3308</w:t>
            </w:r>
          </w:p>
        </w:tc>
        <w:tc>
          <w:tcPr>
            <w:tcW w:type="dxa" w:w="4896"/>
            <w:vAlign w:val="center"/>
            <w:tcMar>
              <w:top w:w="90" w:type="dxa"/>
              <w:bottom w:w="90" w:type="dxa"/>
              <w:left w:w="90" w:type="dxa"/>
              <w:right w:w="90" w:type="dxa"/>
            </w:tcMar>
          </w:tcPr>
          <w:p>
            <w:pPr>
              <w:spacing w:before="100" w:after="100"/>
            </w:pPr>
            <w:r>
              <w:rPr>
                <w:b w:val="0"/>
                <w:sz w:val="20"/>
              </w:rPr>
              <w:t>保存本项目的用户、会话、问答记录</w:t>
            </w:r>
          </w:p>
        </w:tc>
      </w:tr>
    </w:tbl>
    <w:p>
      <w:pPr>
        <w:spacing w:after="20"/>
      </w:pPr>
    </w:p>
    <w:p>
      <w:r>
        <w:t xml:space="preserve">新数据库名称固定为 </w:t>
      </w:r>
      <w:r>
        <w:rPr>
          <w:rFonts w:ascii="Consolas" w:hAnsi="Consolas"/>
          <w:sz w:val="20"/>
        </w:rPr>
        <w:t>smartcontract_papers</w:t>
      </w:r>
      <w:r>
        <w:t xml:space="preserve">，数据库账号是 </w:t>
      </w:r>
      <w:r>
        <w:rPr>
          <w:rFonts w:ascii="Consolas" w:hAnsi="Consolas"/>
          <w:sz w:val="20"/>
        </w:rPr>
        <w:t>scpaper_app</w:t>
      </w:r>
      <w:r>
        <w:t>。原 DocTrace 的数据库是另一个服务/端口；本项目没有导入、清空或覆盖原数据库。</w:t>
      </w:r>
    </w:p>
    <w:p>
      <w:r>
        <w:t>本机项目目录：</w:t>
      </w:r>
    </w:p>
    <w:p>
      <w:pPr>
        <w:pStyle w:val="Command"/>
        <w:keepNext w:val="0"/>
        <w:keepLines/>
      </w:pPr>
      <w:r>
        <w:t>C:\Users\86139\Documents\ChatGPT\实习项目\smartcontract-paper-rag</w:t>
      </w:r>
    </w:p>
    <w:p>
      <w:r>
        <w:t>后面的命令都在这个目录执行。打开 PowerShell 后先输入：</w:t>
      </w:r>
    </w:p>
    <w:p>
      <w:pPr>
        <w:pStyle w:val="Command"/>
        <w:keepNext w:val="0"/>
        <w:keepLines/>
      </w:pPr>
      <w:r>
        <w:t>Set-Location 'C:\Users\86139\Documents\ChatGPT\实习项目\smartcontract-paper-rag'</w:t>
      </w:r>
    </w:p>
    <w:p>
      <w:r>
        <w:t>系统支持两种启动方式：A 是“Docker 运行数据库和知识库，PowerShell 运行业务后端”；B 是“三个服务全部由 Docker 运行”。二选一，不要让两种方式同时占用 8003。</w:t>
      </w:r>
    </w:p>
    <w:p>
      <w:pPr>
        <w:pStyle w:val="Heading1"/>
      </w:pPr>
      <w:r>
        <w:t>二 日常启动方式 A 使用 PowerShell 运行后端</w:t>
      </w:r>
    </w:p>
    <w:p>
      <w:pPr>
        <w:pStyle w:val="Heading2"/>
      </w:pPr>
      <w:r>
        <w:t>1 打开 Docker Desktop</w:t>
      </w:r>
    </w:p>
    <w:p>
      <w:r>
        <w:t>在开始菜单打开 Docker Desktop，等待引擎启动完成。再在 PowerShell 中检查：</w:t>
      </w:r>
    </w:p>
    <w:p>
      <w:pPr>
        <w:pStyle w:val="Command"/>
        <w:keepNext w:val="0"/>
        <w:keepLines/>
      </w:pPr>
      <w:r>
        <w:t>docker version</w:t>
      </w:r>
    </w:p>
    <w:p>
      <w:r>
        <w:t xml:space="preserve">能看到 Server 信息才说明引擎可连接。若只有 Client，或者报 </w:t>
      </w:r>
      <w:r>
        <w:rPr>
          <w:rFonts w:ascii="Consolas" w:hAnsi="Consolas"/>
          <w:sz w:val="20"/>
        </w:rPr>
        <w:t>dockerDesktopLinuxEngine</w:t>
      </w:r>
      <w:r>
        <w:t xml:space="preserve"> 管道不存在，先等待 Docker Desktop 就绪，不能据此判断项目代码失败。</w:t>
      </w:r>
    </w:p>
    <w:p>
      <w:pPr>
        <w:pStyle w:val="Heading2"/>
      </w:pPr>
      <w:r>
        <w:t>2 进入项目目录并启动两个依赖服务</w:t>
      </w:r>
    </w:p>
    <w:p>
      <w:pPr>
        <w:pStyle w:val="Command"/>
        <w:keepNext/>
        <w:keepLines/>
      </w:pPr>
      <w:r>
        <w:t>Set-Location 'C:\Users\86139\Documents\ChatGPT\实习项目\smartcontract-paper-rag'</w:t>
      </w:r>
    </w:p>
    <w:p>
      <w:pPr>
        <w:pStyle w:val="Command"/>
        <w:keepNext/>
        <w:keepLines/>
      </w:pPr>
      <w:r>
        <w:t>docker compose --profile full stop app</w:t>
      </w:r>
    </w:p>
    <w:p>
      <w:pPr>
        <w:pStyle w:val="Command"/>
        <w:keepNext/>
        <w:keepLines/>
      </w:pPr>
      <w:r>
        <w:t>docker compose up -d mysql lightrag</w:t>
      </w:r>
    </w:p>
    <w:p>
      <w:pPr>
        <w:pStyle w:val="Command"/>
        <w:keepNext w:val="0"/>
        <w:keepLines/>
      </w:pPr>
      <w:r>
        <w:t>docker compose ps</w:t>
      </w:r>
    </w:p>
    <w:p>
      <w:r>
        <w:t>第一行停止可能由方式 B 启动的本项目 app 容器，为 PowerShell 后端腾出 8003；不会停止旧项目。接下来只启动本项目的 MySQL 和 LightRAG。容器状态出现 Up 不代表应用立即就绪，初始化通常还需要等待。</w:t>
      </w:r>
    </w:p>
    <w:p>
      <w:pPr>
        <w:pStyle w:val="Heading2"/>
      </w:pPr>
      <w:r>
        <w:t>3 启动业务后端</w:t>
      </w:r>
    </w:p>
    <w:p>
      <w:r>
        <w:t>在同一个 PowerShell 窗口运行：</w:t>
      </w:r>
    </w:p>
    <w:p>
      <w:pPr>
        <w:pStyle w:val="Command"/>
        <w:keepNext w:val="0"/>
        <w:keepLines/>
      </w:pPr>
      <w:r>
        <w:t>.\.venv\Scripts\python.exe -m uvicorn app.main:app --host 127.0.0.1 --port 8003</w:t>
      </w:r>
    </w:p>
    <w:p>
      <w:r>
        <w:t>看到启动完成后保持这个窗口运行。命令没有回到提示符属于正常情况，因为它正在提供网页和接口；关闭该窗口或按 Ctrl+C 都会使这个后端停止。</w:t>
      </w:r>
    </w:p>
    <w:p>
      <w:pPr>
        <w:pStyle w:val="Heading2"/>
      </w:pPr>
      <w:r>
        <w:t>4 打开网页</w:t>
      </w:r>
    </w:p>
    <w:p>
      <w:r>
        <w:t>浏览器打开：</w:t>
      </w:r>
    </w:p>
    <w:p>
      <w:pPr>
        <w:pStyle w:val="Command"/>
        <w:keepNext w:val="0"/>
        <w:keepLines/>
      </w:pPr>
      <w:r>
        <w:t>http://127.0.0.1:8003/</w:t>
      </w:r>
    </w:p>
    <w:p>
      <w:r>
        <w:t xml:space="preserve">使用 </w:t>
      </w:r>
      <w:r>
        <w:rPr>
          <w:rFonts w:ascii="Consolas" w:hAnsi="Consolas"/>
          <w:sz w:val="20"/>
        </w:rPr>
        <w:t>127.0.0.1</w:t>
      </w:r>
      <w:r>
        <w:t xml:space="preserve">，不要在配置未改变时换成 </w:t>
      </w:r>
      <w:r>
        <w:rPr>
          <w:rFonts w:ascii="Consolas" w:hAnsi="Consolas"/>
          <w:sz w:val="20"/>
        </w:rPr>
        <w:t>localhost</w:t>
      </w:r>
      <w:r>
        <w:t>，因为浏览器来源校验要求与配置一致。第一次打开或网页修改后，可按 Ctrl+F5 强制刷新。</w:t>
      </w:r>
    </w:p>
    <w:p>
      <w:pPr>
        <w:pStyle w:val="Heading2"/>
      </w:pPr>
      <w:r>
        <w:t>5 验证服务状态</w:t>
      </w:r>
    </w:p>
    <w:p>
      <w:r>
        <w:t>保留运行后端的窗口，另开一个 PowerShell，执行：</w:t>
      </w:r>
    </w:p>
    <w:p>
      <w:pPr>
        <w:pStyle w:val="Command"/>
        <w:keepNext/>
        <w:keepLines/>
      </w:pPr>
      <w:r>
        <w:t>Set-Location 'C:\Users\86139\Documents\ChatGPT\实习项目\smartcontract-paper-rag'</w:t>
      </w:r>
    </w:p>
    <w:p>
      <w:pPr>
        <w:pStyle w:val="Command"/>
        <w:keepNext w:val="0"/>
        <w:keepLines/>
      </w:pPr>
      <w:r>
        <w:t>.\.venv\Scripts\python.exe scripts/manage.py status</w:t>
      </w:r>
    </w:p>
    <w:p>
      <w:r>
        <w:t>该命令只检查状态、目录和容器，不调用模型。</w:t>
      </w:r>
      <w:r>
        <w:rPr>
          <w:rFonts w:ascii="Consolas" w:hAnsi="Consolas"/>
          <w:sz w:val="20"/>
        </w:rPr>
        <w:t>/health</w:t>
      </w:r>
      <w:r>
        <w:t xml:space="preserve"> 正常表示业务应用存活；不代表模型账户余额、网络和全部知识库内容都已验证。</w:t>
      </w:r>
    </w:p>
    <w:p>
      <w:pPr>
        <w:pStyle w:val="Heading1"/>
      </w:pPr>
      <w:r>
        <w:t>三 日常启动方式 B 全部使用 Docker</w:t>
      </w:r>
    </w:p>
    <w:p>
      <w:pPr>
        <w:pStyle w:val="Heading2"/>
      </w:pPr>
      <w:r>
        <w:t>1 先停止方式 A 的后端</w:t>
      </w:r>
    </w:p>
    <w:p>
      <w:r>
        <w:t>如果之前在 PowerShell 启动过 uvicorn，回到那个窗口按 Ctrl+C。必须先释放 8003，才能让 app 容器使用同一个端口。</w:t>
      </w:r>
    </w:p>
    <w:p>
      <w:pPr>
        <w:pStyle w:val="Heading2"/>
      </w:pPr>
      <w:r>
        <w:t>2 启动完整服务</w:t>
      </w:r>
    </w:p>
    <w:p>
      <w:pPr>
        <w:pStyle w:val="Command"/>
        <w:keepNext/>
        <w:keepLines/>
      </w:pPr>
      <w:r>
        <w:t>Set-Location 'C:\Users\86139\Documents\ChatGPT\实习项目\smartcontract-paper-rag'</w:t>
      </w:r>
    </w:p>
    <w:p>
      <w:pPr>
        <w:pStyle w:val="Command"/>
        <w:keepNext/>
        <w:keepLines/>
      </w:pPr>
      <w:r>
        <w:t>docker compose --profile full up -d --build</w:t>
      </w:r>
    </w:p>
    <w:p>
      <w:pPr>
        <w:pStyle w:val="Command"/>
        <w:keepNext w:val="0"/>
        <w:keepLines/>
      </w:pPr>
      <w:r>
        <w:t>docker compose --profile full ps</w:t>
      </w:r>
    </w:p>
    <w:p>
      <w:r>
        <w:t>本命令启动 mysql、lightrag 和 app。</w:t>
      </w:r>
      <w:r>
        <w:rPr>
          <w:rFonts w:ascii="Consolas" w:hAnsi="Consolas"/>
          <w:sz w:val="20"/>
        </w:rPr>
        <w:t>-d</w:t>
      </w:r>
      <w:r>
        <w:t xml:space="preserve"> 表示后台运行，执行结束后 PowerShell 可以关闭，服务仍会运行。第一次构建镜像可能要下载依赖；以后代码未变化时，可使用：</w:t>
      </w:r>
    </w:p>
    <w:p>
      <w:pPr>
        <w:pStyle w:val="Command"/>
        <w:keepNext w:val="0"/>
        <w:keepLines/>
      </w:pPr>
      <w:r>
        <w:t>docker compose --profile full up -d</w:t>
      </w:r>
    </w:p>
    <w:p>
      <w:pPr>
        <w:pStyle w:val="Heading2"/>
      </w:pPr>
      <w:r>
        <w:t>3 打开相同网页</w:t>
      </w:r>
    </w:p>
    <w:p>
      <w:pPr>
        <w:pStyle w:val="Command"/>
        <w:keepNext w:val="0"/>
        <w:keepLines/>
      </w:pPr>
      <w:r>
        <w:t>http://127.0.0.1:8003/</w:t>
      </w:r>
    </w:p>
    <w:p>
      <w:r>
        <w:t>查看后端日志：</w:t>
      </w:r>
    </w:p>
    <w:p>
      <w:pPr>
        <w:pStyle w:val="Command"/>
        <w:keepNext w:val="0"/>
        <w:keepLines/>
      </w:pPr>
      <w:r>
        <w:t>docker compose --profile full logs --tail 80 app</w:t>
      </w:r>
    </w:p>
    <w:p>
      <w:r>
        <w:t>持续观察日志：</w:t>
      </w:r>
    </w:p>
    <w:p>
      <w:pPr>
        <w:pStyle w:val="Command"/>
        <w:keepNext w:val="0"/>
        <w:keepLines/>
      </w:pPr>
      <w:r>
        <w:t>docker compose --profile full logs -f --tail 80 app</w:t>
      </w:r>
    </w:p>
    <w:p>
      <w:r>
        <w:t xml:space="preserve">对 </w:t>
      </w:r>
      <w:r>
        <w:rPr>
          <w:rFonts w:ascii="Consolas" w:hAnsi="Consolas"/>
          <w:sz w:val="20"/>
        </w:rPr>
        <w:t>logs -f</w:t>
      </w:r>
      <w:r>
        <w:t xml:space="preserve"> 按 Ctrl+C 只结束日志观察，不会停止后台容器。</w:t>
      </w:r>
    </w:p>
    <w:p>
      <w:pPr>
        <w:pStyle w:val="Heading1"/>
      </w:pPr>
      <w:r>
        <w:t>四 从 Docker Desktop 界面启动和停止</w:t>
      </w:r>
    </w:p>
    <w:p>
      <w:r>
        <w:t>1. 打开 Docker Desktop，进入 Containers。</w:t>
      </w:r>
    </w:p>
    <w:p>
      <w:r>
        <w:t xml:space="preserve">2. 找到名为 </w:t>
      </w:r>
      <w:r>
        <w:rPr>
          <w:rFonts w:ascii="Consolas" w:hAnsi="Consolas"/>
          <w:sz w:val="20"/>
        </w:rPr>
        <w:t>scpaper-rag</w:t>
      </w:r>
      <w:r>
        <w:t xml:space="preserve"> 的项目组，确认没有点到 DocTrace 或其他项目。</w:t>
      </w:r>
    </w:p>
    <w:p>
      <w:r>
        <w:t>3. 如果之前用全 Docker 方式创建过三个容器，可启动该项目组中的 mysql、lightrag、app。</w:t>
      </w:r>
    </w:p>
    <w:p>
      <w:r>
        <w:t>4. 如果只需要方式 A，只启动 mysql 和 lightrag，app 由 PowerShell 命令启动。</w:t>
      </w:r>
    </w:p>
    <w:p>
      <w:r>
        <w:t>5. 服务启动后访问 8003；管理知识库时访问 9630。</w:t>
      </w:r>
    </w:p>
    <w:p>
      <w:r>
        <w:t>6. 停止时点击本项目组对应服务的 Stop。不要使用 Delete 或删除数据目录来代替停止。</w:t>
      </w:r>
    </w:p>
    <w:p>
      <w:r>
        <w:t xml:space="preserve">如果 Docker Desktop 中还没有 app 容器，先运行一次方式 B 的 </w:t>
      </w:r>
      <w:r>
        <w:rPr>
          <w:rFonts w:ascii="Consolas" w:hAnsi="Consolas"/>
          <w:sz w:val="20"/>
        </w:rPr>
        <w:t>docker compose --profile full up -d --build</w:t>
      </w:r>
      <w:r>
        <w:t>，因为界面不能替你创建尚未构建的应用镜像。</w:t>
      </w:r>
    </w:p>
    <w:p>
      <w:pPr>
        <w:pStyle w:val="Heading1"/>
      </w:pPr>
      <w:r>
        <w:t>五 登录账号与密码</w:t>
      </w:r>
    </w:p>
    <w:p>
      <w:r>
        <w:t xml:space="preserve">默认用户名为 </w:t>
      </w:r>
      <w:r>
        <w:rPr>
          <w:rFonts w:ascii="Consolas" w:hAnsi="Consolas"/>
          <w:sz w:val="20"/>
        </w:rPr>
        <w:t>researcher</w:t>
      </w:r>
      <w:r>
        <w:t xml:space="preserve">。实际初始密码在本机私有 </w:t>
      </w:r>
      <w:r>
        <w:rPr>
          <w:rFonts w:ascii="Consolas" w:hAnsi="Consolas"/>
          <w:sz w:val="20"/>
        </w:rPr>
        <w:t>.env</w:t>
      </w:r>
      <w:r>
        <w:t xml:space="preserve"> 的 </w:t>
      </w:r>
      <w:r>
        <w:rPr>
          <w:rFonts w:ascii="Consolas" w:hAnsi="Consolas"/>
          <w:sz w:val="20"/>
        </w:rPr>
        <w:t>APP_ADMIN_PASSWORD</w:t>
      </w:r>
      <w:r>
        <w:t xml:space="preserve"> 中；它没有写进 GitHub 或本手册。可以在 VS Code 中打开项目 </w:t>
      </w:r>
      <w:r>
        <w:rPr>
          <w:rFonts w:ascii="Consolas" w:hAnsi="Consolas"/>
          <w:sz w:val="20"/>
        </w:rPr>
        <w:t>.env</w:t>
      </w:r>
      <w:r>
        <w:t xml:space="preserve"> 查看。</w:t>
      </w:r>
    </w:p>
    <w:p>
      <w:r/>
      <w:r>
        <w:rPr>
          <w:rFonts w:ascii="Consolas" w:hAnsi="Consolas"/>
          <w:sz w:val="20"/>
        </w:rPr>
        <w:t>.env</w:t>
      </w:r>
      <w:r>
        <w:t xml:space="preserve"> 中的不同密码用途：</w:t>
      </w:r>
    </w:p>
    <w:tbl>
      <w:tblPr>
        <w:tblW w:type="auto" w:w="0"/>
        <w:tblLayout w:type="fixed"/>
        <w:tblLook w:firstColumn="1" w:firstRow="1" w:lastColumn="0" w:lastRow="0" w:noHBand="0" w:noVBand="1" w:val="04A0"/>
      </w:tblPr>
      <w:tblGrid>
        <w:gridCol w:w="3384"/>
        <w:gridCol w:w="6696"/>
      </w:tblGrid>
      <w:tr>
        <w:trPr>
          <w:cantSplit/>
          <w:tblHeader/>
        </w:trPr>
        <w:tc>
          <w:tcPr>
            <w:tcW w:type="dxa" w:w="3384"/>
            <w:vAlign w:val="center"/>
            <w:tcMar>
              <w:top w:w="90" w:type="dxa"/>
              <w:bottom w:w="90" w:type="dxa"/>
              <w:left w:w="90" w:type="dxa"/>
              <w:right w:w="90" w:type="dxa"/>
            </w:tcMar>
            <w:shd w:fill="E7E6E6"/>
          </w:tcPr>
          <w:p>
            <w:pPr>
              <w:spacing w:before="100" w:after="100"/>
            </w:pPr>
            <w:r>
              <w:rPr>
                <w:b/>
                <w:sz w:val="20"/>
              </w:rPr>
              <w:t>配置项</w:t>
            </w:r>
          </w:p>
        </w:tc>
        <w:tc>
          <w:tcPr>
            <w:tcW w:type="dxa" w:w="6696"/>
            <w:vAlign w:val="center"/>
            <w:tcMar>
              <w:top w:w="90" w:type="dxa"/>
              <w:bottom w:w="90" w:type="dxa"/>
              <w:left w:w="90" w:type="dxa"/>
              <w:right w:w="90" w:type="dxa"/>
            </w:tcMar>
            <w:shd w:fill="E7E6E6"/>
          </w:tcPr>
          <w:p>
            <w:pPr>
              <w:spacing w:before="100" w:after="100"/>
            </w:pPr>
            <w:r>
              <w:rPr>
                <w:b/>
                <w:sz w:val="20"/>
              </w:rPr>
              <w:t>用途</w:t>
            </w:r>
          </w:p>
        </w:tc>
      </w:tr>
      <w:tr>
        <w:trPr>
          <w:cantSplit/>
        </w:trPr>
        <w:tc>
          <w:tcPr>
            <w:tcW w:type="dxa" w:w="3384"/>
            <w:vAlign w:val="center"/>
            <w:tcMar>
              <w:top w:w="90" w:type="dxa"/>
              <w:bottom w:w="90" w:type="dxa"/>
              <w:left w:w="90" w:type="dxa"/>
              <w:right w:w="90" w:type="dxa"/>
            </w:tcMar>
          </w:tcPr>
          <w:p>
            <w:pPr>
              <w:spacing w:before="100" w:after="100"/>
            </w:pPr>
            <w:r>
              <w:rPr>
                <w:b w:val="0"/>
                <w:sz w:val="20"/>
              </w:rPr>
              <w:t>APP_ADMIN_PASSWORD</w:t>
            </w:r>
          </w:p>
        </w:tc>
        <w:tc>
          <w:tcPr>
            <w:tcW w:type="dxa" w:w="6696"/>
            <w:vAlign w:val="center"/>
            <w:tcMar>
              <w:top w:w="90" w:type="dxa"/>
              <w:bottom w:w="90" w:type="dxa"/>
              <w:left w:w="90" w:type="dxa"/>
              <w:right w:w="90" w:type="dxa"/>
            </w:tcMar>
          </w:tcPr>
          <w:p>
            <w:pPr>
              <w:spacing w:before="100" w:after="100"/>
            </w:pPr>
            <w:r>
              <w:rPr>
                <w:b w:val="0"/>
                <w:sz w:val="20"/>
              </w:rPr>
              <w:t>本项目网页初始账号密码</w:t>
            </w:r>
          </w:p>
        </w:tc>
      </w:tr>
      <w:tr>
        <w:trPr>
          <w:cantSplit/>
        </w:trPr>
        <w:tc>
          <w:tcPr>
            <w:tcW w:type="dxa" w:w="3384"/>
            <w:vAlign w:val="center"/>
            <w:tcMar>
              <w:top w:w="90" w:type="dxa"/>
              <w:bottom w:w="90" w:type="dxa"/>
              <w:left w:w="90" w:type="dxa"/>
              <w:right w:w="90" w:type="dxa"/>
            </w:tcMar>
          </w:tcPr>
          <w:p>
            <w:pPr>
              <w:spacing w:before="100" w:after="100"/>
            </w:pPr>
            <w:r>
              <w:rPr>
                <w:b w:val="0"/>
                <w:sz w:val="20"/>
              </w:rPr>
              <w:t>MYSQL_PASSWORD</w:t>
            </w:r>
          </w:p>
        </w:tc>
        <w:tc>
          <w:tcPr>
            <w:tcW w:type="dxa" w:w="6696"/>
            <w:vAlign w:val="center"/>
            <w:tcMar>
              <w:top w:w="90" w:type="dxa"/>
              <w:bottom w:w="90" w:type="dxa"/>
              <w:left w:w="90" w:type="dxa"/>
              <w:right w:w="90" w:type="dxa"/>
            </w:tcMar>
          </w:tcPr>
          <w:p>
            <w:pPr>
              <w:spacing w:before="100" w:after="100"/>
            </w:pPr>
            <w:r>
              <w:rPr>
                <w:b w:val="0"/>
                <w:sz w:val="20"/>
              </w:rPr>
              <w:t>scpaper_app 连接新 MySQL 的密码，不是网页密码</w:t>
            </w:r>
          </w:p>
        </w:tc>
      </w:tr>
      <w:tr>
        <w:trPr>
          <w:cantSplit/>
        </w:trPr>
        <w:tc>
          <w:tcPr>
            <w:tcW w:type="dxa" w:w="3384"/>
            <w:vAlign w:val="center"/>
            <w:tcMar>
              <w:top w:w="90" w:type="dxa"/>
              <w:bottom w:w="90" w:type="dxa"/>
              <w:left w:w="90" w:type="dxa"/>
              <w:right w:w="90" w:type="dxa"/>
            </w:tcMar>
          </w:tcPr>
          <w:p>
            <w:pPr>
              <w:spacing w:before="100" w:after="100"/>
            </w:pPr>
            <w:r>
              <w:rPr>
                <w:b w:val="0"/>
                <w:sz w:val="20"/>
              </w:rPr>
              <w:t>MYSQL_ROOT_PASSWORD</w:t>
            </w:r>
          </w:p>
        </w:tc>
        <w:tc>
          <w:tcPr>
            <w:tcW w:type="dxa" w:w="6696"/>
            <w:vAlign w:val="center"/>
            <w:tcMar>
              <w:top w:w="90" w:type="dxa"/>
              <w:bottom w:w="90" w:type="dxa"/>
              <w:left w:w="90" w:type="dxa"/>
              <w:right w:w="90" w:type="dxa"/>
            </w:tcMar>
          </w:tcPr>
          <w:p>
            <w:pPr>
              <w:spacing w:before="100" w:after="100"/>
            </w:pPr>
            <w:r>
              <w:rPr>
                <w:b w:val="0"/>
                <w:sz w:val="20"/>
              </w:rPr>
              <w:t>新 Docker MySQL 的管理员密码，不是原本机 root 密码</w:t>
            </w:r>
          </w:p>
        </w:tc>
      </w:tr>
      <w:tr>
        <w:trPr>
          <w:cantSplit/>
        </w:trPr>
        <w:tc>
          <w:tcPr>
            <w:tcW w:type="dxa" w:w="3384"/>
            <w:vAlign w:val="center"/>
            <w:tcMar>
              <w:top w:w="90" w:type="dxa"/>
              <w:bottom w:w="90" w:type="dxa"/>
              <w:left w:w="90" w:type="dxa"/>
              <w:right w:w="90" w:type="dxa"/>
            </w:tcMar>
          </w:tcPr>
          <w:p>
            <w:pPr>
              <w:spacing w:before="100" w:after="100"/>
            </w:pPr>
            <w:r>
              <w:rPr>
                <w:b w:val="0"/>
                <w:sz w:val="20"/>
              </w:rPr>
              <w:t>LIGHTRAG_API_KEY</w:t>
            </w:r>
          </w:p>
        </w:tc>
        <w:tc>
          <w:tcPr>
            <w:tcW w:type="dxa" w:w="6696"/>
            <w:vAlign w:val="center"/>
            <w:tcMar>
              <w:top w:w="90" w:type="dxa"/>
              <w:bottom w:w="90" w:type="dxa"/>
              <w:left w:w="90" w:type="dxa"/>
              <w:right w:w="90" w:type="dxa"/>
            </w:tcMar>
          </w:tcPr>
          <w:p>
            <w:pPr>
              <w:spacing w:before="100" w:after="100"/>
            </w:pPr>
            <w:r>
              <w:rPr>
                <w:b w:val="0"/>
                <w:sz w:val="20"/>
              </w:rPr>
              <w:t>保护本项目知识库服务，不是供应商密钥</w:t>
            </w:r>
          </w:p>
        </w:tc>
      </w:tr>
      <w:tr>
        <w:trPr>
          <w:cantSplit/>
        </w:trPr>
        <w:tc>
          <w:tcPr>
            <w:tcW w:type="dxa" w:w="3384"/>
            <w:vAlign w:val="center"/>
            <w:tcMar>
              <w:top w:w="90" w:type="dxa"/>
              <w:bottom w:w="90" w:type="dxa"/>
              <w:left w:w="90" w:type="dxa"/>
              <w:right w:w="90" w:type="dxa"/>
            </w:tcMar>
          </w:tcPr>
          <w:p>
            <w:pPr>
              <w:spacing w:before="100" w:after="100"/>
            </w:pPr>
            <w:r>
              <w:rPr>
                <w:b w:val="0"/>
                <w:sz w:val="20"/>
              </w:rPr>
              <w:t>ANSWER_API_KEY / RERANK_API_KEY</w:t>
            </w:r>
          </w:p>
        </w:tc>
        <w:tc>
          <w:tcPr>
            <w:tcW w:type="dxa" w:w="6696"/>
            <w:vAlign w:val="center"/>
            <w:tcMar>
              <w:top w:w="90" w:type="dxa"/>
              <w:bottom w:w="90" w:type="dxa"/>
              <w:left w:w="90" w:type="dxa"/>
              <w:right w:w="90" w:type="dxa"/>
            </w:tcMar>
          </w:tcPr>
          <w:p>
            <w:pPr>
              <w:spacing w:before="100" w:after="100"/>
            </w:pPr>
            <w:r>
              <w:rPr>
                <w:b w:val="0"/>
                <w:sz w:val="20"/>
              </w:rPr>
              <w:t>后端调用模型供应商的密钥，不能发到浏览器或 GitHub</w:t>
            </w:r>
          </w:p>
        </w:tc>
      </w:tr>
    </w:tbl>
    <w:p>
      <w:pPr>
        <w:spacing w:after="20"/>
      </w:pPr>
    </w:p>
    <w:p>
      <w:r>
        <w:t xml:space="preserve">首次启动只在账号不存在时创建默认账号，不会每次启动重设密码。仅修改 </w:t>
      </w:r>
      <w:r>
        <w:rPr>
          <w:rFonts w:ascii="Consolas" w:hAnsi="Consolas"/>
          <w:sz w:val="20"/>
        </w:rPr>
        <w:t>.env</w:t>
      </w:r>
      <w:r>
        <w:t xml:space="preserve"> 的 APP_ADMIN_PASSWORD 不会覆盖数据库里已存在的密码哈希。</w:t>
      </w:r>
    </w:p>
    <w:p>
      <w:r>
        <w:t>如需新增网页账号，在方式 A 的环境下执行：</w:t>
      </w:r>
    </w:p>
    <w:p>
      <w:pPr>
        <w:pStyle w:val="Command"/>
        <w:keepNext w:val="0"/>
        <w:keepLines/>
      </w:pPr>
      <w:r>
        <w:t>.\.venv\Scripts\python.exe scripts/manage.py create-user --username reader</w:t>
      </w:r>
    </w:p>
    <w:p>
      <w:r>
        <w:t>按提示输入并确认 8–64 位密码。输入时不显示字符是正常现象；不要把密码作为命令行参数写进去。</w:t>
      </w:r>
    </w:p>
    <w:p>
      <w:pPr>
        <w:pStyle w:val="Heading1"/>
      </w:pPr>
      <w:r>
        <w:t>六 完整过一遍问答</w:t>
      </w:r>
    </w:p>
    <w:p>
      <w:r>
        <w:t>1. 登录后查看顶部“全文已索引”的实际数量。</w:t>
      </w:r>
    </w:p>
    <w:p>
      <w:r>
        <w:t>2. 在论文目录中按会议、年份或标题筛选，确认目标论文为“全文已索引”。“有目录记录”“下载成功”“解析成功”与“已索引”是不同状态。</w:t>
      </w:r>
    </w:p>
    <w:p>
      <w:r>
        <w:t>3. 点击“针对这篇提问”，系统会把论文标题写入输入框；先检查问题再提交，不会因为点击按钮自动调用模型。</w:t>
      </w:r>
    </w:p>
    <w:p>
      <w:r>
        <w:t>4. 初次可问：</w:t>
      </w:r>
      <w:r>
        <w:rPr>
          <w:rFonts w:ascii="Consolas" w:hAnsi="Consolas"/>
          <w:sz w:val="20"/>
        </w:rPr>
        <w:t>SmartPulse 如何验证智能合约的时序性质？请说明方法与适用范围，并引用原文。</w:t>
      </w:r>
      <w:r/>
    </w:p>
    <w:p>
      <w:r>
        <w:t>5. 选择 naive（向量检索）或 mix（图与向量混合），点击提交。一次请求只运行所选模式，切换下拉框本身不会调用模型。</w:t>
      </w:r>
    </w:p>
    <w:p>
      <w:r>
        <w:t>6. 等待期间不要重复提交。成功后问题与答案出现在同一条对话中。</w:t>
      </w:r>
    </w:p>
    <w:p>
      <w:r>
        <w:t xml:space="preserve">7. 点击答案中的 </w:t>
      </w:r>
      <w:r>
        <w:rPr>
          <w:rFonts w:ascii="Consolas" w:hAnsi="Consolas"/>
          <w:sz w:val="20"/>
        </w:rPr>
        <w:t>[1]</w:t>
      </w:r>
      <w:r>
        <w:t xml:space="preserve"> 等编号，展开该条回答的原文片段、论文标题、会议和 PDF 页码。</w:t>
      </w:r>
    </w:p>
    <w:p>
      <w:r>
        <w:t>8. 点击“打开本机原始 PDF”，浏览器进入对应文件页。这里的页码是 PDF 文件从第一页开始计算的位置，不一定与论文印刷页码相同。</w:t>
      </w:r>
    </w:p>
    <w:p>
      <w:r>
        <w:t>9. 点击左侧个人历史，可回到相应对话；刷新和读取历史不会重新调用模型。</w:t>
      </w:r>
    </w:p>
    <w:p>
      <w:r>
        <w:t>会议与年份范围会约束可用证据。当前范围筛选发生在 LightRAG 召回之后；范围内未召回片段不等于该论文或整个知识库中没有答案。建议在具体问题里写清论文名称。</w:t>
      </w:r>
    </w:p>
    <w:p>
      <w:r>
        <w:t>系统不把未取得全文的目录条目当成已读论文，也不根据图片、公式或未提供的实验数据编造结论。引用能帮助追溯来源，但仍需核对模型对原文的解释。</w:t>
      </w:r>
    </w:p>
    <w:p>
      <w:pPr>
        <w:pStyle w:val="Heading1"/>
      </w:pPr>
      <w:r>
        <w:t>七 请求失败 重试和刷新</w:t>
      </w:r>
    </w:p>
    <w:p>
      <w:pPr>
        <w:pStyle w:val="Heading2"/>
      </w:pPr>
      <w:r>
        <w:t>网络断开或页面没收到结果</w:t>
      </w:r>
    </w:p>
    <w:p>
      <w:r>
        <w:t>可能只是浏览器没有收到结果，服务端仍在处理。先刷新个人历史，查看原记录状态，不要立即把相同问题当成新问题反复提交。</w:t>
      </w:r>
    </w:p>
    <w:p>
      <w:r>
        <w:t>页面保留原操作编号后，可点击“重试原操作”；它携带原来的问题、模式和范围。若结果已保存，服务器复用原结果，避免再次调用模型。相同操作编号改问题或模式会被拒绝。</w:t>
      </w:r>
    </w:p>
    <w:p>
      <w:pPr>
        <w:pStyle w:val="Heading2"/>
      </w:pPr>
      <w:r>
        <w:t>记录显示 failed</w:t>
      </w:r>
    </w:p>
    <w:p>
      <w:r>
        <w:t>查看阶段和错误类型。retrieval 是知识库检索，generation 是回答模型，persistence 是数据库保存。模型超时不能被解释成“知识库没有答案”。</w:t>
      </w:r>
    </w:p>
    <w:p>
      <w:r>
        <w:t>已经保存的失败请求不会自动重新执行。确实要重新调用时，先结束上一条操作跟踪，再主动提交新操作；新操作可能产生新的模型费用。</w:t>
      </w:r>
    </w:p>
    <w:p>
      <w:pPr>
        <w:pStyle w:val="Heading2"/>
      </w:pPr>
      <w:r>
        <w:t>记录一直显示 processing</w:t>
      </w:r>
    </w:p>
    <w:p>
      <w:r>
        <w:t>这只说明尚未保存最终状态，不能据此断定仍在运行。可能仍在处理，也可能进程曾被中断，或最终数据库写入失败。当前版本没有完整的跨进程任务恢复队列；需要结合日志和服务状态判断。</w:t>
      </w:r>
    </w:p>
    <w:p>
      <w:r>
        <w:t>“结束跟踪”只清除本页的待确认操作，不取消后台请求、不删除数据库记录，也不恢复尚未持久化的答案。</w:t>
      </w:r>
    </w:p>
    <w:p>
      <w:pPr>
        <w:pStyle w:val="Heading1"/>
      </w:pPr>
      <w:r>
        <w:t>八 正确关闭系统</w:t>
      </w:r>
    </w:p>
    <w:p>
      <w:pPr>
        <w:pStyle w:val="Heading2"/>
      </w:pPr>
      <w:r>
        <w:t>关闭方式 A</w:t>
      </w:r>
    </w:p>
    <w:p>
      <w:r>
        <w:t>先在运行 uvicorn 的 PowerShell 窗口按 Ctrl+C，等它回到命令提示符。然后在任意 PowerShell 中进入项目目录并停止依赖：</w:t>
      </w:r>
    </w:p>
    <w:p>
      <w:pPr>
        <w:pStyle w:val="Command"/>
        <w:keepNext/>
        <w:keepLines/>
      </w:pPr>
      <w:r>
        <w:t>Set-Location 'C:\Users\86139\Documents\ChatGPT\实习项目\smartcontract-paper-rag'</w:t>
      </w:r>
    </w:p>
    <w:p>
      <w:pPr>
        <w:pStyle w:val="Command"/>
        <w:keepNext w:val="0"/>
        <w:keepLines/>
      </w:pPr>
      <w:r>
        <w:t>docker compose stop mysql lightrag</w:t>
      </w:r>
    </w:p>
    <w:p>
      <w:pPr>
        <w:pStyle w:val="Heading2"/>
      </w:pPr>
      <w:r>
        <w:t>关闭方式 B</w:t>
      </w:r>
    </w:p>
    <w:p>
      <w:pPr>
        <w:pStyle w:val="Command"/>
        <w:keepNext/>
        <w:keepLines/>
      </w:pPr>
      <w:r>
        <w:t>Set-Location 'C:\Users\86139\Documents\ChatGPT\实习项目\smartcontract-paper-rag'</w:t>
      </w:r>
    </w:p>
    <w:p>
      <w:pPr>
        <w:pStyle w:val="Command"/>
        <w:keepNext w:val="0"/>
        <w:keepLines/>
      </w:pPr>
      <w:r>
        <w:t>docker compose --profile full stop</w:t>
      </w:r>
    </w:p>
    <w:p>
      <w:r>
        <w:t>此命令只停止 scpaper-rag 的三个服务，数据保留。下次运行启动命令即可继续使用原索引和历史。</w:t>
      </w:r>
    </w:p>
    <w:p>
      <w:r>
        <w:t xml:space="preserve">日常停止不使用 </w:t>
      </w:r>
      <w:r>
        <w:rPr>
          <w:rFonts w:ascii="Consolas" w:hAnsi="Consolas"/>
          <w:sz w:val="20"/>
        </w:rPr>
        <w:t>down -v</w:t>
      </w:r>
      <w:r>
        <w:t xml:space="preserve">，不删除 </w:t>
      </w:r>
      <w:r>
        <w:rPr>
          <w:rFonts w:ascii="Consolas" w:hAnsi="Consolas"/>
          <w:sz w:val="20"/>
        </w:rPr>
        <w:t>runtime/mysql</w:t>
      </w:r>
      <w:r>
        <w:t xml:space="preserve"> 或 </w:t>
      </w:r>
      <w:r>
        <w:rPr>
          <w:rFonts w:ascii="Consolas" w:hAnsi="Consolas"/>
          <w:sz w:val="20"/>
        </w:rPr>
        <w:t>runtime/lightrag</w:t>
      </w:r>
      <w:r>
        <w:t>。停止整个 Docker Desktop 会影响其他 Docker 项目；只想停本系统时应使用本节命令。</w:t>
      </w:r>
    </w:p>
    <w:p>
      <w:pPr>
        <w:pStyle w:val="Heading1"/>
      </w:pPr>
      <w:r>
        <w:t>九 重启和修改代码</w:t>
      </w:r>
    </w:p>
    <w:p>
      <w:r>
        <w:t>只重启全 Docker 后端：</w:t>
      </w:r>
    </w:p>
    <w:p>
      <w:pPr>
        <w:pStyle w:val="Command"/>
        <w:keepNext w:val="0"/>
        <w:keepLines/>
      </w:pPr>
      <w:r>
        <w:t>docker compose --profile full restart app</w:t>
      </w:r>
    </w:p>
    <w:p>
      <w:r>
        <w:t>修改 Python、HTML 或 JavaScript 后，全 Docker 方式需要重新构建应用镜像：</w:t>
      </w:r>
    </w:p>
    <w:p>
      <w:pPr>
        <w:pStyle w:val="Command"/>
        <w:keepNext w:val="0"/>
        <w:keepLines/>
      </w:pPr>
      <w:r>
        <w:t>docker compose --profile full up -d --build app</w:t>
      </w:r>
    </w:p>
    <w:p>
      <w:r>
        <w:t>方式 A 则按 Ctrl+C 停止旧 uvicorn，再运行原启动命令。网页修改后按 Ctrl+F5。</w:t>
      </w:r>
    </w:p>
    <w:p>
      <w:r>
        <w:t>修改模型密钥后也要重启相应服务。更换 Embedding 模型或生成方式不能直接沿用旧向量索引；不能只改维度后继续检索。</w:t>
      </w:r>
    </w:p>
    <w:p>
      <w:r>
        <w:t xml:space="preserve">回答和重排客户端默认直接连接供应商，不自动继承桌面代理。本机曾出现代理对较大 POST 请求中断 TLS、而直连正常的情况。确实需要供应商走环境代理时，在 </w:t>
      </w:r>
      <w:r>
        <w:rPr>
          <w:rFonts w:ascii="Consolas" w:hAnsi="Consolas"/>
          <w:sz w:val="20"/>
        </w:rPr>
        <w:t>.env</w:t>
      </w:r>
      <w:r>
        <w:t xml:space="preserve"> 设置 </w:t>
      </w:r>
      <w:r>
        <w:rPr>
          <w:rFonts w:ascii="Consolas" w:hAnsi="Consolas"/>
          <w:sz w:val="20"/>
        </w:rPr>
        <w:t>PROVIDER_TRUST_ENV=true</w:t>
      </w:r>
      <w:r>
        <w:t xml:space="preserve"> 并重启后端；本地 LightRAG 请求始终绕过环境代理。Docker 内的 127.0.0.1 指向容器自身，不能直接填桌面代理的回环地址。</w:t>
      </w:r>
    </w:p>
    <w:p>
      <w:pPr>
        <w:pStyle w:val="Heading1"/>
      </w:pPr>
      <w:r>
        <w:t>十 从 GitHub 首次部署到另一台电脑</w:t>
      </w:r>
    </w:p>
    <w:p>
      <w:r>
        <w:t>下面是首次安装步骤，已经配置好的本机不用每天重做。</w:t>
      </w:r>
    </w:p>
    <w:p>
      <w:pPr>
        <w:pStyle w:val="Command"/>
        <w:keepNext/>
        <w:keepLines/>
      </w:pPr>
      <w:r>
        <w:t>git clone https://github.com/yaowcui-ai/Top4Sec-SmartContract-RAG.git</w:t>
      </w:r>
    </w:p>
    <w:p>
      <w:pPr>
        <w:pStyle w:val="Command"/>
        <w:keepNext/>
        <w:keepLines/>
      </w:pPr>
      <w:r>
        <w:t>Set-Location Top4Sec-SmartContract-RAG</w:t>
      </w:r>
    </w:p>
    <w:p>
      <w:pPr>
        <w:pStyle w:val="Command"/>
        <w:keepNext/>
        <w:keepLines/>
      </w:pPr>
      <w:r>
        <w:t>py -3.11 -m venv .venv</w:t>
      </w:r>
    </w:p>
    <w:p>
      <w:pPr>
        <w:pStyle w:val="Command"/>
        <w:keepNext/>
        <w:keepLines/>
      </w:pPr>
      <w:r>
        <w:t>.\.venv\Scripts\python.exe -m pip install -r requirements-lock.txt</w:t>
      </w:r>
    </w:p>
    <w:p>
      <w:pPr>
        <w:pStyle w:val="Command"/>
        <w:keepNext w:val="0"/>
        <w:keepLines/>
      </w:pPr>
      <w:r>
        <w:t>.\.venv\Scripts\python.exe scripts/init_config.py</w:t>
      </w:r>
    </w:p>
    <w:p>
      <w:r>
        <w:t xml:space="preserve">脚本生成全新的本项目账号和密码，不覆盖已有配置。自行填写 </w:t>
      </w:r>
      <w:r>
        <w:rPr>
          <w:rFonts w:ascii="Consolas" w:hAnsi="Consolas"/>
          <w:sz w:val="20"/>
        </w:rPr>
        <w:t>.env</w:t>
      </w:r>
      <w:r>
        <w:t xml:space="preserve"> 和 </w:t>
      </w:r>
      <w:r>
        <w:rPr>
          <w:rFonts w:ascii="Consolas" w:hAnsi="Consolas"/>
          <w:sz w:val="20"/>
        </w:rPr>
        <w:t>.lightrag.env</w:t>
      </w:r>
      <w:r>
        <w:t xml:space="preserve"> 中的供应商地址、模型与 API Key；模板不含实际凭据。</w:t>
      </w:r>
    </w:p>
    <w:p>
      <w:r>
        <w:t>下载和解析论文：</w:t>
      </w:r>
    </w:p>
    <w:p>
      <w:pPr>
        <w:pStyle w:val="Command"/>
        <w:keepNext w:val="0"/>
        <w:keepLines/>
      </w:pPr>
      <w:r>
        <w:t>.\.venv\Scripts\python.exe -m app.corpus collect --workers 4 --resolve-missing</w:t>
      </w:r>
    </w:p>
    <w:p>
      <w:r>
        <w:t>该步骤只访问公开论文与元数据，不进行模型向量化。失效链接、未提供全文和访问受限的来源会记录为不可用，不绕过付费或登录限制。</w:t>
      </w:r>
    </w:p>
    <w:p>
      <w:r>
        <w:t>首次构建索引前，停止本项目的应用与 LightRAG，保留数据库服务即可：</w:t>
      </w:r>
    </w:p>
    <w:p>
      <w:pPr>
        <w:pStyle w:val="Command"/>
        <w:keepNext w:val="0"/>
        <w:keepLines/>
      </w:pPr>
      <w:r>
        <w:t>docker compose --profile full stop app lightrag</w:t>
      </w:r>
    </w:p>
    <w:p>
      <w:r>
        <w:t>若有方式 A 的 uvicorn，也先按 Ctrl+C。然后执行：</w:t>
      </w:r>
    </w:p>
    <w:p>
      <w:pPr>
        <w:pStyle w:val="Command"/>
        <w:keepNext w:val="0"/>
        <w:keepLines/>
      </w:pPr>
      <w:r>
        <w:t>.\scripts\build-index.ps1</w:t>
      </w:r>
    </w:p>
    <w:p>
      <w:r>
        <w:t>该脚本使用固定 LightRAG 镜像调用 SDK，把已经解析的论文页面切分为 1200 token、重叠100，再计算向量并写入论文结构图谱。首次向量化会调用供应商并产生费用；本机已经建好的库不需要重复执行。</w:t>
      </w:r>
    </w:p>
    <w:p>
      <w:r>
        <w:t xml:space="preserve">完成后必须看到 </w:t>
      </w:r>
      <w:r>
        <w:rPr>
          <w:rFonts w:ascii="Consolas" w:hAnsi="Consolas"/>
          <w:sz w:val="20"/>
        </w:rPr>
        <w:t>VERIFIED</w:t>
      </w:r>
      <w:r>
        <w:t xml:space="preserve">，并确认 </w:t>
      </w:r>
      <w:r>
        <w:rPr>
          <w:rFonts w:ascii="Consolas" w:hAnsi="Consolas"/>
          <w:sz w:val="20"/>
        </w:rPr>
        <w:t>data/index_receipt.json</w:t>
      </w:r>
      <w:r>
        <w:t xml:space="preserve"> 的 status 为 verified。构建锁存在时，应用不会将半成品当成可用知识库。单次写入失败可依据已有逐论文回执继续当前同一构建；语料或 Embedding 配置变化时不会自动覆盖已有构建。</w:t>
      </w:r>
    </w:p>
    <w:p>
      <w:r>
        <w:t xml:space="preserve">公开的 index_receipt.json 是作者本机的历史验收记录，不代表新电脑已建好索引。应用还要求本机私有 </w:t>
      </w:r>
      <w:r>
        <w:rPr>
          <w:rFonts w:ascii="Consolas" w:hAnsi="Consolas"/>
          <w:sz w:val="20"/>
        </w:rPr>
        <w:t>data/.local_index.json</w:t>
      </w:r>
      <w:r>
        <w:t xml:space="preserve"> 与构建编号匹配，并检查论文文件存在；这个本机标记不上传 GitHub。新克隆时，下载脚本会补取缺失的 PDF 和正文，不会因为历史清单写着 parsed 就跳过。</w:t>
      </w:r>
    </w:p>
    <w:p>
      <w:pPr>
        <w:pStyle w:val="Heading1"/>
      </w:pPr>
      <w:r>
        <w:t>十一 知识库范围和图谱说明</w:t>
      </w:r>
    </w:p>
    <w:p>
      <w:r>
        <w:t xml:space="preserve">来源为指定 GitHub 目录的固定版本，只处理前四个安全会议：IEEE S&amp;P、ACM CCS、USENIX Security、NDSS。原目录有217条记录，标题去重后216篇。最终可问答全文数量以 </w:t>
      </w:r>
      <w:r>
        <w:rPr>
          <w:rFonts w:ascii="Consolas" w:hAnsi="Consolas"/>
          <w:sz w:val="20"/>
        </w:rPr>
        <w:t>data/index_receipt.json</w:t>
      </w:r>
      <w:r>
        <w:t xml:space="preserve"> 为准；原始目录和逐篇状态分别保存在 </w:t>
      </w:r>
      <w:r>
        <w:rPr>
          <w:rFonts w:ascii="Consolas" w:hAnsi="Consolas"/>
          <w:sz w:val="20"/>
        </w:rPr>
        <w:t>data/source</w:t>
      </w:r>
      <w:r>
        <w:t>、</w:t>
      </w:r>
      <w:r>
        <w:rPr>
          <w:rFonts w:ascii="Consolas" w:hAnsi="Consolas"/>
          <w:sz w:val="20"/>
        </w:rPr>
        <w:t>data/manifest.json</w:t>
      </w:r>
      <w:r>
        <w:t>。</w:t>
      </w:r>
    </w:p>
    <w:p>
      <w:r>
        <w:t>图谱由论文、会议、年份与页内全文片段的结构关系构成，并非对每个段落额外调用生成模型抽取实体关系。这样保留可核对的来源结构并减少建库调用；不能将它描述为完整的智能合约漏洞语义知识图谱。</w:t>
      </w:r>
    </w:p>
    <w:p>
      <w:r>
        <w:t>LightRAG 的 custom KG 导入路径不具备标准文档路径的全部恢复日志，本项目使用离线构建锁、确定性身份和逐论文回执控制构建。不要通过管理页随意删除其中的共享节点或与离线构建同时改写同一索引。</w:t>
      </w:r>
    </w:p>
    <w:p>
      <w:r>
        <w:t xml:space="preserve">PDF 原件和正文存放在本机 </w:t>
      </w:r>
      <w:r>
        <w:rPr>
          <w:rFonts w:ascii="Consolas" w:hAnsi="Consolas"/>
          <w:sz w:val="20"/>
        </w:rPr>
        <w:t>data/pdfs</w:t>
      </w:r>
      <w:r>
        <w:t>、</w:t>
      </w:r>
      <w:r>
        <w:rPr>
          <w:rFonts w:ascii="Consolas" w:hAnsi="Consolas"/>
          <w:sz w:val="20"/>
        </w:rPr>
        <w:t>data/text</w:t>
      </w:r>
      <w:r>
        <w:t>，没有作为论文附件重新发布到 GitHub。公开仓库提供程序、来源目录、状态和复现步骤；重新安装不能仅靠 GitHub 代码自动获得作者本机已建索引。</w:t>
      </w:r>
    </w:p>
    <w:p>
      <w:pPr>
        <w:pStyle w:val="Heading1"/>
      </w:pPr>
      <w:r>
        <w:t>十二 查看新数据库和备份</w:t>
      </w:r>
    </w:p>
    <w:p>
      <w:r>
        <w:t xml:space="preserve">如需用 MySQL Workbench 检查，创建一条新的 TCP 连接：Host 为127.0.0.1、Port为3308、User为scpaper_app、密码取本项目 </w:t>
      </w:r>
      <w:r>
        <w:rPr>
          <w:rFonts w:ascii="Consolas" w:hAnsi="Consolas"/>
          <w:sz w:val="20"/>
        </w:rPr>
        <w:t>.env</w:t>
      </w:r>
      <w:r>
        <w:t xml:space="preserve"> 的 MYSQL_PASSWORD。不要选原来指向3306的连接来操作本项目。</w:t>
      </w:r>
    </w:p>
    <w:p>
      <w:r>
        <w:t>可执行只读查询：</w:t>
      </w:r>
    </w:p>
    <w:p>
      <w:pPr>
        <w:pStyle w:val="Command"/>
        <w:keepNext/>
        <w:keepLines/>
      </w:pPr>
      <w:r>
        <w:t>SELECT DATABASE();</w:t>
      </w:r>
    </w:p>
    <w:p>
      <w:pPr>
        <w:pStyle w:val="Command"/>
        <w:keepNext/>
        <w:keepLines/>
      </w:pPr>
      <w:r>
        <w:t>SHOW TABLES FROM smartcontract_papers;</w:t>
      </w:r>
    </w:p>
    <w:p>
      <w:pPr>
        <w:pStyle w:val="Command"/>
        <w:keepNext w:val="0"/>
        <w:keepLines/>
      </w:pPr>
      <w:r>
        <w:t>SELECT status, COUNT(*) FROM smartcontract_papers.paper_qa_records GROUP BY status;</w:t>
      </w:r>
    </w:p>
    <w:p>
      <w:r>
        <w:t>备份问答数据库前先停止业务后端，MySQL 容器保持运行：</w:t>
      </w:r>
    </w:p>
    <w:p>
      <w:pPr>
        <w:pStyle w:val="Command"/>
        <w:keepNext w:val="0"/>
        <w:keepLines/>
      </w:pPr>
      <w:r>
        <w:t>.\.venv\Scripts\python.exe scripts/manage.py backup-db</w:t>
      </w:r>
    </w:p>
    <w:p>
      <w:r>
        <w:t xml:space="preserve">备份使用 utf8mb4，并直接以原始字节写入 </w:t>
      </w:r>
      <w:r>
        <w:rPr>
          <w:rFonts w:ascii="Consolas" w:hAnsi="Consolas"/>
          <w:sz w:val="20"/>
        </w:rPr>
        <w:t>backups/时间/smartcontract_papers.sql</w:t>
      </w:r>
      <w:r>
        <w:t>，避免 PowerShell 重定向造成中文字符损失。备份含账号哈希、会话和个人问答，只在本地保留，不上传 GitHub。</w:t>
      </w:r>
    </w:p>
    <w:p>
      <w:r>
        <w:t xml:space="preserve">要保留完整应用，还需在 LightRAG 停止后另行复制 </w:t>
      </w:r>
      <w:r>
        <w:rPr>
          <w:rFonts w:ascii="Consolas" w:hAnsi="Consolas"/>
          <w:sz w:val="20"/>
        </w:rPr>
        <w:t>runtime/lightrag</w:t>
      </w:r>
      <w:r>
        <w:t>、</w:t>
      </w:r>
      <w:r>
        <w:rPr>
          <w:rFonts w:ascii="Consolas" w:hAnsi="Consolas"/>
          <w:sz w:val="20"/>
        </w:rPr>
        <w:t>data</w:t>
      </w:r>
      <w:r>
        <w:t xml:space="preserve"> 和私有配置。数据库备份不包含论文向量和图索引。已有备份不要覆盖，恢复前必须先验证目标项目与数据库，不能在原 DocTrace 库上试验。</w:t>
      </w:r>
    </w:p>
    <w:p>
      <w:pPr>
        <w:pStyle w:val="Heading1"/>
      </w:pPr>
      <w:r>
        <w:t>十三 常见问题</w:t>
      </w:r>
    </w:p>
    <w:tbl>
      <w:tblPr>
        <w:tblW w:type="auto" w:w="0"/>
        <w:tblLayout w:type="fixed"/>
        <w:tblLook w:firstColumn="1" w:firstRow="1" w:lastColumn="0" w:lastRow="0" w:noHBand="0" w:noVBand="1" w:val="04A0"/>
      </w:tblPr>
      <w:tblGrid>
        <w:gridCol w:w="3384"/>
        <w:gridCol w:w="6696"/>
      </w:tblGrid>
      <w:tr>
        <w:trPr>
          <w:cantSplit/>
          <w:tblHeader/>
        </w:trPr>
        <w:tc>
          <w:tcPr>
            <w:tcW w:type="dxa" w:w="3384"/>
            <w:vAlign w:val="center"/>
            <w:tcMar>
              <w:top w:w="90" w:type="dxa"/>
              <w:bottom w:w="90" w:type="dxa"/>
              <w:left w:w="90" w:type="dxa"/>
              <w:right w:w="90" w:type="dxa"/>
            </w:tcMar>
            <w:shd w:fill="E7E6E6"/>
          </w:tcPr>
          <w:p>
            <w:pPr>
              <w:spacing w:before="100" w:after="100"/>
            </w:pPr>
            <w:r>
              <w:rPr>
                <w:b/>
                <w:sz w:val="20"/>
              </w:rPr>
              <w:t>现象</w:t>
            </w:r>
          </w:p>
        </w:tc>
        <w:tc>
          <w:tcPr>
            <w:tcW w:type="dxa" w:w="6696"/>
            <w:vAlign w:val="center"/>
            <w:tcMar>
              <w:top w:w="90" w:type="dxa"/>
              <w:bottom w:w="90" w:type="dxa"/>
              <w:left w:w="90" w:type="dxa"/>
              <w:right w:w="90" w:type="dxa"/>
            </w:tcMar>
            <w:shd w:fill="E7E6E6"/>
          </w:tcPr>
          <w:p>
            <w:pPr>
              <w:spacing w:before="100" w:after="100"/>
            </w:pPr>
            <w:r>
              <w:rPr>
                <w:b/>
                <w:sz w:val="20"/>
              </w:rPr>
              <w:t>优先检查</w:t>
            </w:r>
          </w:p>
        </w:tc>
      </w:tr>
      <w:tr>
        <w:trPr>
          <w:cantSplit/>
        </w:trPr>
        <w:tc>
          <w:tcPr>
            <w:tcW w:type="dxa" w:w="3384"/>
            <w:vAlign w:val="center"/>
            <w:tcMar>
              <w:top w:w="90" w:type="dxa"/>
              <w:bottom w:w="90" w:type="dxa"/>
              <w:left w:w="90" w:type="dxa"/>
              <w:right w:w="90" w:type="dxa"/>
            </w:tcMar>
          </w:tcPr>
          <w:p>
            <w:pPr>
              <w:spacing w:before="100" w:after="100"/>
            </w:pPr>
            <w:r>
              <w:rPr>
                <w:b w:val="0"/>
                <w:sz w:val="20"/>
              </w:rPr>
              <w:t>8003打不开</w:t>
            </w:r>
          </w:p>
        </w:tc>
        <w:tc>
          <w:tcPr>
            <w:tcW w:type="dxa" w:w="6696"/>
            <w:vAlign w:val="center"/>
            <w:tcMar>
              <w:top w:w="90" w:type="dxa"/>
              <w:bottom w:w="90" w:type="dxa"/>
              <w:left w:w="90" w:type="dxa"/>
              <w:right w:w="90" w:type="dxa"/>
            </w:tcMar>
          </w:tcPr>
          <w:p>
            <w:pPr>
              <w:spacing w:before="100" w:after="100"/>
            </w:pPr>
            <w:r>
              <w:rPr>
                <w:b w:val="0"/>
                <w:sz w:val="20"/>
              </w:rPr>
              <w:t>后端是否运行、app容器是否正常、是否用了正确端口</w:t>
            </w:r>
          </w:p>
        </w:tc>
      </w:tr>
      <w:tr>
        <w:trPr>
          <w:cantSplit/>
        </w:trPr>
        <w:tc>
          <w:tcPr>
            <w:tcW w:type="dxa" w:w="3384"/>
            <w:vAlign w:val="center"/>
            <w:tcMar>
              <w:top w:w="90" w:type="dxa"/>
              <w:bottom w:w="90" w:type="dxa"/>
              <w:left w:w="90" w:type="dxa"/>
              <w:right w:w="90" w:type="dxa"/>
            </w:tcMar>
          </w:tcPr>
          <w:p>
            <w:pPr>
              <w:spacing w:before="100" w:after="100"/>
            </w:pPr>
            <w:r>
              <w:rPr>
                <w:b w:val="0"/>
                <w:sz w:val="20"/>
              </w:rPr>
              <w:t>地址已被占用</w:t>
            </w:r>
          </w:p>
        </w:tc>
        <w:tc>
          <w:tcPr>
            <w:tcW w:type="dxa" w:w="6696"/>
            <w:vAlign w:val="center"/>
            <w:tcMar>
              <w:top w:w="90" w:type="dxa"/>
              <w:bottom w:w="90" w:type="dxa"/>
              <w:left w:w="90" w:type="dxa"/>
              <w:right w:w="90" w:type="dxa"/>
            </w:tcMar>
          </w:tcPr>
          <w:p>
            <w:pPr>
              <w:spacing w:before="100" w:after="100"/>
            </w:pPr>
            <w:r>
              <w:rPr>
                <w:b w:val="0"/>
                <w:sz w:val="20"/>
              </w:rPr>
              <w:t>是否同时启动了PowerShell后端和app容器；只停止本项目冲突进程</w:t>
            </w:r>
          </w:p>
        </w:tc>
      </w:tr>
      <w:tr>
        <w:trPr>
          <w:cantSplit/>
        </w:trPr>
        <w:tc>
          <w:tcPr>
            <w:tcW w:type="dxa" w:w="3384"/>
            <w:vAlign w:val="center"/>
            <w:tcMar>
              <w:top w:w="90" w:type="dxa"/>
              <w:bottom w:w="90" w:type="dxa"/>
              <w:left w:w="90" w:type="dxa"/>
              <w:right w:w="90" w:type="dxa"/>
            </w:tcMar>
          </w:tcPr>
          <w:p>
            <w:pPr>
              <w:spacing w:before="100" w:after="100"/>
            </w:pPr>
            <w:r>
              <w:rPr>
                <w:b w:val="0"/>
                <w:sz w:val="20"/>
              </w:rPr>
              <w:t>Docker管道不存在</w:t>
            </w:r>
          </w:p>
        </w:tc>
        <w:tc>
          <w:tcPr>
            <w:tcW w:type="dxa" w:w="6696"/>
            <w:vAlign w:val="center"/>
            <w:tcMar>
              <w:top w:w="90" w:type="dxa"/>
              <w:bottom w:w="90" w:type="dxa"/>
              <w:left w:w="90" w:type="dxa"/>
              <w:right w:w="90" w:type="dxa"/>
            </w:tcMar>
          </w:tcPr>
          <w:p>
            <w:pPr>
              <w:spacing w:before="100" w:after="100"/>
            </w:pPr>
            <w:r>
              <w:rPr>
                <w:b w:val="0"/>
                <w:sz w:val="20"/>
              </w:rPr>
              <w:t>Docker Desktop引擎是否已就绪</w:t>
            </w:r>
          </w:p>
        </w:tc>
      </w:tr>
      <w:tr>
        <w:trPr>
          <w:cantSplit/>
        </w:trPr>
        <w:tc>
          <w:tcPr>
            <w:tcW w:type="dxa" w:w="3384"/>
            <w:vAlign w:val="center"/>
            <w:tcMar>
              <w:top w:w="90" w:type="dxa"/>
              <w:bottom w:w="90" w:type="dxa"/>
              <w:left w:w="90" w:type="dxa"/>
              <w:right w:w="90" w:type="dxa"/>
            </w:tcMar>
          </w:tcPr>
          <w:p>
            <w:pPr>
              <w:spacing w:before="100" w:after="100"/>
            </w:pPr>
            <w:r>
              <w:rPr>
                <w:b w:val="0"/>
                <w:sz w:val="20"/>
              </w:rPr>
              <w:t>网页能打开但不能登录</w:t>
            </w:r>
          </w:p>
        </w:tc>
        <w:tc>
          <w:tcPr>
            <w:tcW w:type="dxa" w:w="6696"/>
            <w:vAlign w:val="center"/>
            <w:tcMar>
              <w:top w:w="90" w:type="dxa"/>
              <w:bottom w:w="90" w:type="dxa"/>
              <w:left w:w="90" w:type="dxa"/>
              <w:right w:w="90" w:type="dxa"/>
            </w:tcMar>
          </w:tcPr>
          <w:p>
            <w:pPr>
              <w:spacing w:before="100" w:after="100"/>
            </w:pPr>
            <w:r>
              <w:rPr>
                <w:b w:val="0"/>
                <w:sz w:val="20"/>
              </w:rPr>
              <w:t>新MySQL容器、3308端口和本项目账号配置</w:t>
            </w:r>
          </w:p>
        </w:tc>
      </w:tr>
      <w:tr>
        <w:trPr>
          <w:cantSplit/>
        </w:trPr>
        <w:tc>
          <w:tcPr>
            <w:tcW w:type="dxa" w:w="3384"/>
            <w:vAlign w:val="center"/>
            <w:tcMar>
              <w:top w:w="90" w:type="dxa"/>
              <w:bottom w:w="90" w:type="dxa"/>
              <w:left w:w="90" w:type="dxa"/>
              <w:right w:w="90" w:type="dxa"/>
            </w:tcMar>
          </w:tcPr>
          <w:p>
            <w:pPr>
              <w:spacing w:before="100" w:after="100"/>
            </w:pPr>
            <w:r>
              <w:rPr>
                <w:b w:val="0"/>
                <w:sz w:val="20"/>
              </w:rPr>
              <w:t>来源不受信任403</w:t>
            </w:r>
          </w:p>
        </w:tc>
        <w:tc>
          <w:tcPr>
            <w:tcW w:type="dxa" w:w="6696"/>
            <w:vAlign w:val="center"/>
            <w:tcMar>
              <w:top w:w="90" w:type="dxa"/>
              <w:bottom w:w="90" w:type="dxa"/>
              <w:left w:w="90" w:type="dxa"/>
              <w:right w:w="90" w:type="dxa"/>
            </w:tcMar>
          </w:tcPr>
          <w:p>
            <w:pPr>
              <w:spacing w:before="100" w:after="100"/>
            </w:pPr>
            <w:r>
              <w:rPr>
                <w:b w:val="0"/>
                <w:sz w:val="20"/>
              </w:rPr>
              <w:t>是否用127.0.0.1:8003访问；AUTH_ALLOWED_ORIGIN是否一致</w:t>
            </w:r>
          </w:p>
        </w:tc>
      </w:tr>
      <w:tr>
        <w:trPr>
          <w:cantSplit/>
        </w:trPr>
        <w:tc>
          <w:tcPr>
            <w:tcW w:type="dxa" w:w="3384"/>
            <w:vAlign w:val="center"/>
            <w:tcMar>
              <w:top w:w="90" w:type="dxa"/>
              <w:bottom w:w="90" w:type="dxa"/>
              <w:left w:w="90" w:type="dxa"/>
              <w:right w:w="90" w:type="dxa"/>
            </w:tcMar>
          </w:tcPr>
          <w:p>
            <w:pPr>
              <w:spacing w:before="100" w:after="100"/>
            </w:pPr>
            <w:r>
              <w:rPr>
                <w:b w:val="0"/>
                <w:sz w:val="20"/>
              </w:rPr>
              <w:t>全文已索引数量为0</w:t>
            </w:r>
          </w:p>
        </w:tc>
        <w:tc>
          <w:tcPr>
            <w:tcW w:type="dxa" w:w="6696"/>
            <w:vAlign w:val="center"/>
            <w:tcMar>
              <w:top w:w="90" w:type="dxa"/>
              <w:bottom w:w="90" w:type="dxa"/>
              <w:left w:w="90" w:type="dxa"/>
              <w:right w:w="90" w:type="dxa"/>
            </w:tcMar>
          </w:tcPr>
          <w:p>
            <w:pPr>
              <w:spacing w:before="100" w:after="100"/>
            </w:pPr>
            <w:r>
              <w:rPr>
                <w:b w:val="0"/>
                <w:sz w:val="20"/>
              </w:rPr>
              <w:t>构建是否完成，构建锁是否仍存在，收据是否verified</w:t>
            </w:r>
          </w:p>
        </w:tc>
      </w:tr>
      <w:tr>
        <w:trPr>
          <w:cantSplit/>
        </w:trPr>
        <w:tc>
          <w:tcPr>
            <w:tcW w:type="dxa" w:w="3384"/>
            <w:vAlign w:val="center"/>
            <w:tcMar>
              <w:top w:w="90" w:type="dxa"/>
              <w:bottom w:w="90" w:type="dxa"/>
              <w:left w:w="90" w:type="dxa"/>
              <w:right w:w="90" w:type="dxa"/>
            </w:tcMar>
          </w:tcPr>
          <w:p>
            <w:pPr>
              <w:spacing w:before="100" w:after="100"/>
            </w:pPr>
            <w:r>
              <w:rPr>
                <w:b w:val="0"/>
                <w:sz w:val="20"/>
              </w:rPr>
              <w:t>下载成功但暂不能问</w:t>
            </w:r>
          </w:p>
        </w:tc>
        <w:tc>
          <w:tcPr>
            <w:tcW w:type="dxa" w:w="6696"/>
            <w:vAlign w:val="center"/>
            <w:tcMar>
              <w:top w:w="90" w:type="dxa"/>
              <w:bottom w:w="90" w:type="dxa"/>
              <w:left w:w="90" w:type="dxa"/>
              <w:right w:w="90" w:type="dxa"/>
            </w:tcMar>
          </w:tcPr>
          <w:p>
            <w:pPr>
              <w:spacing w:before="100" w:after="100"/>
            </w:pPr>
            <w:r>
              <w:rPr>
                <w:b w:val="0"/>
                <w:sz w:val="20"/>
              </w:rPr>
              <w:t>解析与向量/图索引是不同阶段，以索引收据为准</w:t>
            </w:r>
          </w:p>
        </w:tc>
      </w:tr>
      <w:tr>
        <w:trPr>
          <w:cantSplit/>
        </w:trPr>
        <w:tc>
          <w:tcPr>
            <w:tcW w:type="dxa" w:w="3384"/>
            <w:vAlign w:val="center"/>
            <w:tcMar>
              <w:top w:w="90" w:type="dxa"/>
              <w:bottom w:w="90" w:type="dxa"/>
              <w:left w:w="90" w:type="dxa"/>
              <w:right w:w="90" w:type="dxa"/>
            </w:tcMar>
          </w:tcPr>
          <w:p>
            <w:pPr>
              <w:spacing w:before="100" w:after="100"/>
            </w:pPr>
            <w:r>
              <w:rPr>
                <w:b w:val="0"/>
                <w:sz w:val="20"/>
              </w:rPr>
              <w:t>生成阶段报错或超时</w:t>
            </w:r>
          </w:p>
        </w:tc>
        <w:tc>
          <w:tcPr>
            <w:tcW w:type="dxa" w:w="6696"/>
            <w:vAlign w:val="center"/>
            <w:tcMar>
              <w:top w:w="90" w:type="dxa"/>
              <w:bottom w:w="90" w:type="dxa"/>
              <w:left w:w="90" w:type="dxa"/>
              <w:right w:w="90" w:type="dxa"/>
            </w:tcMar>
          </w:tcPr>
          <w:p>
            <w:pPr>
              <w:spacing w:before="100" w:after="100"/>
            </w:pPr>
            <w:r>
              <w:rPr>
                <w:b w:val="0"/>
                <w:sz w:val="20"/>
              </w:rPr>
              <w:t>模型供应商状态、密钥、余额与网络；不是直接判定无答案</w:t>
            </w:r>
          </w:p>
        </w:tc>
      </w:tr>
      <w:tr>
        <w:trPr>
          <w:cantSplit/>
        </w:trPr>
        <w:tc>
          <w:tcPr>
            <w:tcW w:type="dxa" w:w="3384"/>
            <w:vAlign w:val="center"/>
            <w:tcMar>
              <w:top w:w="90" w:type="dxa"/>
              <w:bottom w:w="90" w:type="dxa"/>
              <w:left w:w="90" w:type="dxa"/>
              <w:right w:w="90" w:type="dxa"/>
            </w:tcMar>
          </w:tcPr>
          <w:p>
            <w:pPr>
              <w:spacing w:before="100" w:after="100"/>
            </w:pPr>
            <w:r>
              <w:rPr>
                <w:b w:val="0"/>
                <w:sz w:val="20"/>
              </w:rPr>
              <w:t>重排发生降级</w:t>
            </w:r>
          </w:p>
        </w:tc>
        <w:tc>
          <w:tcPr>
            <w:tcW w:type="dxa" w:w="6696"/>
            <w:vAlign w:val="center"/>
            <w:tcMar>
              <w:top w:w="90" w:type="dxa"/>
              <w:bottom w:w="90" w:type="dxa"/>
              <w:left w:w="90" w:type="dxa"/>
              <w:right w:w="90" w:type="dxa"/>
            </w:tcMar>
          </w:tcPr>
          <w:p>
            <w:pPr>
              <w:spacing w:before="100" w:after="100"/>
            </w:pPr>
            <w:r>
              <w:rPr>
                <w:b w:val="0"/>
                <w:sz w:val="20"/>
              </w:rPr>
              <w:t>已回退原顺序，结合原文核对，不把降级当正常优化结果</w:t>
            </w:r>
          </w:p>
        </w:tc>
      </w:tr>
      <w:tr>
        <w:trPr>
          <w:cantSplit/>
        </w:trPr>
        <w:tc>
          <w:tcPr>
            <w:tcW w:type="dxa" w:w="3384"/>
            <w:vAlign w:val="center"/>
            <w:tcMar>
              <w:top w:w="90" w:type="dxa"/>
              <w:bottom w:w="90" w:type="dxa"/>
              <w:left w:w="90" w:type="dxa"/>
              <w:right w:w="90" w:type="dxa"/>
            </w:tcMar>
          </w:tcPr>
          <w:p>
            <w:pPr>
              <w:spacing w:before="100" w:after="100"/>
            </w:pPr>
            <w:r>
              <w:rPr>
                <w:b w:val="0"/>
                <w:sz w:val="20"/>
              </w:rPr>
              <w:t>代理开启后本地检查异常</w:t>
            </w:r>
          </w:p>
        </w:tc>
        <w:tc>
          <w:tcPr>
            <w:tcW w:type="dxa" w:w="6696"/>
            <w:vAlign w:val="center"/>
            <w:tcMar>
              <w:top w:w="90" w:type="dxa"/>
              <w:bottom w:w="90" w:type="dxa"/>
              <w:left w:w="90" w:type="dxa"/>
              <w:right w:w="90" w:type="dxa"/>
            </w:tcMar>
          </w:tcPr>
          <w:p>
            <w:pPr>
              <w:spacing w:before="100" w:after="100"/>
            </w:pPr>
            <w:r>
              <w:rPr>
                <w:b w:val="0"/>
                <w:sz w:val="20"/>
              </w:rPr>
              <w:t>优先直接访问127.0.0.1；项目内部检索客户端不经过桌面代理</w:t>
            </w:r>
          </w:p>
        </w:tc>
      </w:tr>
      <w:tr>
        <w:trPr>
          <w:cantSplit/>
        </w:trPr>
        <w:tc>
          <w:tcPr>
            <w:tcW w:type="dxa" w:w="3384"/>
            <w:vAlign w:val="center"/>
            <w:tcMar>
              <w:top w:w="90" w:type="dxa"/>
              <w:bottom w:w="90" w:type="dxa"/>
              <w:left w:w="90" w:type="dxa"/>
              <w:right w:w="90" w:type="dxa"/>
            </w:tcMar>
          </w:tcPr>
          <w:p>
            <w:pPr>
              <w:spacing w:before="100" w:after="100"/>
            </w:pPr>
            <w:r>
              <w:rPr>
                <w:b w:val="0"/>
                <w:sz w:val="20"/>
              </w:rPr>
              <w:t>旧历史没有显示</w:t>
            </w:r>
          </w:p>
        </w:tc>
        <w:tc>
          <w:tcPr>
            <w:tcW w:type="dxa" w:w="6696"/>
            <w:vAlign w:val="center"/>
            <w:tcMar>
              <w:top w:w="90" w:type="dxa"/>
              <w:bottom w:w="90" w:type="dxa"/>
              <w:left w:w="90" w:type="dxa"/>
              <w:right w:w="90" w:type="dxa"/>
            </w:tcMar>
          </w:tcPr>
          <w:p>
            <w:pPr>
              <w:spacing w:before="100" w:after="100"/>
            </w:pPr>
            <w:r>
              <w:rPr>
                <w:b w:val="0"/>
                <w:sz w:val="20"/>
              </w:rPr>
              <w:t>是否登录了同一项目的同一账号；不要混用DocTrace和本项目端口</w:t>
            </w:r>
          </w:p>
        </w:tc>
      </w:tr>
    </w:tbl>
    <w:p>
      <w:pPr>
        <w:spacing w:after="20"/>
      </w:pPr>
    </w:p>
    <w:p>
      <w:r>
        <w:t xml:space="preserve">需要定位问题时，提供错误阶段、HTTP状态和记录编号即可，不要发送 </w:t>
      </w:r>
      <w:r>
        <w:rPr>
          <w:rFonts w:ascii="Consolas" w:hAnsi="Consolas"/>
          <w:sz w:val="20"/>
        </w:rPr>
        <w:t>.env</w:t>
      </w:r>
      <w:r>
        <w:t>、API Key、数据库密码或会话Cookie。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四大顶会区块链智能合约论文问答系统  操作手册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Microsoft YaHei"/>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Microsoft YaHei" w:hAnsi="Microsoft YaHei" w:eastAsia="Microsoft YaHe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60" w:line="252" w:lineRule="auto"/>
      <w:ind w:left="173" w:right="115"/>
    </w:pPr>
    <w:rPr>
      <w:rFonts w:ascii="Consolas" w:hAnsi="Consolas" w:eastAsia="Microsoft YaHei"/>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