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青蓝科技股份有限公司</w:t>
      </w:r>
    </w:p>
    <w:p>
      <w:r>
        <w:rPr>
          <w:i/>
        </w:rPr>
        <w:t>2024 年度财务信息披露报告</w:t>
      </w:r>
    </w:p>
    <w:p>
      <w:pPr>
        <w:pStyle w:val="Heading1"/>
      </w:pPr>
      <w:r>
        <w:t>第一节 公司基本情况</w:t>
      </w:r>
    </w:p>
    <w:p>
      <w:r>
        <w:t>青蓝科技股份有限公司（以下简称"本公司"或"青蓝科技"，股票代码：600XXX）成立于 2011 年 6 月，注册地为上海市浦东新区张江高科技园区，注册资本人民币 8.6 亿元，主营业务为面向企业级市场的智能算力基础设施、工业互联网平台与行业大模型解决方案。</w:t>
      </w:r>
    </w:p>
    <w:p>
      <w:r>
        <w:t>截至 2024 年 12 月 31 日，公司在职员工 3,427 人，其中研发人员 1,612 人，占比 47.0%；本科及以上学历人员占比 86.4%。公司在上海、北京、深圳、成都、合肥设有 5 大研发中心，服务网络覆盖全国 31 个省级行政区，海外业务延伸至东南亚、中东与欧洲。</w:t>
      </w:r>
    </w:p>
    <w:p>
      <w:r>
        <w:t>报告期内，公司持续聚焦"AI + 制造"主航道，在工业视觉检测、智能排产、质量预测、设备预测性维护四个方向形成标准化产品矩阵，下游客户覆盖汽车、电子、钢铁、化工、新能源等 12 个行业。</w:t>
      </w:r>
    </w:p>
    <w:p>
      <w:pPr>
        <w:pStyle w:val="Heading1"/>
      </w:pPr>
      <w:r>
        <w:t>第二节 主要财务数据</w:t>
      </w:r>
    </w:p>
    <w:p>
      <w:r>
        <w:t>报告期内，公司实现营业收入人民币 28.74 亿元，同比增长 31.6%；归属于上市公司股东的净利润 3.92 亿元，同比增长 47.2%；扣除非经常性损益后的净利润 3.51 亿元，同比增长 52.8%。经营活动产生的现金流量净额 5.18 亿元，同比增长 35.4%，现金回款情况良好。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2024 年</w:t>
            </w:r>
          </w:p>
        </w:tc>
        <w:tc>
          <w:tcPr>
            <w:tcW w:type="dxa" w:w="2160"/>
          </w:tcPr>
          <w:p>
            <w:r>
              <w:t>2023 年</w:t>
            </w:r>
          </w:p>
        </w:tc>
        <w:tc>
          <w:tcPr>
            <w:tcW w:type="dxa" w:w="2160"/>
          </w:tcPr>
          <w:p>
            <w:r>
              <w:t>同比变动</w:t>
            </w:r>
          </w:p>
        </w:tc>
      </w:tr>
      <w:tr>
        <w:tc>
          <w:tcPr>
            <w:tcW w:type="dxa" w:w="2160"/>
          </w:tcPr>
          <w:p>
            <w:r>
              <w:t>营业收入（亿元）</w:t>
            </w:r>
          </w:p>
        </w:tc>
        <w:tc>
          <w:tcPr>
            <w:tcW w:type="dxa" w:w="2160"/>
          </w:tcPr>
          <w:p>
            <w:r>
              <w:t>28.74</w:t>
            </w:r>
          </w:p>
        </w:tc>
        <w:tc>
          <w:tcPr>
            <w:tcW w:type="dxa" w:w="2160"/>
          </w:tcPr>
          <w:p>
            <w:r>
              <w:t>21.85</w:t>
            </w:r>
          </w:p>
        </w:tc>
        <w:tc>
          <w:tcPr>
            <w:tcW w:type="dxa" w:w="2160"/>
          </w:tcPr>
          <w:p>
            <w:r>
              <w:t>+31.6%</w:t>
            </w:r>
          </w:p>
        </w:tc>
      </w:tr>
      <w:tr>
        <w:tc>
          <w:tcPr>
            <w:tcW w:type="dxa" w:w="2160"/>
          </w:tcPr>
          <w:p>
            <w:r>
              <w:t>营业成本（亿元）</w:t>
            </w:r>
          </w:p>
        </w:tc>
        <w:tc>
          <w:tcPr>
            <w:tcW w:type="dxa" w:w="2160"/>
          </w:tcPr>
          <w:p>
            <w:r>
              <w:t>17.92</w:t>
            </w:r>
          </w:p>
        </w:tc>
        <w:tc>
          <w:tcPr>
            <w:tcW w:type="dxa" w:w="2160"/>
          </w:tcPr>
          <w:p>
            <w:r>
              <w:t>14.31</w:t>
            </w:r>
          </w:p>
        </w:tc>
        <w:tc>
          <w:tcPr>
            <w:tcW w:type="dxa" w:w="2160"/>
          </w:tcPr>
          <w:p>
            <w:r>
              <w:t>+25.2%</w:t>
            </w:r>
          </w:p>
        </w:tc>
      </w:tr>
      <w:tr>
        <w:tc>
          <w:tcPr>
            <w:tcW w:type="dxa" w:w="2160"/>
          </w:tcPr>
          <w:p>
            <w:r>
              <w:t>毛利率（%）</w:t>
            </w:r>
          </w:p>
        </w:tc>
        <w:tc>
          <w:tcPr>
            <w:tcW w:type="dxa" w:w="2160"/>
          </w:tcPr>
          <w:p>
            <w:r>
              <w:t>37.6</w:t>
            </w:r>
          </w:p>
        </w:tc>
        <w:tc>
          <w:tcPr>
            <w:tcW w:type="dxa" w:w="2160"/>
          </w:tcPr>
          <w:p>
            <w:r>
              <w:t>34.5</w:t>
            </w:r>
          </w:p>
        </w:tc>
        <w:tc>
          <w:tcPr>
            <w:tcW w:type="dxa" w:w="2160"/>
          </w:tcPr>
          <w:p>
            <w:r>
              <w:t>+3.1pp</w:t>
            </w:r>
          </w:p>
        </w:tc>
      </w:tr>
      <w:tr>
        <w:tc>
          <w:tcPr>
            <w:tcW w:type="dxa" w:w="2160"/>
          </w:tcPr>
          <w:p>
            <w:r>
              <w:t>研发费用（亿元）</w:t>
            </w:r>
          </w:p>
        </w:tc>
        <w:tc>
          <w:tcPr>
            <w:tcW w:type="dxa" w:w="2160"/>
          </w:tcPr>
          <w:p>
            <w:r>
              <w:t>4.86</w:t>
            </w:r>
          </w:p>
        </w:tc>
        <w:tc>
          <w:tcPr>
            <w:tcW w:type="dxa" w:w="2160"/>
          </w:tcPr>
          <w:p>
            <w:r>
              <w:t>3.41</w:t>
            </w:r>
          </w:p>
        </w:tc>
        <w:tc>
          <w:tcPr>
            <w:tcW w:type="dxa" w:w="2160"/>
          </w:tcPr>
          <w:p>
            <w:r>
              <w:t>+42.5%</w:t>
            </w:r>
          </w:p>
        </w:tc>
      </w:tr>
      <w:tr>
        <w:tc>
          <w:tcPr>
            <w:tcW w:type="dxa" w:w="2160"/>
          </w:tcPr>
          <w:p>
            <w:r>
              <w:t>销售费用（亿元）</w:t>
            </w:r>
          </w:p>
        </w:tc>
        <w:tc>
          <w:tcPr>
            <w:tcW w:type="dxa" w:w="2160"/>
          </w:tcPr>
          <w:p>
            <w:r>
              <w:t>2.13</w:t>
            </w:r>
          </w:p>
        </w:tc>
        <w:tc>
          <w:tcPr>
            <w:tcW w:type="dxa" w:w="2160"/>
          </w:tcPr>
          <w:p>
            <w:r>
              <w:t>1.78</w:t>
            </w:r>
          </w:p>
        </w:tc>
        <w:tc>
          <w:tcPr>
            <w:tcW w:type="dxa" w:w="2160"/>
          </w:tcPr>
          <w:p>
            <w:r>
              <w:t>+19.7%</w:t>
            </w:r>
          </w:p>
        </w:tc>
      </w:tr>
      <w:tr>
        <w:tc>
          <w:tcPr>
            <w:tcW w:type="dxa" w:w="2160"/>
          </w:tcPr>
          <w:p>
            <w:r>
              <w:t>管理费用（亿元）</w:t>
            </w:r>
          </w:p>
        </w:tc>
        <w:tc>
          <w:tcPr>
            <w:tcW w:type="dxa" w:w="2160"/>
          </w:tcPr>
          <w:p>
            <w:r>
              <w:t>1.27</w:t>
            </w:r>
          </w:p>
        </w:tc>
        <w:tc>
          <w:tcPr>
            <w:tcW w:type="dxa" w:w="2160"/>
          </w:tcPr>
          <w:p>
            <w:r>
              <w:t>1.05</w:t>
            </w:r>
          </w:p>
        </w:tc>
        <w:tc>
          <w:tcPr>
            <w:tcW w:type="dxa" w:w="2160"/>
          </w:tcPr>
          <w:p>
            <w:r>
              <w:t>+21.0%</w:t>
            </w:r>
          </w:p>
        </w:tc>
      </w:tr>
      <w:tr>
        <w:tc>
          <w:tcPr>
            <w:tcW w:type="dxa" w:w="2160"/>
          </w:tcPr>
          <w:p>
            <w:r>
              <w:t>归母净利润（亿元）</w:t>
            </w:r>
          </w:p>
        </w:tc>
        <w:tc>
          <w:tcPr>
            <w:tcW w:type="dxa" w:w="2160"/>
          </w:tcPr>
          <w:p>
            <w:r>
              <w:t>3.92</w:t>
            </w:r>
          </w:p>
        </w:tc>
        <w:tc>
          <w:tcPr>
            <w:tcW w:type="dxa" w:w="2160"/>
          </w:tcPr>
          <w:p>
            <w:r>
              <w:t>2.66</w:t>
            </w:r>
          </w:p>
        </w:tc>
        <w:tc>
          <w:tcPr>
            <w:tcW w:type="dxa" w:w="2160"/>
          </w:tcPr>
          <w:p>
            <w:r>
              <w:t>+47.2%</w:t>
            </w:r>
          </w:p>
        </w:tc>
      </w:tr>
      <w:tr>
        <w:tc>
          <w:tcPr>
            <w:tcW w:type="dxa" w:w="2160"/>
          </w:tcPr>
          <w:p>
            <w:r>
              <w:t>扣非净利润（亿元）</w:t>
            </w:r>
          </w:p>
        </w:tc>
        <w:tc>
          <w:tcPr>
            <w:tcW w:type="dxa" w:w="2160"/>
          </w:tcPr>
          <w:p>
            <w:r>
              <w:t>3.51</w:t>
            </w:r>
          </w:p>
        </w:tc>
        <w:tc>
          <w:tcPr>
            <w:tcW w:type="dxa" w:w="2160"/>
          </w:tcPr>
          <w:p>
            <w:r>
              <w:t>2.30</w:t>
            </w:r>
          </w:p>
        </w:tc>
        <w:tc>
          <w:tcPr>
            <w:tcW w:type="dxa" w:w="2160"/>
          </w:tcPr>
          <w:p>
            <w:r>
              <w:t>+52.8%</w:t>
            </w:r>
          </w:p>
        </w:tc>
      </w:tr>
      <w:tr>
        <w:tc>
          <w:tcPr>
            <w:tcW w:type="dxa" w:w="2160"/>
          </w:tcPr>
          <w:p>
            <w:r>
              <w:t>经营现金流（亿元）</w:t>
            </w:r>
          </w:p>
        </w:tc>
        <w:tc>
          <w:tcPr>
            <w:tcW w:type="dxa" w:w="2160"/>
          </w:tcPr>
          <w:p>
            <w:r>
              <w:t>5.18</w:t>
            </w:r>
          </w:p>
        </w:tc>
        <w:tc>
          <w:tcPr>
            <w:tcW w:type="dxa" w:w="2160"/>
          </w:tcPr>
          <w:p>
            <w:r>
              <w:t>3.83</w:t>
            </w:r>
          </w:p>
        </w:tc>
        <w:tc>
          <w:tcPr>
            <w:tcW w:type="dxa" w:w="2160"/>
          </w:tcPr>
          <w:p>
            <w:r>
              <w:t>+35.4%</w:t>
            </w:r>
          </w:p>
        </w:tc>
      </w:tr>
      <w:tr>
        <w:tc>
          <w:tcPr>
            <w:tcW w:type="dxa" w:w="2160"/>
          </w:tcPr>
          <w:p>
            <w:r>
              <w:t>基本每股收益（元）</w:t>
            </w:r>
          </w:p>
        </w:tc>
        <w:tc>
          <w:tcPr>
            <w:tcW w:type="dxa" w:w="2160"/>
          </w:tcPr>
          <w:p>
            <w:r>
              <w:t>0.456</w:t>
            </w:r>
          </w:p>
        </w:tc>
        <w:tc>
          <w:tcPr>
            <w:tcW w:type="dxa" w:w="2160"/>
          </w:tcPr>
          <w:p>
            <w:r>
              <w:t>0.310</w:t>
            </w:r>
          </w:p>
        </w:tc>
        <w:tc>
          <w:tcPr>
            <w:tcW w:type="dxa" w:w="2160"/>
          </w:tcPr>
          <w:p>
            <w:r>
              <w:t>+47.1%</w:t>
            </w:r>
          </w:p>
        </w:tc>
      </w:tr>
      <w:tr>
        <w:tc>
          <w:tcPr>
            <w:tcW w:type="dxa" w:w="2160"/>
          </w:tcPr>
          <w:p>
            <w:r>
              <w:t>加权平均 ROE（%）</w:t>
            </w:r>
          </w:p>
        </w:tc>
        <w:tc>
          <w:tcPr>
            <w:tcW w:type="dxa" w:w="2160"/>
          </w:tcPr>
          <w:p>
            <w:r>
              <w:t>14.8</w:t>
            </w:r>
          </w:p>
        </w:tc>
        <w:tc>
          <w:tcPr>
            <w:tcW w:type="dxa" w:w="2160"/>
          </w:tcPr>
          <w:p>
            <w:r>
              <w:t>11.2</w:t>
            </w:r>
          </w:p>
        </w:tc>
        <w:tc>
          <w:tcPr>
            <w:tcW w:type="dxa" w:w="2160"/>
          </w:tcPr>
          <w:p>
            <w:r>
              <w:t>+3.6pp</w:t>
            </w:r>
          </w:p>
        </w:tc>
      </w:tr>
    </w:tbl>
    <w:p>
      <w:pPr>
        <w:pStyle w:val="Heading1"/>
      </w:pPr>
      <w:r>
        <w:t>第三节 业务结构</w:t>
      </w:r>
    </w:p>
    <w:p>
      <w:r>
        <w:t>按业务板块划分，2024 年公司收入结构如下：智能算力基础设施业务收入 12.86 亿元，占比 44.7%，同比增长 28.4%；工业互联网平台业务收入 8.43 亿元，占比 29.3%，同比增长 38.1%；行业大模型解决方案业务收入 5.92 亿元，占比 20.6%，同比增长 47.5%；其他业务收入 1.53 亿元，占比 5.4%，同比增长 12.7%。</w:t>
      </w:r>
    </w:p>
    <w:p>
      <w:r>
        <w:t>按客户行业划分，前五大客户行业分别为：智能制造 31.5%、汽车与零部件 18.2%、电子与半导体 14.7%、能源与化工 9.8%、金融服务 7.3%。前五大客户合计收入占比 22.4%，客户集中度处于行业合理水平。</w:t>
      </w:r>
    </w:p>
    <w:p>
      <w:pPr>
        <w:pStyle w:val="Heading1"/>
      </w:pPr>
      <w:r>
        <w:t>第四节 分季度财务数据</w:t>
      </w:r>
    </w:p>
    <w:p>
      <w:r>
        <w:t>单位：人民币亿元（除每股收益外）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季度</w:t>
            </w:r>
          </w:p>
        </w:tc>
        <w:tc>
          <w:tcPr>
            <w:tcW w:type="dxa" w:w="1728"/>
          </w:tcPr>
          <w:p>
            <w:r>
              <w:t>营业收入</w:t>
            </w:r>
          </w:p>
        </w:tc>
        <w:tc>
          <w:tcPr>
            <w:tcW w:type="dxa" w:w="1728"/>
          </w:tcPr>
          <w:p>
            <w:r>
              <w:t>归母净利润</w:t>
            </w:r>
          </w:p>
        </w:tc>
        <w:tc>
          <w:tcPr>
            <w:tcW w:type="dxa" w:w="1728"/>
          </w:tcPr>
          <w:p>
            <w:r>
              <w:t>扣非净利润</w:t>
            </w:r>
          </w:p>
        </w:tc>
        <w:tc>
          <w:tcPr>
            <w:tcW w:type="dxa" w:w="1728"/>
          </w:tcPr>
          <w:p>
            <w:r>
              <w:t>经营现金流</w:t>
            </w:r>
          </w:p>
        </w:tc>
      </w:tr>
      <w:tr>
        <w:tc>
          <w:tcPr>
            <w:tcW w:type="dxa" w:w="1728"/>
          </w:tcPr>
          <w:p>
            <w:r>
              <w:t>第一季度</w:t>
            </w:r>
          </w:p>
        </w:tc>
        <w:tc>
          <w:tcPr>
            <w:tcW w:type="dxa" w:w="1728"/>
          </w:tcPr>
          <w:p>
            <w:r>
              <w:t>5.42</w:t>
            </w:r>
          </w:p>
        </w:tc>
        <w:tc>
          <w:tcPr>
            <w:tcW w:type="dxa" w:w="1728"/>
          </w:tcPr>
          <w:p>
            <w:r>
              <w:t>0.61</w:t>
            </w:r>
          </w:p>
        </w:tc>
        <w:tc>
          <w:tcPr>
            <w:tcW w:type="dxa" w:w="1728"/>
          </w:tcPr>
          <w:p>
            <w:r>
              <w:t>0.55</w:t>
            </w:r>
          </w:p>
        </w:tc>
        <w:tc>
          <w:tcPr>
            <w:tcW w:type="dxa" w:w="1728"/>
          </w:tcPr>
          <w:p>
            <w:r>
              <w:t>0.42</w:t>
            </w:r>
          </w:p>
        </w:tc>
      </w:tr>
      <w:tr>
        <w:tc>
          <w:tcPr>
            <w:tcW w:type="dxa" w:w="1728"/>
          </w:tcPr>
          <w:p>
            <w:r>
              <w:t>第二季度</w:t>
            </w:r>
          </w:p>
        </w:tc>
        <w:tc>
          <w:tcPr>
            <w:tcW w:type="dxa" w:w="1728"/>
          </w:tcPr>
          <w:p>
            <w:r>
              <w:t>7.18</w:t>
            </w:r>
          </w:p>
        </w:tc>
        <w:tc>
          <w:tcPr>
            <w:tcW w:type="dxa" w:w="1728"/>
          </w:tcPr>
          <w:p>
            <w:r>
              <w:t>0.97</w:t>
            </w:r>
          </w:p>
        </w:tc>
        <w:tc>
          <w:tcPr>
            <w:tcW w:type="dxa" w:w="1728"/>
          </w:tcPr>
          <w:p>
            <w:r>
              <w:t>0.88</w:t>
            </w:r>
          </w:p>
        </w:tc>
        <w:tc>
          <w:tcPr>
            <w:tcW w:type="dxa" w:w="1728"/>
          </w:tcPr>
          <w:p>
            <w:r>
              <w:t>1.06</w:t>
            </w:r>
          </w:p>
        </w:tc>
      </w:tr>
      <w:tr>
        <w:tc>
          <w:tcPr>
            <w:tcW w:type="dxa" w:w="1728"/>
          </w:tcPr>
          <w:p>
            <w:r>
              <w:t>第三季度</w:t>
            </w:r>
          </w:p>
        </w:tc>
        <w:tc>
          <w:tcPr>
            <w:tcW w:type="dxa" w:w="1728"/>
          </w:tcPr>
          <w:p>
            <w:r>
              <w:t>7.65</w:t>
            </w:r>
          </w:p>
        </w:tc>
        <w:tc>
          <w:tcPr>
            <w:tcW w:type="dxa" w:w="1728"/>
          </w:tcPr>
          <w:p>
            <w:r>
              <w:t>1.13</w:t>
            </w:r>
          </w:p>
        </w:tc>
        <w:tc>
          <w:tcPr>
            <w:tcW w:type="dxa" w:w="1728"/>
          </w:tcPr>
          <w:p>
            <w:r>
              <w:t>1.02</w:t>
            </w:r>
          </w:p>
        </w:tc>
        <w:tc>
          <w:tcPr>
            <w:tcW w:type="dxa" w:w="1728"/>
          </w:tcPr>
          <w:p>
            <w:r>
              <w:t>1.43</w:t>
            </w:r>
          </w:p>
        </w:tc>
      </w:tr>
      <w:tr>
        <w:tc>
          <w:tcPr>
            <w:tcW w:type="dxa" w:w="1728"/>
          </w:tcPr>
          <w:p>
            <w:r>
              <w:t>第四季度</w:t>
            </w:r>
          </w:p>
        </w:tc>
        <w:tc>
          <w:tcPr>
            <w:tcW w:type="dxa" w:w="1728"/>
          </w:tcPr>
          <w:p>
            <w:r>
              <w:t>8.49</w:t>
            </w:r>
          </w:p>
        </w:tc>
        <w:tc>
          <w:tcPr>
            <w:tcW w:type="dxa" w:w="1728"/>
          </w:tcPr>
          <w:p>
            <w:r>
              <w:t>1.21</w:t>
            </w:r>
          </w:p>
        </w:tc>
        <w:tc>
          <w:tcPr>
            <w:tcW w:type="dxa" w:w="1728"/>
          </w:tcPr>
          <w:p>
            <w:r>
              <w:t>1.06</w:t>
            </w:r>
          </w:p>
        </w:tc>
        <w:tc>
          <w:tcPr>
            <w:tcW w:type="dxa" w:w="1728"/>
          </w:tcPr>
          <w:p>
            <w:r>
              <w:t>2.27</w:t>
            </w:r>
          </w:p>
        </w:tc>
      </w:tr>
    </w:tbl>
    <w:p>
      <w:pPr>
        <w:pStyle w:val="Heading1"/>
      </w:pPr>
      <w:r>
        <w:t>第五节 风险因素</w:t>
      </w:r>
    </w:p>
    <w:p>
      <w:r>
        <w:t>一、技术迭代风险：AI 行业技术演进速度较快，若公司不能及时跟进大模型架构、训练范式、推理芯片等关键变化，可能导致产品竞争力下降。公司近三年累计研发投入 11.7 亿元，研发人员占比保持 45% 以上，通过持续投入对冲技术迭代风险。</w:t>
      </w:r>
    </w:p>
    <w:p>
      <w:r>
        <w:t>二、客户集中风险：虽然前五大客户收入占比控制在 25% 以内，但智能制造、汽车与电子三大行业的下游周期性可能传导至公司订单节奏。公司将通过拓展新能源、医疗、教育等新兴行业客户分散行业风险。</w:t>
      </w:r>
    </w:p>
    <w:p>
      <w:r>
        <w:t>三、供应链风险：高端 GPU 与专用 AI 芯片供应受国际地缘政治影响，可能导致部分订单交付延迟。公司已建立国产化替代方案组合，并通过战略库存将关键器件备货周期延长至 9 个月。</w:t>
      </w:r>
    </w:p>
    <w:p>
      <w:r>
        <w:t>四、人才竞争风险：AI 行业核心人才争夺激烈，关键岗位人员流失可能影响项目交付节奏。公司通过限制性股票、员工持股计划、专项科研经费等方式锁定核心团队，2024 年核心技术骨干离职率 4.2%，低于行业平均水平。</w:t>
      </w:r>
    </w:p>
    <w:p>
      <w:r>
        <w:t>五、数据合规风险：行业大模型训练涉及大量客户业务数据，若数据脱敏、权限管控、跨境传输等环节出现疏漏可能引发合规问题。公司已通过 ISO 27001、ISO 27701、等保三级等认证，并设立独立的数据安全委员会季度审计。</w:t>
      </w:r>
    </w:p>
    <w:p>
      <w:pPr>
        <w:pStyle w:val="Heading1"/>
      </w:pPr>
      <w:r>
        <w:t>第六节 成本与费用结构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2024 年金额（亿元）</w:t>
            </w:r>
          </w:p>
        </w:tc>
        <w:tc>
          <w:tcPr>
            <w:tcW w:type="dxa" w:w="2160"/>
          </w:tcPr>
          <w:p>
            <w:r>
              <w:t>占营收比例</w:t>
            </w:r>
          </w:p>
        </w:tc>
        <w:tc>
          <w:tcPr>
            <w:tcW w:type="dxa" w:w="2160"/>
          </w:tcPr>
          <w:p>
            <w:r>
              <w:t>同比变动</w:t>
            </w:r>
          </w:p>
        </w:tc>
      </w:tr>
      <w:tr>
        <w:tc>
          <w:tcPr>
            <w:tcW w:type="dxa" w:w="2160"/>
          </w:tcPr>
          <w:p>
            <w:r>
              <w:t>营业成本</w:t>
            </w:r>
          </w:p>
        </w:tc>
        <w:tc>
          <w:tcPr>
            <w:tcW w:type="dxa" w:w="2160"/>
          </w:tcPr>
          <w:p>
            <w:r>
              <w:t>17.92</w:t>
            </w:r>
          </w:p>
        </w:tc>
        <w:tc>
          <w:tcPr>
            <w:tcW w:type="dxa" w:w="2160"/>
          </w:tcPr>
          <w:p>
            <w:r>
              <w:t>62.4%</w:t>
            </w:r>
          </w:p>
        </w:tc>
        <w:tc>
          <w:tcPr>
            <w:tcW w:type="dxa" w:w="2160"/>
          </w:tcPr>
          <w:p>
            <w:r>
              <w:t>+25.2%</w:t>
            </w:r>
          </w:p>
        </w:tc>
      </w:tr>
      <w:tr>
        <w:tc>
          <w:tcPr>
            <w:tcW w:type="dxa" w:w="2160"/>
          </w:tcPr>
          <w:p>
            <w:r>
              <w:t>其中：原材料</w:t>
            </w:r>
          </w:p>
        </w:tc>
        <w:tc>
          <w:tcPr>
            <w:tcW w:type="dxa" w:w="2160"/>
          </w:tcPr>
          <w:p>
            <w:r>
              <w:t>11.43</w:t>
            </w:r>
          </w:p>
        </w:tc>
        <w:tc>
          <w:tcPr>
            <w:tcW w:type="dxa" w:w="2160"/>
          </w:tcPr>
          <w:p>
            <w:r>
              <w:t>39.8%</w:t>
            </w:r>
          </w:p>
        </w:tc>
        <w:tc>
          <w:tcPr>
            <w:tcW w:type="dxa" w:w="2160"/>
          </w:tcPr>
          <w:p>
            <w:r>
              <w:t>+22.7%</w:t>
            </w:r>
          </w:p>
        </w:tc>
      </w:tr>
      <w:tr>
        <w:tc>
          <w:tcPr>
            <w:tcW w:type="dxa" w:w="2160"/>
          </w:tcPr>
          <w:p>
            <w:r>
              <w:t>其中：外购服务</w:t>
            </w:r>
          </w:p>
        </w:tc>
        <w:tc>
          <w:tcPr>
            <w:tcW w:type="dxa" w:w="2160"/>
          </w:tcPr>
          <w:p>
            <w:r>
              <w:t>3.86</w:t>
            </w:r>
          </w:p>
        </w:tc>
        <w:tc>
          <w:tcPr>
            <w:tcW w:type="dxa" w:w="2160"/>
          </w:tcPr>
          <w:p>
            <w:r>
              <w:t>13.4%</w:t>
            </w:r>
          </w:p>
        </w:tc>
        <w:tc>
          <w:tcPr>
            <w:tcW w:type="dxa" w:w="2160"/>
          </w:tcPr>
          <w:p>
            <w:r>
              <w:t>+38.5%</w:t>
            </w:r>
          </w:p>
        </w:tc>
      </w:tr>
      <w:tr>
        <w:tc>
          <w:tcPr>
            <w:tcW w:type="dxa" w:w="2160"/>
          </w:tcPr>
          <w:p>
            <w:r>
              <w:t>其中：人工成本</w:t>
            </w:r>
          </w:p>
        </w:tc>
        <w:tc>
          <w:tcPr>
            <w:tcW w:type="dxa" w:w="2160"/>
          </w:tcPr>
          <w:p>
            <w:r>
              <w:t>1.92</w:t>
            </w:r>
          </w:p>
        </w:tc>
        <w:tc>
          <w:tcPr>
            <w:tcW w:type="dxa" w:w="2160"/>
          </w:tcPr>
          <w:p>
            <w:r>
              <w:t>6.7%</w:t>
            </w:r>
          </w:p>
        </w:tc>
        <w:tc>
          <w:tcPr>
            <w:tcW w:type="dxa" w:w="2160"/>
          </w:tcPr>
          <w:p>
            <w:r>
              <w:t>+18.4%</w:t>
            </w:r>
          </w:p>
        </w:tc>
      </w:tr>
      <w:tr>
        <w:tc>
          <w:tcPr>
            <w:tcW w:type="dxa" w:w="2160"/>
          </w:tcPr>
          <w:p>
            <w:r>
              <w:t>其中：折旧与摊销</w:t>
            </w:r>
          </w:p>
        </w:tc>
        <w:tc>
          <w:tcPr>
            <w:tcW w:type="dxa" w:w="2160"/>
          </w:tcPr>
          <w:p>
            <w:r>
              <w:t>0.71</w:t>
            </w:r>
          </w:p>
        </w:tc>
        <w:tc>
          <w:tcPr>
            <w:tcW w:type="dxa" w:w="2160"/>
          </w:tcPr>
          <w:p>
            <w:r>
              <w:t>2.5%</w:t>
            </w:r>
          </w:p>
        </w:tc>
        <w:tc>
          <w:tcPr>
            <w:tcW w:type="dxa" w:w="2160"/>
          </w:tcPr>
          <w:p>
            <w:r>
              <w:t>+15.2%</w:t>
            </w:r>
          </w:p>
        </w:tc>
      </w:tr>
      <w:tr>
        <w:tc>
          <w:tcPr>
            <w:tcW w:type="dxa" w:w="2160"/>
          </w:tcPr>
          <w:p>
            <w:r>
              <w:t>销售费用</w:t>
            </w:r>
          </w:p>
        </w:tc>
        <w:tc>
          <w:tcPr>
            <w:tcW w:type="dxa" w:w="2160"/>
          </w:tcPr>
          <w:p>
            <w:r>
              <w:t>2.13</w:t>
            </w:r>
          </w:p>
        </w:tc>
        <w:tc>
          <w:tcPr>
            <w:tcW w:type="dxa" w:w="2160"/>
          </w:tcPr>
          <w:p>
            <w:r>
              <w:t>7.4%</w:t>
            </w:r>
          </w:p>
        </w:tc>
        <w:tc>
          <w:tcPr>
            <w:tcW w:type="dxa" w:w="2160"/>
          </w:tcPr>
          <w:p>
            <w:r>
              <w:t>+19.7%</w:t>
            </w:r>
          </w:p>
        </w:tc>
      </w:tr>
      <w:tr>
        <w:tc>
          <w:tcPr>
            <w:tcW w:type="dxa" w:w="2160"/>
          </w:tcPr>
          <w:p>
            <w:r>
              <w:t>管理费用</w:t>
            </w:r>
          </w:p>
        </w:tc>
        <w:tc>
          <w:tcPr>
            <w:tcW w:type="dxa" w:w="2160"/>
          </w:tcPr>
          <w:p>
            <w:r>
              <w:t>1.27</w:t>
            </w:r>
          </w:p>
        </w:tc>
        <w:tc>
          <w:tcPr>
            <w:tcW w:type="dxa" w:w="2160"/>
          </w:tcPr>
          <w:p>
            <w:r>
              <w:t>4.4%</w:t>
            </w:r>
          </w:p>
        </w:tc>
        <w:tc>
          <w:tcPr>
            <w:tcW w:type="dxa" w:w="2160"/>
          </w:tcPr>
          <w:p>
            <w:r>
              <w:t>+21.0%</w:t>
            </w:r>
          </w:p>
        </w:tc>
      </w:tr>
      <w:tr>
        <w:tc>
          <w:tcPr>
            <w:tcW w:type="dxa" w:w="2160"/>
          </w:tcPr>
          <w:p>
            <w:r>
              <w:t>研发费用</w:t>
            </w:r>
          </w:p>
        </w:tc>
        <w:tc>
          <w:tcPr>
            <w:tcW w:type="dxa" w:w="2160"/>
          </w:tcPr>
          <w:p>
            <w:r>
              <w:t>4.86</w:t>
            </w:r>
          </w:p>
        </w:tc>
        <w:tc>
          <w:tcPr>
            <w:tcW w:type="dxa" w:w="2160"/>
          </w:tcPr>
          <w:p>
            <w:r>
              <w:t>16.9%</w:t>
            </w:r>
          </w:p>
        </w:tc>
        <w:tc>
          <w:tcPr>
            <w:tcW w:type="dxa" w:w="2160"/>
          </w:tcPr>
          <w:p>
            <w:r>
              <w:t>+42.5%</w:t>
            </w:r>
          </w:p>
        </w:tc>
      </w:tr>
      <w:tr>
        <w:tc>
          <w:tcPr>
            <w:tcW w:type="dxa" w:w="2160"/>
          </w:tcPr>
          <w:p>
            <w:r>
              <w:t>财务费用</w:t>
            </w:r>
          </w:p>
        </w:tc>
        <w:tc>
          <w:tcPr>
            <w:tcW w:type="dxa" w:w="2160"/>
          </w:tcPr>
          <w:p>
            <w:r>
              <w:t>-0.18</w:t>
            </w:r>
          </w:p>
        </w:tc>
        <w:tc>
          <w:tcPr>
            <w:tcW w:type="dxa" w:w="2160"/>
          </w:tcPr>
          <w:p>
            <w:r>
              <w:t>-0.6%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1"/>
      </w:pPr>
      <w:r>
        <w:t>第七节 研发投入与知识产权</w:t>
      </w:r>
    </w:p>
    <w:p>
      <w:r>
        <w:t>2024 年公司研发投入 4.86 亿元，占营业收入 16.9%，全部费用化处理（无研发支出资本化）。研发投入重点方向包括：行业大模型基础架构、工业视觉多模态融合、小样本学习与持续学习框架、可信 AI 与可解释性。</w:t>
      </w:r>
    </w:p>
    <w:p>
      <w:r>
        <w:t>截至 2024 年 12 月 31 日，公司累计申请发明专利 1,247 项，其中已授权 612 项；累计获得软件著作权 386 项；参与制定国家标准 7 项、行业标准 19 项。</w:t>
      </w:r>
    </w:p>
    <w:p>
      <w:pPr>
        <w:pStyle w:val="Heading1"/>
      </w:pPr>
      <w:r>
        <w:t>第八节 未来展望</w:t>
      </w:r>
    </w:p>
    <w:p>
      <w:r>
        <w:t>展望 2025 年，公司将围绕"行业大模型 + 智能体平台 + 行业知识库"三位一体战略，持续加大研发投入，预计 2025 年研发费用占营收比例维持在 16% 以上；在产品侧重点推进工业智能体的多模态感知与决策能力，在市场侧重点拓展东南亚、中东等海外区域，在组织侧通过 AI 赋能内部研发与运营提效。</w:t>
      </w:r>
    </w:p>
    <w:p>
      <w:r>
        <w:t>本报告所涉及财务数据已经立信会计师事务所审计，并出具标准无保留意见审计报告（信会师报字 [2025] 第 ZX-00123 号）。本报告所有数据为披露方根据监管规则编报，实际经营成果以正式披露公告为准。</w:t>
      </w:r>
    </w:p>
    <w:p>
      <w:r>
        <w:t>本文档为 RAG 教程测试用途的虚构样本，所有公司名、股票代码、财务数据、人物、机构均为虚构，如与任何现实主体相似纯属巧合。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