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B63"/>
          <w:sz w:val="60"/>
        </w:rPr>
        <w:t>品牌创意简报协同系统</w:t>
      </w:r>
    </w:p>
    <w:p>
      <w:pPr>
        <w:jc w:val="center"/>
      </w:pPr>
      <w:r>
        <w:rPr>
          <w:rFonts w:ascii="微软雅黑" w:hAnsi="微软雅黑" w:eastAsia="微软雅黑"/>
          <w:b/>
          <w:color w:val="B4532B"/>
          <w:sz w:val="40"/>
        </w:rPr>
        <w:t>项目方案 与 报价单</w:t>
      </w:r>
    </w:p>
    <w:p/>
    <w:p>
      <w:pPr>
        <w:jc w:val="center"/>
      </w:pPr>
      <w:r>
        <w:rPr>
          <w:rFonts w:ascii="宋体" w:hAnsi="宋体" w:eastAsia="宋体"/>
          <w:color w:val="606060"/>
          <w:sz w:val="21"/>
        </w:rPr>
        <w:t>基于六位负责人访谈事实（f00–f55）· FDE 九科目成本模型 · 整包 / 分成双轨报价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8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文件版本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V1.0（待基线冻结后升 V2.0 并锁定分成条款）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r/>
            <w:r>
              <w:rPr>
                <w:rFonts w:ascii="宋体" w:hAnsi="宋体" w:eastAsia="宋体"/>
                <w:sz w:val="19"/>
              </w:rPr>
              <w:t>编制日期</w:t>
            </w:r>
          </w:p>
        </w:tc>
        <w:tc>
          <w:tcPr>
            <w:tcW w:type="dxa" w:w="6520"/>
            <w:shd w:val="clear" w:color="auto" w:fill="F2F5F9"/>
          </w:tcPr>
          <w:p>
            <w:r/>
            <w:r>
              <w:rPr>
                <w:rFonts w:ascii="宋体" w:hAnsi="宋体" w:eastAsia="宋体"/>
                <w:sz w:val="19"/>
              </w:rPr>
              <w:t>2026-10-23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需求来源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《与各个负责人对话形成的报告》——36 条事实，六角色全采集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r/>
            <w:r>
              <w:rPr>
                <w:rFonts w:ascii="宋体" w:hAnsi="宋体" w:eastAsia="宋体"/>
                <w:sz w:val="19"/>
              </w:rPr>
              <w:t>成本依据</w:t>
            </w:r>
          </w:p>
        </w:tc>
        <w:tc>
          <w:tcPr>
            <w:tcW w:type="dxa" w:w="6520"/>
            <w:shd w:val="clear" w:color="auto" w:fill="F2F5F9"/>
          </w:tcPr>
          <w:p>
            <w:r/>
            <w:r>
              <w:rPr>
                <w:rFonts w:ascii="宋体" w:hAnsi="宋体" w:eastAsia="宋体"/>
                <w:sz w:val="19"/>
              </w:rPr>
              <w:t>FDE 交付九个成本科目 + 三层隐含成本（管理分摊 / 风险准备 / 利润）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报价方式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主推：固定总价（整包）；备选：效果付费（分成）；付款按里程碑</w:t>
            </w:r>
          </w:p>
        </w:tc>
      </w:tr>
      <w:tr>
        <w:tc>
          <w:tcPr>
            <w:tcW w:type="dxa" w:w="1984"/>
            <w:shd w:val="clear" w:color="auto" w:fill="F2F5F9"/>
          </w:tcPr>
          <w:p>
            <w:r/>
            <w:r>
              <w:rPr>
                <w:rFonts w:ascii="宋体" w:hAnsi="宋体" w:eastAsia="宋体"/>
                <w:sz w:val="19"/>
              </w:rPr>
              <w:t>报价有效期</w:t>
            </w:r>
          </w:p>
        </w:tc>
        <w:tc>
          <w:tcPr>
            <w:tcW w:type="dxa" w:w="6520"/>
            <w:shd w:val="clear" w:color="auto" w:fill="F2F5F9"/>
          </w:tcPr>
          <w:p>
            <w:r/>
            <w:r>
              <w:rPr>
                <w:rFonts w:ascii="宋体" w:hAnsi="宋体" w:eastAsia="宋体"/>
                <w:sz w:val="19"/>
              </w:rPr>
              <w:t>自出具日起 30 日；模型与算力价格波动按第 12.3 条处理</w:t>
            </w:r>
          </w:p>
        </w:tc>
      </w:tr>
    </w:tbl>
    <w:p>
      <w:pPr>
        <w:spacing w:after="40"/>
      </w:pP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使用说明：本文件第一部分是项目方案（做什么、怎么做、怎么验收），第二部分是报价单（花多少、怎么付）。两部分共用同一套成本科目，报价单中的每一个数字都可回溯到第一部分的功能范围。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目 录</w:t>
      </w:r>
    </w:p>
    <w:p>
      <w:pPr>
        <w:spacing w:after="40"/>
      </w:pPr>
      <w:r>
        <w:rPr>
          <w:rFonts w:ascii="微软雅黑" w:hAnsi="微软雅黑" w:eastAsia="微软雅黑"/>
          <w:b/>
          <w:color w:val="1F3B63"/>
          <w:sz w:val="22"/>
        </w:rPr>
        <w:t>第一部分  项目方案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第一章  项目背景、目标与试点边界　</w:t>
      </w:r>
      <w:r>
        <w:rPr>
          <w:rFonts w:ascii="楷体" w:hAnsi="楷体" w:eastAsia="楷体"/>
          <w:color w:val="707070"/>
          <w:sz w:val="19"/>
        </w:rPr>
        <w:t>1.1 现状链路与问题定位；1.2 项目目标；1.3 试点边界与排除项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第二章  需求响应矩阵（六角色 × 六需求）　</w:t>
      </w:r>
      <w:r>
        <w:rPr>
          <w:rFonts w:ascii="楷体" w:hAnsi="楷体" w:eastAsia="楷体"/>
          <w:color w:val="707070"/>
          <w:sz w:val="19"/>
        </w:rPr>
        <w:t>角色诉求 → 方案落点 → 事实编号 → 验收口径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第三章  需求分级与本期交付范围　</w:t>
      </w:r>
      <w:r>
        <w:rPr>
          <w:rFonts w:ascii="楷体" w:hAnsi="楷体" w:eastAsia="楷体"/>
          <w:color w:val="707070"/>
          <w:sz w:val="19"/>
        </w:rPr>
        <w:t>REQ-1 至 REQ-6 的取舍与理由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第四章  解决方案架构　</w:t>
      </w:r>
      <w:r>
        <w:rPr>
          <w:rFonts w:ascii="楷体" w:hAnsi="楷体" w:eastAsia="楷体"/>
          <w:color w:val="707070"/>
          <w:sz w:val="19"/>
        </w:rPr>
        <w:t>五层架构；四项关键设计；规则引擎与大模型分层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第五章  功能清单（MVP）　</w:t>
      </w:r>
      <w:r>
        <w:rPr>
          <w:rFonts w:ascii="楷体" w:hAnsi="楷体" w:eastAsia="楷体"/>
          <w:color w:val="707070"/>
          <w:sz w:val="19"/>
        </w:rPr>
        <w:t>九大模块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第六章  不可逆风险与硬约束　</w:t>
      </w:r>
      <w:r>
        <w:rPr>
          <w:rFonts w:ascii="楷体" w:hAnsi="楷体" w:eastAsia="楷体"/>
          <w:color w:val="707070"/>
          <w:sz w:val="19"/>
        </w:rPr>
        <w:t>七条硬约束的落地方式与越界拦截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第七章  实施计划　</w:t>
      </w:r>
      <w:r>
        <w:rPr>
          <w:rFonts w:ascii="楷体" w:hAnsi="楷体" w:eastAsia="楷体"/>
          <w:color w:val="707070"/>
          <w:sz w:val="19"/>
        </w:rPr>
        <w:t>四个阶段、里程碑与客户投入</w:t>
      </w:r>
    </w:p>
    <w:p>
      <w:pPr>
        <w:spacing w:after="40"/>
      </w:pPr>
      <w:r>
        <w:rPr>
          <w:rFonts w:ascii="微软雅黑" w:hAnsi="微软雅黑" w:eastAsia="微软雅黑"/>
          <w:b/>
          <w:color w:val="1F3B63"/>
          <w:sz w:val="22"/>
        </w:rPr>
        <w:t>第八章  验收标准、停止条件与待确认清单</w:t>
      </w:r>
    </w:p>
    <w:p>
      <w:pPr>
        <w:spacing w:after="40"/>
      </w:pPr>
      <w:r>
        <w:rPr>
          <w:rFonts w:ascii="微软雅黑" w:hAnsi="微软雅黑" w:eastAsia="微软雅黑"/>
          <w:b/>
          <w:color w:val="1F3B63"/>
          <w:sz w:val="22"/>
        </w:rPr>
        <w:t>第二部分  报价单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第九章  报价依据：FDE 九个成本科目　</w:t>
      </w:r>
      <w:r>
        <w:rPr>
          <w:rFonts w:ascii="楷体" w:hAnsi="楷体" w:eastAsia="楷体"/>
          <w:color w:val="707070"/>
          <w:sz w:val="19"/>
        </w:rPr>
        <w:t>人天与金额底盘；三层隐含成本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第十章  报价方案　</w:t>
      </w:r>
      <w:r>
        <w:rPr>
          <w:rFonts w:ascii="楷体" w:hAnsi="楷体" w:eastAsia="楷体"/>
          <w:color w:val="707070"/>
          <w:sz w:val="19"/>
        </w:rPr>
        <w:t>三档整包报价；分成方案设计；整包与分成的取舍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第十一章 六种报价方式适用性评估　</w:t>
      </w:r>
      <w:r>
        <w:rPr>
          <w:rFonts w:ascii="楷体" w:hAnsi="楷体" w:eastAsia="楷体"/>
          <w:color w:val="707070"/>
          <w:sz w:val="19"/>
        </w:rPr>
        <w:t>为什么主推整包、分成为什么要延后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第十二章 付款节点与商务条款　</w:t>
      </w:r>
      <w:r>
        <w:rPr>
          <w:rFonts w:ascii="楷体" w:hAnsi="楷体" w:eastAsia="楷体"/>
          <w:color w:val="707070"/>
          <w:sz w:val="19"/>
        </w:rPr>
        <w:t>里程碑付款；范围蔓延；算力调价；知识产权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 xml:space="preserve">第十三章 风险提示与假设声明　</w:t>
      </w:r>
      <w:r>
        <w:rPr>
          <w:rFonts w:ascii="楷体" w:hAnsi="楷体" w:eastAsia="楷体"/>
          <w:color w:val="707070"/>
          <w:sz w:val="19"/>
        </w:rPr>
        <w:t>基线与价格的前提条件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第一部分　项目方案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第一章　项目背景、目标与试点边界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1.1 现状链路与问题定位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业务负责人确认的实际链路为：客户访谈 → 需求确认 → 创意提案 → 品牌审核 → 交付（f01）。问题并不集中在某一个环节，而是集中在五段之间的四个交接点上：客户口头补充的品牌约束没有进入简报（f10），交接时只发一条"已处理"消息而不列最新版本、未确认事项与截止时间（f23），三类工具（内部服务台、业务台账、文件库）并存而简报没有统一关联编号（f30），现场先用群消息处理再补填表格导致时间口径失真（f13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四个交接点的共同后果是重复核对。业务负责人把本次目标直接定义为：让品牌创意简报减少重复核对，同时必须保留人工确认和可追溯来源（f00）。这决定了本方案的技术取向——不是追求自动化程度，而是追求"每一次核对都能说清依据、每一个结论都能追到人"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1.2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175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15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衡量口径</w:t>
            </w:r>
          </w:p>
        </w:tc>
        <w:tc>
          <w:tcPr>
            <w:tcW w:type="dxa" w:w="147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减少重复核对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8"/>
              </w:rPr>
              <w:t>跨工具人工比对、口头约束回查、版本猜测三类重复劳动收敛为一次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8"/>
              </w:rPr>
              <w:t>每份简报的人工比对次数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f00 / f30 / f24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可追溯来源</w:t>
            </w:r>
          </w:p>
        </w:tc>
        <w:tc>
          <w:tcPr>
            <w:tcW w:type="dxa" w:w="317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每条结果都能关联到原始记录、版本与复核人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30 项品牌约束全部追溯到客户确认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f02 / f42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人工确认不可绕过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8"/>
              </w:rPr>
              <w:t>系统建议不能覆盖原值，正式结论只能由授权人确认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8"/>
              </w:rPr>
              <w:t>越权动作拦截率 100%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f14 / f22 / f41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未授权素材可控</w:t>
            </w:r>
          </w:p>
        </w:tc>
        <w:tc>
          <w:tcPr>
            <w:tcW w:type="dxa" w:w="317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授权状态不明或已停用的素材被明确标记而非静默使用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未授权素材标记率 100%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f02 / f11</w:t>
            </w:r>
          </w:p>
        </w:tc>
      </w:tr>
    </w:tbl>
    <w:p>
      <w:pPr>
        <w:spacing w:after="40"/>
      </w:pP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第四项目标来自一次真实异常：客户停用一条宣传语，但演示稿仍引用旧版本，需要查原始版本才能判断责任（f11）。这类问题的代价不在返工工时，而在责任归属无法判定。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1.3 试点边界与排除项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访谈中各方对边界的表述高度一致，本方案照单全收并写入合同附件，不作为可协商项：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5329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147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范围边界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8"/>
              </w:rPr>
              <w:t>只覆盖一个批次的品牌创意简报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f05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权限边界</w:t>
            </w:r>
          </w:p>
        </w:tc>
        <w:tc>
          <w:tcPr>
            <w:tcW w:type="dxa" w:w="5329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只开放脱敏只读导出；写回、外部消息、执行接口均不开放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f32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动作边界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8"/>
              </w:rPr>
              <w:t>不自动发布广告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f05 / f52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结论边界</w:t>
            </w:r>
          </w:p>
        </w:tc>
        <w:tc>
          <w:tcPr>
            <w:tcW w:type="dxa" w:w="5329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不推断或承诺广告法律审查结果；对外承诺仍由业务人员确认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f05 / f52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权限归属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8"/>
              </w:rPr>
              <w:t>一线专员可提交变更，正式确认由对应业务负责人完成，模型没有审批权限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f22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投入上限</w:t>
            </w:r>
          </w:p>
        </w:tc>
        <w:tc>
          <w:tcPr>
            <w:tcW w:type="dxa" w:w="5329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四周试点、两名业务骨干参与、每周投入不超过四小时，超出须重新评估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f03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停止权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8"/>
              </w:rPr>
              <w:t>业务负责人决定试点范围，审核与质量负责人保留停止试点的权利，客户协同代表确认结果用途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f04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第二章　需求响应矩阵（六角色 × 六需求）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下表把六位负责人提出的核心诉求逐一映射到方案落点。凡访谈中明确"尚未核实"的项，在本方案中一律列为待确认，不写进承诺。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60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核心诉求</w:t>
            </w:r>
          </w:p>
        </w:tc>
        <w:tc>
          <w:tcPr>
            <w:tcW w:type="dxa" w:w="90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事实</w:t>
            </w:r>
          </w:p>
        </w:tc>
        <w:tc>
          <w:tcPr>
            <w:tcW w:type="dxa" w:w="226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方案落点</w:t>
            </w:r>
          </w:p>
        </w:tc>
        <w:tc>
          <w:tcPr>
            <w:tcW w:type="dxa" w:w="124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顾明岚</w:t>
              <w:br/>
              <w:t>业务决策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减少重复核对，保留人工确认与可追溯来源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f00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全局追溯链；授权确认闭环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30 项约束可追溯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林亦舟</w:t>
              <w:br/>
              <w:t>设计执行</w:t>
            </w:r>
          </w:p>
        </w:tc>
        <w:tc>
          <w:tcPr>
            <w:tcW w:type="dxa" w:w="260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要一页缺项清单 + 来源位置，不要泛化摘要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f10/f15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缺项清单生成器（含来源定位）</w:t>
            </w:r>
          </w:p>
        </w:tc>
        <w:tc>
          <w:tcPr>
            <w:tcW w:type="dxa" w:w="124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清单字段经本人核对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唐映秋</w:t>
              <w:br/>
              <w:t>流程协调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版本有效期 + 确认状态双条件，不靠文件名猜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f23/f24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版本判定引擎；交接登记卡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与文件名的差异率统计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秦芮</w:t>
              <w:br/>
              <w:t>工具与数据</w:t>
            </w:r>
          </w:p>
        </w:tc>
        <w:tc>
          <w:tcPr>
            <w:tcW w:type="dxa" w:w="260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三类工具无统一关联编号，跨工具只能人工比对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f30/f31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统一关联编号 + 字段级脱敏导出</w:t>
            </w:r>
          </w:p>
        </w:tc>
        <w:tc>
          <w:tcPr>
            <w:tcW w:type="dxa" w:w="124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重复编号/版本断链检出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傅景</w:t>
              <w:br/>
              <w:t>质量审核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sz w:val="18"/>
              </w:rPr>
              <w:t>审计要看到谁查过、用哪个版本、谁确认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f45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审计留痕（全量访问与建议记录）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留痕字段覆盖率 100%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叶书</w:t>
              <w:br/>
              <w:t>客户协同</w:t>
            </w:r>
          </w:p>
        </w:tc>
        <w:tc>
          <w:tcPr>
            <w:tcW w:type="dxa" w:w="260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以原始记录定义口径，不比较两张汇总表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f53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原始记录比对视图；每周复盘台账</w:t>
            </w:r>
          </w:p>
        </w:tc>
        <w:tc>
          <w:tcPr>
            <w:tcW w:type="dxa" w:w="124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双方共同复盘记录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第三章　需求分级与本期交付范围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90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72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90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访谈优先级</w:t>
            </w:r>
          </w:p>
        </w:tc>
        <w:tc>
          <w:tcPr>
            <w:tcW w:type="dxa" w:w="113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本期是否纳入</w:t>
            </w:r>
          </w:p>
        </w:tc>
        <w:tc>
          <w:tcPr>
            <w:tcW w:type="dxa" w:w="192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0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REQ-5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sz w:val="18"/>
              </w:rPr>
              <w:t>人工确认与审计留痕须在试点前定角色与拦截标准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纳入（前置）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授权确认人名单 + 拦截标准 + 审计留痕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不完成此项，验收无人签字</w:t>
            </w:r>
          </w:p>
        </w:tc>
      </w:tr>
      <w:tr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REQ-1</w:t>
            </w:r>
          </w:p>
        </w:tc>
        <w:tc>
          <w:tcPr>
            <w:tcW w:type="dxa" w:w="272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品牌约束缺项清单可减少设计返工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13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纳入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缺项清单（一页 + 来源定位）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设计师最直接痛点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REQ-2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sz w:val="18"/>
              </w:rPr>
              <w:t>版本有效期与确认状态双条件解决交接冲突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纳入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版本判定引擎 + 交接登记卡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唐映秋主张，叶书同源诉求</w:t>
            </w:r>
          </w:p>
        </w:tc>
      </w:tr>
      <w:tr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REQ-3</w:t>
            </w:r>
          </w:p>
        </w:tc>
        <w:tc>
          <w:tcPr>
            <w:tcW w:type="dxa" w:w="272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统一关联编号是只读集成的前置条件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13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纳入（只读形态）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临时关联键 + 脱敏导出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主记录来源待定，不做写回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REQ-4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sz w:val="18"/>
              </w:rPr>
              <w:t>双时间戳可识别过期来源覆盖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纳入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双时间戳 + 快照保留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依赖导出字段粒度，待秦芮确认</w:t>
            </w:r>
          </w:p>
        </w:tc>
      </w:tr>
      <w:tr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REQ-6</w:t>
            </w:r>
          </w:p>
        </w:tc>
        <w:tc>
          <w:tcPr>
            <w:tcW w:type="dxa" w:w="272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协作效果需多指标评估而非单一工时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13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纳入（观测不承诺）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三指标观测台账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基线为虚构样本，不设量化承诺</w:t>
            </w:r>
          </w:p>
        </w:tc>
      </w:tr>
    </w:tbl>
    <w:p>
      <w:pPr>
        <w:spacing w:after="40"/>
      </w:pP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REQ-5 虽然排在后面，但它是验收的前置条件：授权确认人名单与异常拦截标准不定，审核负责人不签字，其余五项做得再好也无法结项。因此实施计划把它放在第 0 阶段。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第四章　解决方案架构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4.1 总体分层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762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8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本期实现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接入层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8"/>
              </w:rPr>
              <w:t>三类工具（内部服务台 / 业务台账 / 文件库）的脱敏只读导出接入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8"/>
              </w:rPr>
              <w:t>只读连接器，不写回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476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统一关联编号、关键字段（项目演练编号、受众、传播渠道、约束条款、版本）、双时间戳</w:t>
            </w:r>
          </w:p>
        </w:tc>
        <w:tc>
          <w:tcPr>
            <w:tcW w:type="dxa" w:w="238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缺失值与未确认值严格区分（f31）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规则引擎层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8"/>
              </w:rPr>
              <w:t>字段校验、关键词级规范匹配、版本比对、过期覆盖拦截、权限边界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8"/>
              </w:rPr>
              <w:t>确定性、零成本、可解释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模型层</w:t>
            </w:r>
          </w:p>
        </w:tc>
        <w:tc>
          <w:tcPr>
            <w:tcW w:type="dxa" w:w="476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缺项清单生成、约束条款抽取、冲突解释、批注归类</w:t>
            </w:r>
          </w:p>
        </w:tc>
        <w:tc>
          <w:tcPr>
            <w:tcW w:type="dxa" w:w="238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轻量档为主，旗舰档只用于质量评分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审批与审计层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8"/>
              </w:rPr>
              <w:t>授权确认闭环、人工处理队列、全量访问与建议留痕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8"/>
              </w:rPr>
              <w:t>不可逆动作的硬拦截点</w:t>
            </w:r>
          </w:p>
        </w:tc>
      </w:tr>
    </w:tbl>
    <w:p>
      <w:pPr>
        <w:spacing w:after="40"/>
      </w:pP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4.2 四项关键设计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统一关联编号：以项目演练编号为主键，建立跨三类工具的临时关联键；导出为字段级脱敏，导出粒度与频率以秦芮的确认为准（f30 / f31 / f32）。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双时间戳：每条更新同时记录业务发生时间与系统接收时间。过期来源不得覆盖已确认的新版本（f34）；读取失败保留上次快照并标记时间，提示人工核查，不编造最新状态（f35）。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版本有效期 + 确认状态双条件：最新版本判定只看这两个条件，不依赖文件名；作废记录保留原因（f24）。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缺项清单：输出一页，每条缺项附来源位置（哪份材料、哪一段），不做泛化摘要（f15）。清单字段构成需林亦舟与唐映秋共同确认后定稿。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4.3 规则引擎与大模型分层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模型只做规则做不了的事。字段校验、关键词级规范匹配、版本比对、过期覆盖拦截一律走规则引擎——零调用成本、结果确定、可解释。可解释性在这里不是加分项而是硬要求：审核侧要的是"谁查过、用哪个版本、提出什么建议、谁确认"（f45），黑箱结论拿不到签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94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1020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6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缺项清单生成、条款抽取、冲突解释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8"/>
              </w:rPr>
              <w:t>DeepSeek V4.1 Flash / Qwen3.8-Flash / GLM-5.3-Flash（1 元档）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约 80%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成本约 1 元/百万 token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简报质量评分、复杂冲突判定</w:t>
            </w:r>
          </w:p>
        </w:tc>
        <w:tc>
          <w:tcPr>
            <w:tcW w:type="dxa" w:w="294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旗舰档（V4 Pro / Qwen3.8-Max）</w:t>
            </w:r>
          </w:p>
        </w:tc>
        <w:tc>
          <w:tcPr>
            <w:tcW w:type="dxa" w:w="1020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约 10%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只用在规则与轻量档判不准的活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视觉预检（可选）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8"/>
              </w:rPr>
              <w:t>多模态档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按需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默认关闭，按轮次开启，是唯一能显著抬升成本的开关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字段校验 / 规范匹配 / 版本比对</w:t>
            </w:r>
          </w:p>
        </w:tc>
        <w:tc>
          <w:tcPr>
            <w:tcW w:type="dxa" w:w="294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规则引擎</w:t>
            </w:r>
          </w:p>
        </w:tc>
        <w:tc>
          <w:tcPr>
            <w:tcW w:type="dxa" w:w="1020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其余全部</w:t>
            </w:r>
          </w:p>
        </w:tc>
        <w:tc>
          <w:tcPr>
            <w:tcW w:type="dxa" w:w="226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零成本，可解释，可追溯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第五章　功能清单（MVP）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76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170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对应需求 / 事实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M1 授权与审计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sz w:val="18"/>
              </w:rPr>
              <w:t>授权确认人名单维护；异常拦截标准配置；全量访问与建议留痕；审计视图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REQ-5 / f41 f44 f45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M2 简报结构化</w:t>
            </w:r>
          </w:p>
        </w:tc>
        <w:tc>
          <w:tcPr>
            <w:tcW w:type="dxa" w:w="48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关键字段录入与校验；缺失值与未确认值区分；品牌约束条目化（30 项）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REQ-3 / f31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M3 缺项清单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sz w:val="18"/>
              </w:rPr>
              <w:t>一页式缺项清单生成；每条缺项附来源位置；清单版本化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REQ-1 / f10 f15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M4 版本与交接</w:t>
            </w:r>
          </w:p>
        </w:tc>
        <w:tc>
          <w:tcPr>
            <w:tcW w:type="dxa" w:w="48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双时间戳；版本有效期 + 确认状态双条件判定；交接登记卡（最新版本/未确认事项/截止时间）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REQ-2 / f23 f24 f34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M5 只读集成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sz w:val="18"/>
              </w:rPr>
              <w:t>三类工具脱敏只读连接器；统一关联键；字段级导出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REQ-3 / f30 f32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M6 过期覆盖拦截</w:t>
            </w:r>
          </w:p>
        </w:tc>
        <w:tc>
          <w:tcPr>
            <w:tcW w:type="dxa" w:w="48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过期来源不覆盖已确认新版本；读取失败保留快照并标记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REQ-4 / f34 f35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M7 人工处理队列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sz w:val="18"/>
              </w:rPr>
              <w:t>无法确认版本或关键字段的简报入队；具名接收人；必要时暂停试点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REQ-5 / f44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M8 效果观测台账</w:t>
            </w:r>
          </w:p>
        </w:tc>
        <w:tc>
          <w:tcPr>
            <w:tcW w:type="dxa" w:w="48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处理工时、返工次数、确认完整率三指标；每周误报/漏报/未确认项复盘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REQ-6 / f51 f55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M9 素材授权标记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sz w:val="18"/>
              </w:rPr>
              <w:t>未授权素材明确标记；停用素材在引用处告警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f02 f11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第六章　不可逆风险与硬约束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访谈给出了明确的不可逆风险边界。下列七条在实现上不是"配置项"，而是硬编码拦截——触发即阻断，不提供绕过开关。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9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硬约束</w:t>
            </w:r>
          </w:p>
        </w:tc>
        <w:tc>
          <w:tcPr>
            <w:tcW w:type="dxa" w:w="90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249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15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越界拦截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模型没有审批权限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f22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提交与确认分离，模型只能产出建议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8"/>
              </w:rPr>
              <w:t>任何结论字段的写入必须带授权人 ID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正式结论须由授权人员确认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f41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确认动作绑定授权人名单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名单外账号确认请求直接拒绝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建议不能覆盖原值或省略确认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f14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建议与原值双写，不覆盖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8"/>
              </w:rPr>
              <w:t>覆盖类操作阻断并留痕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只开放脱敏只读导出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f32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连接器只实现读与脱敏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写回 / 外部消息 / 执行接口不实现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不自动发布广告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f05 f52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不提供发布通路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8"/>
              </w:rPr>
              <w:t>发布类调用不存在，无法触发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不推断或承诺法律审查结果</w:t>
            </w:r>
          </w:p>
        </w:tc>
        <w:tc>
          <w:tcPr>
            <w:tcW w:type="dxa" w:w="90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f05 f52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相关字段标注为人工判定</w:t>
            </w:r>
          </w:p>
        </w:tc>
        <w:tc>
          <w:tcPr>
            <w:tcW w:type="dxa" w:w="215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模型不得输出确定性法律结论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无法确认版本或关键字段时不得默认通过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8"/>
              </w:rPr>
              <w:t>f44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置信不足即入人工队列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8"/>
              </w:rPr>
              <w:t>队列非空时试点可暂停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第七章　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13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9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49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192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47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客户投入</w:t>
            </w:r>
          </w:p>
        </w:tc>
        <w:tc>
          <w:tcPr>
            <w:tcW w:type="dxa" w:w="79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付款节点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阶段 0</w:t>
              <w:br/>
              <w:t>诊断与基线冻结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8"/>
              </w:rPr>
              <w:t>2 周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诊断交接点；人工记录真实基线（返工轮次、核对工时、确认完整率）；锁定授权确认人名单与拦截标准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现状流程确认稿；基线数据（双方签字）；授权确认人名单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业务 + 流程 + 审核三方各 2 次访谈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</w:tr>
      <w:tr>
        <w:tc>
          <w:tcPr>
            <w:tcW w:type="dxa" w:w="113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阶段 1</w:t>
              <w:br/>
              <w:t>试点</w:t>
            </w:r>
          </w:p>
        </w:tc>
        <w:tc>
          <w:tcPr>
            <w:tcW w:type="dxa" w:w="7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4 周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单批次简报上线 M1/M3/M4/M7；缺项清单字段定稿；每周复盘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可运行试点系统；缺项清单样本；周复盘记录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两名业务骨干，每周≤4 小时（f03）</w:t>
            </w:r>
          </w:p>
        </w:tc>
        <w:tc>
          <w:tcPr>
            <w:tcW w:type="dxa" w:w="7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阶段 2</w:t>
              <w:br/>
              <w:t>推广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8"/>
              </w:rPr>
              <w:t>6–8 周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M2/M5/M6/M8/M9 上线；只读集成打通；三指标观测转入系统取数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完整系统；集成说明；效果观测台账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按角色分批次培训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</w:tr>
      <w:tr>
        <w:tc>
          <w:tcPr>
            <w:tcW w:type="dxa" w:w="113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阶段 3</w:t>
              <w:br/>
              <w:t>运维与迭代</w:t>
            </w:r>
          </w:p>
        </w:tc>
        <w:tc>
          <w:tcPr>
            <w:tcW w:type="dxa" w:w="7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持续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监控；模型与 Prompt 迭代；季度复盘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运维报告；季度优化建议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指定对接人</w:t>
            </w:r>
          </w:p>
        </w:tc>
        <w:tc>
          <w:tcPr>
            <w:tcW w:type="dxa" w:w="7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年费</w:t>
            </w:r>
          </w:p>
        </w:tc>
      </w:tr>
    </w:tbl>
    <w:p>
      <w:pPr>
        <w:spacing w:after="40"/>
      </w:pP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阶段 0 不可省略。访谈明确指出返工基线为虚构样本（f12），若不先冻结真实基线，阶段 3 的任何效果结论都会变成归因扯皮——这也是分成条款必须延后的根本原因。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第八章　验收标准、停止条件与待确认清单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8.1 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4762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品牌约束可追溯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8"/>
              </w:rPr>
              <w:t>30 项品牌约束全部追溯到客户确认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f02 / f42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未授权素材</w:t>
            </w:r>
          </w:p>
        </w:tc>
        <w:tc>
          <w:tcPr>
            <w:tcW w:type="dxa" w:w="476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未授权素材明确标记，不静默使用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结果关联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8"/>
              </w:rPr>
              <w:t>每条结果关联来源与人工复核记录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f42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审计留痕</w:t>
            </w:r>
          </w:p>
        </w:tc>
        <w:tc>
          <w:tcPr>
            <w:tcW w:type="dxa" w:w="476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能看到谁查过、用哪个版本、提出什么建议、谁确认；不只留最终摘要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f45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确认闭环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8"/>
              </w:rPr>
              <w:t>正式结论均有授权人确认记录，无越权确认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f22 / f41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异常处置</w:t>
            </w:r>
          </w:p>
        </w:tc>
        <w:tc>
          <w:tcPr>
            <w:tcW w:type="dxa" w:w="476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无法确认的简报均进入人工队列，无默认通过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f44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双时间戳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8"/>
              </w:rPr>
              <w:t>更新记录同时含业务发生时间与系统接收时间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f34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三指标观测</w:t>
            </w:r>
          </w:p>
        </w:tc>
        <w:tc>
          <w:tcPr>
            <w:tcW w:type="dxa" w:w="476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处理工时、返工次数、确认完整率均有取数（观测用，不设达标线）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f51</w:t>
            </w:r>
          </w:p>
        </w:tc>
      </w:tr>
    </w:tbl>
    <w:p>
      <w:pPr>
        <w:spacing w:after="40"/>
      </w:pP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8.2 停止条件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授权确认人名单与异常拦截标准未获书面确认——审核负责人不签字，试点不进入阶段 1。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基线数据未冻结——阶段 3 的效果结论不出具，分成条款不激活。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试点期投入超出每周四小时上限——由业务负责人重新评估，不自动延期（f03）。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审核负责人行使停止权——立即中止，按已完成里程碑结算（f04 / f44）。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8.3 待确认清单（推进前必须书面答复）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6236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待确认问题</w:t>
            </w:r>
          </w:p>
        </w:tc>
        <w:tc>
          <w:tcPr>
            <w:tcW w:type="dxa" w:w="158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责任角色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三类工具中哪一类是品牌创意简报的主记录来源，其余两类是引用还是各自维护副本？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秦芮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623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脱敏只读导出的粒度是整份还是字段级，导出频率与触发方式是什么？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秦芮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试点阶段哪些角色算授权确认人，异常简报的拦截标准由谁定？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顾明岚 / 傅景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623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"已确认新版本"由谁确认、以哪个工具为准？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唐映秋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缺项清单应包含哪些字段，由谁在哪个交接点生成并核对？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林亦舟 / 唐映秋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623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保留期由业务负责人定还是合规口径定，到期删除的触发人与范围如何列清单？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顾明岚 / 傅景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试点范围是单个品牌还是多品牌并行（决定全量追溯还是抽样验收）？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顾明岚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623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客户侧反馈能否作为验收佐证，由谁取数、统计周期多长？</w:t>
            </w:r>
          </w:p>
        </w:tc>
        <w:tc>
          <w:tcPr>
            <w:tcW w:type="dxa" w:w="158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叶书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第二部分　报价单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第九章　报价依据：FDE 九个成本科目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本报价不使用"开发费"这样一个笼统科目。AI 交付（FDE）的真实成本分布在九个科目上，其中第 04 项（数据与知识资产建设）波动最大，也是最容易在报价时被忽略、在交付时爆掉的一项。按九个科目拆开报，既是对客户负责，也是对我方保护——范围一旦变更，能立刻定位到具体科目。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科目</w:t>
            </w:r>
          </w:p>
        </w:tc>
        <w:tc>
          <w:tcPr>
            <w:tcW w:type="dxa" w:w="6576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本项目对应的具体工作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01 售前与机会成本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8"/>
              </w:rPr>
              <w:t>标书与方案、驻场调研、POC 演示、本轮访谈整理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02 诊断与场景梳理</w:t>
            </w:r>
          </w:p>
        </w:tc>
        <w:tc>
          <w:tcPr>
            <w:tcW w:type="dxa" w:w="65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五个交接点诊断；识别真正可落地的自动化点；基线冻结设计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03 方案与架构设计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8"/>
              </w:rPr>
              <w:t>技术选型、数据流设计、评测集（Golden Set）设计、安全与合规架构、验收标准定义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04 数据与知识资产建设</w:t>
            </w:r>
          </w:p>
        </w:tc>
        <w:tc>
          <w:tcPr>
            <w:tcW w:type="dxa" w:w="65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30 项品牌约束清洗与结构化、来源映射与标注、权限梳理、切片策略（波动最大）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05 集成与工程实施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8"/>
              </w:rPr>
              <w:t>三类工具只读对接、脱敏管道、私有化部署与环境适配（老系统对接成本为主流 SaaS 的数倍）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06 评测与安全合规</w:t>
            </w:r>
          </w:p>
        </w:tc>
        <w:tc>
          <w:tcPr>
            <w:tcW w:type="dxa" w:w="65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幻觉测试、越权与注入测试、审计留痕验证、故障演练、权限边界确认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07 算力与模型调用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8"/>
              </w:rPr>
              <w:t>推理 Token、私有化算力、向量库、第三方 API；按 2–3 倍余量计提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08 部署上线与培训</w:t>
            </w:r>
          </w:p>
        </w:tc>
        <w:tc>
          <w:tcPr>
            <w:tcW w:type="dxa" w:w="6576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生产发布、用户培训、操作手册、应急演练、客户方适应成本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09 运维与持续优化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8"/>
              </w:rPr>
              <w:t>监控、模型与 Prompt 迭代、故障响应（从一次交付走向持续收入的底盘）</w:t>
            </w:r>
          </w:p>
        </w:tc>
      </w:tr>
    </w:tbl>
    <w:p>
      <w:pPr>
        <w:spacing w:after="40"/>
      </w:pP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B4532B"/>
          <w:sz w:val="22"/>
        </w:rPr>
        <w:t>三层隐含成本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管理分摊：房租、行政、社保、设备、非项目期人力闲置——按直接成本 10% 计提。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风险准备：需求变更、范围蔓延、验收争议、返工——按直接成本 12% 计提。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利润：按直接成本 18% 计提。</w:t>
      </w: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报价单上只写"开发费"这一种写法，等于这三层由自己扛了。本报价单三层全部单列，客户能看到，也谈得动——例如客户要求压价时，可以明确压在哪一层、代价是什么。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第十章　报价方案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10.1 整包报价（固定总价）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人天单价按 2,000 元/人天 计（AI 交付工程师综合单价，含 FDE 溢价）。下表三档均为含税前的整包价。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2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科目</w:t>
            </w:r>
          </w:p>
        </w:tc>
        <w:tc>
          <w:tcPr>
            <w:tcW w:type="dxa" w:w="107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试点验证包</w:t>
              <w:br/>
              <w:t>人天</w:t>
            </w:r>
          </w:p>
        </w:tc>
        <w:tc>
          <w:tcPr>
            <w:tcW w:type="dxa" w:w="107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试点验证包</w:t>
              <w:br/>
              <w:t>金额(万)</w:t>
            </w:r>
          </w:p>
        </w:tc>
        <w:tc>
          <w:tcPr>
            <w:tcW w:type="dxa" w:w="107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标准交付包</w:t>
              <w:br/>
              <w:t>人天</w:t>
            </w:r>
          </w:p>
        </w:tc>
        <w:tc>
          <w:tcPr>
            <w:tcW w:type="dxa" w:w="107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标准交付包</w:t>
              <w:br/>
              <w:t>金额(万)</w:t>
            </w:r>
          </w:p>
        </w:tc>
        <w:tc>
          <w:tcPr>
            <w:tcW w:type="dxa" w:w="107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私有化包</w:t>
              <w:br/>
              <w:t>人天</w:t>
            </w:r>
          </w:p>
        </w:tc>
        <w:tc>
          <w:tcPr>
            <w:tcW w:type="dxa" w:w="107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私有化包</w:t>
              <w:br/>
              <w:t>金额(万)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7"/>
              </w:rPr>
              <w:t>01 售前与机会成本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0.80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1.20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1.60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02 诊断与场景梳理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1.20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2.00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2.40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7"/>
              </w:rPr>
              <w:t>03 方案与架构设计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0.80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1.60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2.00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04 数据与知识资产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0.80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2.80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3.20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7"/>
              </w:rPr>
              <w:t>05 集成与工程实施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1.20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3.60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30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6.00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06 评测与安全合规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0.60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1.60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2.40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7"/>
              </w:rPr>
              <w:t>07 算力与模型调用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0.20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0.60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3.00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08 部署上线与培训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0.40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1.20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2.00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7"/>
              </w:rPr>
              <w:t>09 运维与持续优化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0.50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1.50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4.00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直接成本小计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29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6.50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70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16.10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98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26.60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7"/>
              </w:rPr>
              <w:t>管理分摊 10%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0.65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1.61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2.66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风险准备 12%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0.78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1.93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3.19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7"/>
              </w:rPr>
              <w:t>利润 18%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1.17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2.90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/>
                <w:sz w:val="17"/>
              </w:rPr>
              <w:t>4.79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整包报价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9.10 → 8.80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22.54 → 22.80</w:t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</w:r>
          </w:p>
        </w:tc>
        <w:tc>
          <w:tcPr>
            <w:tcW w:type="dxa" w:w="1077"/>
            <w:shd w:val="clear" w:color="auto" w:fill="F2F5F9"/>
          </w:tcPr>
          <w:p>
            <w:r/>
            <w:r>
              <w:rPr>
                <w:rFonts w:ascii="宋体" w:hAnsi="宋体" w:eastAsia="宋体"/>
                <w:sz w:val="17"/>
              </w:rPr>
              <w:t>37.24 → 37.80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7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62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24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整包价</w:t>
            </w:r>
          </w:p>
        </w:tc>
        <w:tc>
          <w:tcPr>
            <w:tcW w:type="dxa" w:w="170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第二年起年费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试点验证包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4 周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单批次简报；M1/M3/M4/M7；脱敏只读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8.80 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可选转年费 4.10 万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标准交付包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10–12 周</w:t>
            </w:r>
          </w:p>
        </w:tc>
        <w:tc>
          <w:tcPr>
            <w:tcW w:type="dxa" w:w="36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单品牌全量上线；九大模块全量；公有云或客户 VPC</w:t>
            </w:r>
          </w:p>
        </w:tc>
        <w:tc>
          <w:tcPr>
            <w:tcW w:type="dxa" w:w="124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22.80 万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整包价 18% ≈ 4.10 万/年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私有化交付包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14–16 周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内网部署 + 模型私有化 + 老系统对接 + 密评配合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37.80 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整包价 20% ≈ 7.56 万/年</w:t>
            </w:r>
          </w:p>
        </w:tc>
      </w:tr>
    </w:tbl>
    <w:p>
      <w:pPr>
        <w:spacing w:after="40"/>
      </w:pP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标准包与私有化包的差额（15.00 万）主要来自第 05 项：私有化环境下的老系统对接成本通常是主流 SaaS 对接的数倍，以及第 07 项的 GPU 算力。若客户能接受"应用在客户内网、仅脱敏文字调公有云 API、素材不出域"的混合形态，私有化包可下浮至约 28 万。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10.2 分成方案（效果付费）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分成的前提是可测量的基线。访谈已明确标注现有基线为虚构样本（f12），因此本方案把分成设计成"可激活但默认不激活"：条款现在写进合同，激活条件是阶段 0 的基线冻结完成。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B4532B"/>
          <w:sz w:val="22"/>
        </w:rPr>
        <w:t>分成结构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742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设置</w:t>
            </w:r>
          </w:p>
        </w:tc>
        <w:tc>
          <w:tcPr>
            <w:tcW w:type="dxa" w:w="3402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保底实施费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8"/>
              </w:rPr>
              <w:t>直接成本 + 管理分摊 + 风险准备（不含利润）</w:t>
              <w:br/>
              <w:t>试点 7.93 万 / 标准 19.64 万 / 私有化 32.45 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保底必须覆盖全部成本，利润全部转为对赌。低于此线即为亏损接单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分成基数</w:t>
            </w:r>
          </w:p>
        </w:tc>
        <w:tc>
          <w:tcPr>
            <w:tcW w:type="dxa" w:w="374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方案 B（推荐）：返工轮次下降量 × 单次核对成本 × 综合人力单价</w:t>
            </w:r>
          </w:p>
        </w:tc>
        <w:tc>
          <w:tcPr>
            <w:tcW w:type="dxa" w:w="340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量与价都可测，且与客户体感一致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备选基数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8"/>
              </w:rPr>
              <w:t>方案 A：按成功验收的简报份数；方案 C：按人工队列条目下降量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A 易被客户压量，不建议单独使用；C 适合作为辅助验证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分成比例</w:t>
            </w:r>
          </w:p>
        </w:tc>
        <w:tc>
          <w:tcPr>
            <w:tcW w:type="dxa" w:w="374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年节省额的 20%</w:t>
            </w:r>
          </w:p>
        </w:tc>
        <w:tc>
          <w:tcPr>
            <w:tcW w:type="dxa" w:w="340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低于 20% 不足以覆盖让出的利润与资金占用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分成封顶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8"/>
              </w:rPr>
              <w:t>累计不超过整包价的 60%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避免客户长期总支出失控，也避免关系恶化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触发门槛</w:t>
            </w:r>
          </w:p>
        </w:tc>
        <w:tc>
          <w:tcPr>
            <w:tcW w:type="dxa" w:w="374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30 项约束可追溯达成率 ≥ 95%，且系统留痕完整</w:t>
            </w:r>
          </w:p>
        </w:tc>
        <w:tc>
          <w:tcPr>
            <w:tcW w:type="dxa" w:w="340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达不到门槛说明交付未达标，不应计分成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归因口径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8"/>
              </w:rPr>
              <w:t>只认系统内留痕数据；口头反馈不作为分成依据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对应 f54：投诉先登记原始问题，不用模型推测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客户义务</w:t>
            </w:r>
          </w:p>
        </w:tc>
        <w:tc>
          <w:tcPr>
            <w:tcW w:type="dxa" w:w="374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指定授权确认人、开放脱敏只读导出、每周复盘（f55）</w:t>
            </w:r>
          </w:p>
        </w:tc>
        <w:tc>
          <w:tcPr>
            <w:tcW w:type="dxa" w:w="3402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客户未履行则自动转为全额整包结算</w:t>
            </w:r>
          </w:p>
        </w:tc>
      </w:tr>
    </w:tbl>
    <w:p>
      <w:pPr>
        <w:spacing w:after="40"/>
      </w:pP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B4532B"/>
          <w:sz w:val="22"/>
        </w:rPr>
        <w:t>分成测算示例（基线未冻结前，不构成承诺）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170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249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</w:t>
            </w:r>
          </w:p>
        </w:tc>
        <w:tc>
          <w:tcPr>
            <w:tcW w:type="dxa" w:w="249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8"/>
              </w:rPr>
              <w:t>月项目量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30 个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返工轮次下降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5 轮 → 3 轮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2 轮/项目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8"/>
              </w:rPr>
              <w:t>单轮核对耗时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2 小时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综合人力单价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200 元/小时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8"/>
              </w:rPr>
              <w:t>年节省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30 × 2 × 2 × 200 × 12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28.80 万/年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我方分成（20%）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28.80 × 20%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5.76 万/年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8"/>
              </w:rPr>
              <w:t>试点包三年合计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保底 7.93 + 分成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7.93 + 5.76 × 3（封顶 5.28）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8"/>
              </w:rPr>
              <w:t>13.21 万（封顶后）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对比整包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8.80 万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9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分成上限 +50%，下限 0 利润</w:t>
            </w:r>
          </w:p>
        </w:tc>
      </w:tr>
    </w:tbl>
    <w:p>
      <w:pPr>
        <w:spacing w:after="40"/>
      </w:pP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看这组数字要同时看两端：上行是整包价的 +50%，下行是零利润。分成不是"更便宜的报价"，是"把利润押在效果上"。如果基线冻结后发现节省量只有示例的一半，三年分成 2.88 万/年是拿不满保底之外的部分的——这就是对赌。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10.3 整包与分成的取舍建议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15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整包（固定总价）</w:t>
            </w:r>
          </w:p>
        </w:tc>
        <w:tc>
          <w:tcPr>
            <w:tcW w:type="dxa" w:w="362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分成（效果付费）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我方风险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8"/>
              </w:rPr>
              <w:t>低：成本与利润在签约时锁定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高：基线不稳则利润归零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客户风险</w:t>
            </w:r>
          </w:p>
        </w:tc>
        <w:tc>
          <w:tcPr>
            <w:tcW w:type="dxa" w:w="351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高：效果不成立也要付全款</w:t>
            </w:r>
          </w:p>
        </w:tc>
        <w:tc>
          <w:tcPr>
            <w:tcW w:type="dxa" w:w="36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低：不成立则少付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销售阻力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8"/>
              </w:rPr>
              <w:t>大：客户要为不确定的结果付确定的钱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小：容易打动谨慎的甲方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最大坑</w:t>
            </w:r>
          </w:p>
        </w:tc>
        <w:tc>
          <w:tcPr>
            <w:tcW w:type="dxa" w:w="351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范围蔓延直接吃掉纯利润</w:t>
            </w:r>
          </w:p>
        </w:tc>
        <w:tc>
          <w:tcPr>
            <w:tcW w:type="dxa" w:w="36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基线不稳、归因扯皮、客户控制变量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本项目适配度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8"/>
              </w:rPr>
              <w:t>高——范围可由 f05/f32 等边界条目清晰界定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8"/>
              </w:rPr>
              <w:t>中——缺真实基线，需先冻结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建议</w:t>
            </w:r>
          </w:p>
        </w:tc>
        <w:tc>
          <w:tcPr>
            <w:tcW w:type="dxa" w:w="351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首单推荐</w:t>
            </w:r>
          </w:p>
        </w:tc>
        <w:tc>
          <w:tcPr>
            <w:tcW w:type="dxa" w:w="36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基线冻结后（阶段 1 结束）再议第二期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宋体" w:hAnsi="宋体" w:eastAsia="宋体"/>
          <w:b/>
          <w:sz w:val="21"/>
        </w:rPr>
        <w:t>推荐路径是：首单走整包（试点验证包 8.80 万），把分成条款写进合同但不激活；待阶段 1 结束、真实基线冻结后，在第二期（标准交付包）转成"低保底 + 分成"。这样第一期我方不赌，第二期双方都有真实数据可依。</w:t>
      </w: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另有一条折中形态：整包定价 + 超额分成。客户按整包价付款（我方利润不让出），超出约定效果的部分按 15% 分成返还。客户拿到的是"超额才多付"，我方拿到的是"保底不亏"，谈判阻力最小，适合客户既想要保障又不愿提高预算的场景。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第十一章　六种报价方式适用性评估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报价方式</w:t>
            </w:r>
          </w:p>
        </w:tc>
        <w:tc>
          <w:tcPr>
            <w:tcW w:type="dxa" w:w="1474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客户买什么</w:t>
            </w:r>
          </w:p>
        </w:tc>
        <w:tc>
          <w:tcPr>
            <w:tcW w:type="dxa" w:w="3515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本项目的坑</w:t>
            </w:r>
          </w:p>
        </w:tc>
        <w:tc>
          <w:tcPr>
            <w:tcW w:type="dxa" w:w="1928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人天 / T&amp;M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你的时间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8"/>
              </w:rPr>
              <w:t>客户拿 AI 比价时最无力；需求一变就超支，甲方失控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不采用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功能点 / 模块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可验收的功能范围</w:t>
            </w:r>
          </w:p>
        </w:tc>
        <w:tc>
          <w:tcPr>
            <w:tcW w:type="dxa" w:w="351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功能清单定义争议（需用验收标准支撑）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作为付款里程碑的划分依据，不作为定价方式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固定总价 / 整包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一个确定的结果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8"/>
              </w:rPr>
              <w:t>范围蔓延直接吃掉纯利润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主推。用 f05/f32 等边界条目把范围钉死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订阅 / 年费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持续可用的能力</w:t>
            </w:r>
          </w:p>
        </w:tc>
        <w:tc>
          <w:tcPr>
            <w:tcW w:type="dxa" w:w="351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客户不续费则收入归零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用于第二年起运维，与整包组合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用量计费（Token/席位）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8"/>
              </w:rPr>
              <w:t>用得越多付越多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8"/>
              </w:rPr>
              <w:t>客户成本不可控，必须给锚定与封顶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8"/>
              </w:rPr>
              <w:t>不单独采用。Token 成本已按 2–3 倍余量含在整包内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效果付费 / 分成</w:t>
            </w:r>
          </w:p>
        </w:tc>
        <w:tc>
          <w:tcPr>
            <w:tcW w:type="dxa" w:w="1474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可验证的业务结果</w:t>
            </w:r>
          </w:p>
        </w:tc>
        <w:tc>
          <w:tcPr>
            <w:tcW w:type="dxa" w:w="3515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基线不稳、归因扯皮、客户控制变量</w:t>
            </w:r>
          </w:p>
        </w:tc>
        <w:tc>
          <w:tcPr>
            <w:tcW w:type="dxa" w:w="1928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备选。基线冻结后激活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第十二章　付款节点与商务条款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12.1 里程碑付款（整包定价 + 里程碑付款）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204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签约</w:t>
            </w:r>
          </w:p>
        </w:tc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M1 基线冻结</w:t>
            </w:r>
          </w:p>
        </w:tc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M2 试点上线</w:t>
            </w:r>
          </w:p>
        </w:tc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M3 验收通过</w:t>
            </w:r>
          </w:p>
        </w:tc>
        <w:tc>
          <w:tcPr>
            <w:tcW w:type="dxa" w:w="1361"/>
            <w:shd w:val="clear" w:color="auto" w:fill="2E5C8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质保金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8"/>
              </w:rPr>
              <w:t>试点验证包 8.80 万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30% / 2.64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30% / 2.64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30% / 2.64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10% / 0.88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标准交付包 22.80 万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20% / 4.56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30% / 6.84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30% / 6.84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20% / 4.56</w:t>
            </w:r>
          </w:p>
        </w:tc>
        <w:tc>
          <w:tcPr>
            <w:tcW w:type="dxa" w:w="1361"/>
            <w:shd w:val="clear" w:color="auto" w:fill="F2F5F9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8"/>
              </w:rPr>
              <w:t>私有化交付包 37.80 万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30% / 11.34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25% / 9.45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25% / 9.45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15% / 5.67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8"/>
              </w:rPr>
              <w:t>5% / 1.89（3 个月）</w:t>
            </w:r>
          </w:p>
        </w:tc>
      </w:tr>
    </w:tbl>
    <w:p>
      <w:pPr>
        <w:spacing w:after="40"/>
      </w:pPr>
    </w:p>
    <w:p>
      <w:pPr>
        <w:spacing w:before="60"/>
        <w:ind w:left="420"/>
      </w:pPr>
      <w:r>
        <w:rPr>
          <w:rFonts w:ascii="楷体" w:hAnsi="楷体" w:eastAsia="楷体"/>
          <w:i/>
          <w:color w:val="606060"/>
          <w:sz w:val="19"/>
        </w:rPr>
        <w:t>用整包定价、里程碑付款，是为了同时拿到两件事：客户要的价格确定（整包），我方要的现金流与范围可控（里程碑）。纯功能点定价会陷入清单定义争议，这里只借用它的分节点思路。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12.2 范围与变更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范围以本文件第五章功能清单 + 第一章 1.3 边界条目为准，双方书面确认后冻结。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变更须走书面变更单；累计超出签约人天 10% 以内不追加，超出部分按 2,000 元/人天 结算。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因客户方待确认清单（第八章 8.3）答复延迟导致的工期顺延，不计我方逾期；超过 15 日按闲置人力 800 元/人天 计。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12.3 算力与模型调价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第 07 科目已按 2–3 倍余量计提，一年内模型调价不追加费用。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视觉预检为可选开关，默认关闭；开启后按实际调用结算，单次调用成本与轮次上限写进附件。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若客户要求模型一并私有化：GPU（24–48G 显存）采购 8–15 万或租赁 4,000–7,000 元/月，单列报价，不含在整包内。</w:t>
      </w:r>
    </w:p>
    <w:p>
      <w:pPr>
        <w:pStyle w:val="Heading2"/>
        <w:spacing w:before="220" w:after="100"/>
      </w:pPr>
      <w:r>
        <w:rPr>
          <w:rFonts w:ascii="微软雅黑" w:hAnsi="微软雅黑" w:eastAsia="微软雅黑"/>
          <w:b/>
          <w:color w:val="1F3B63"/>
          <w:sz w:val="25"/>
        </w:rPr>
        <w:t>12.4 知识产权与许可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定制开发部分（客户品牌规则、字段结构、集成适配器）知识产权归客户。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通用组件（批注锚点引擎、版本判定引擎、审计留痕框架）知识产权归我方，客户取得永久使用许可。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不使用 AGPL 等强传染性许可的组件，避免客户后续商业化受限；若客户指定引入，须书面确认合规责任归属。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1F3B63"/>
          <w:sz w:val="32"/>
        </w:rPr>
        <w:t>第十三章　风险提示与假设声明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B4532B"/>
          <w:sz w:val="22"/>
        </w:rPr>
        <w:t>13.1 必须如实告知客户的前提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现有返工基线为虚构样本（f12），本文件第 10.2 节的所有分成测算均为示例，不构成效果承诺。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授权确认人名单、异常拦截标准、导出粒度与频率、主记录来源、保留期限五项尚未核实，需在阶段 0 内书面确认，否则 M1 无法验收。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访谈材料覆盖率为 36/36，代表材料采集完整，不代表验收通过。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B4532B"/>
          <w:sz w:val="22"/>
        </w:rPr>
        <w:t>13.2 价格前提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本报价有效期 30 日，基于 2026 年 10 月的模型 API 价格与云主机价格。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模型 API 价格 2026 年波动剧烈（部分档位数月内出现 75% 级别的涨跌），长期合同已通过第 07 科目的 2–3 倍余量对冲，但超出余量的极端行情需重新议价。</w:t>
      </w:r>
    </w:p>
    <w:p>
      <w:pPr>
        <w:spacing w:after="40"/>
        <w:ind w:left="420"/>
      </w:pPr>
      <w:r>
        <w:rPr>
          <w:rFonts w:ascii="宋体" w:hAnsi="宋体" w:eastAsia="宋体"/>
          <w:sz w:val="21"/>
        </w:rPr>
        <w:t>· 服务器成本按并发估算：日活≈注册 60–70%，峰值并发≈日活 10–15%。客户若开放访客评审（客户不注册即可评论），峰值会显著抬升，需按交付前两天的峰值重新核算。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B4532B"/>
          <w:sz w:val="22"/>
        </w:rPr>
        <w:t>13.3 成本结构提醒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按九个科目与三层隐含成本重算后，标准交付包 22.80 万与此前仅按人力估算的 8–15 万口径差异来自三层隐含成本（合计 6.44 万）与第 04/05 两个此前被低估的科目。对外沟通时建议直接说明这一点——客户拿 AI 比价时，比的是"写几行代码"的价，而本项目的成本大头在知识资产建设与集成适配上，这两项恰恰是 AI 无法压缩的部分。</w:t>
      </w:r>
    </w:p>
    <w:p/>
    <w:p>
      <w:pPr>
        <w:jc w:val="center"/>
      </w:pPr>
      <w:r>
        <w:rPr>
          <w:rFonts w:ascii="宋体" w:hAnsi="宋体" w:eastAsia="宋体"/>
          <w:color w:val="808080"/>
          <w:sz w:val="19"/>
        </w:rPr>
        <w:t>— 本文件完 —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