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color w:val="666666"/>
          <w:sz w:val="18"/>
          <w:szCs w:val="18"/>
        </w:rPr>
        <w:t xml:space="preserve">2026 IEEE International Conference on Computing Education (ICCE 2026)</w:t>
      </w:r>
    </w:p>
    <w:p>
      <w:pPr>
        <w:spacing w:after="200"/>
        <w:jc w:val="center"/>
      </w:pPr>
      <w:r>
        <w:rPr>
          <w:rFonts w:ascii="Times New Roman" w:cs="Times New Roman" w:eastAsia="Times New Roman" w:hAnsi="Times New Roman"/>
          <w:b/>
          <w:bCs/>
          <w:color w:val="000000"/>
          <w:sz w:val="36"/>
          <w:szCs w:val="36"/>
        </w:rPr>
        <w:t xml:space="preserve">A Feedback-Driven Iterative Test Case Generation Method for a Python Programming Education Platform</w:t>
      </w:r>
    </w:p>
    <w:p>
      <w:pPr>
        <w:spacing w:after="60"/>
        <w:jc w:val="center"/>
      </w:pPr>
      <w:r>
        <w:rPr>
          <w:rFonts w:ascii="Times New Roman" w:cs="Times New Roman" w:eastAsia="Times New Roman" w:hAnsi="Times New Roman"/>
          <w:b w:val="false"/>
          <w:bCs w:val="false"/>
          <w:color w:val="000000"/>
          <w:sz w:val="22"/>
          <w:szCs w:val="22"/>
        </w:rPr>
        <w:t xml:space="preserve">Ya-Yao Yao</w:t>
      </w:r>
    </w:p>
    <w:p>
      <w:pPr>
        <w:spacing w:after="240"/>
        <w:jc w:val="center"/>
      </w:pPr>
      <w:r>
        <w:rPr>
          <w:rFonts w:ascii="Times New Roman" w:cs="Times New Roman" w:eastAsia="Times New Roman" w:hAnsi="Times New Roman"/>
          <w:b w:val="false"/>
          <w:bCs w:val="false"/>
          <w:color w:val="666666"/>
          <w:sz w:val="20"/>
          <w:szCs w:val="20"/>
        </w:rPr>
        <w:t xml:space="preserve">Department of Information Management</w:t>
      </w:r>
    </w:p>
    <w:p>
      <w:pPr>
        <w:pBdr>
          <w:bottom w:val="single" w:color="999999" w:sz="6" w:space="1"/>
        </w:pBdr>
        <w:spacing w:after="180"/>
      </w:pPr>
      <w:r>
        <w:rPr>
          <w:rFonts w:ascii="Times New Roman" w:cs="Times New Roman" w:eastAsia="Times New Roman" w:hAnsi="Times New Roman"/>
          <w:color w:val="000000"/>
          <w:sz w:val="20"/>
          <w:szCs w:val="20"/>
        </w:rPr>
        <w:t xml:space="preserve"/>
      </w:r>
    </w:p>
    <w:p>
      <w:pPr>
        <w:spacing w:after="120"/>
        <w:ind w:left="360" w:right="360"/>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color w:val="000000"/>
          <w:sz w:val="20"/>
          <w:szCs w:val="20"/>
        </w:rPr>
        <w:t xml:space="preserve"> This paper presents the design and implementation of a Python programming education platform tailored for first-year undergraduate students, incorporating a quantitative, feedback-driven iterative test case generation methodology inspired by the CodeContests-O framework. The platform addresses LeetCode Problem #3 (Longest Substring Without Repeating Characters) and delivers real-time AI-assisted guidance based on student code submissions. The principal contribution of this work is a systematic approach to constructing test case sets with high discriminative power. Beginning from an experience-based baseline of 18 test cases exhibiting a True Negative Rate (TNR) of 0.491, four iterative refinement rounds are applied, yielding a final set of 17 test cases with TNR = 0.882, while sustaining a True Positive Rate (TPR) of 1.000 throughout all iterations. The decisive breakthrough is attributed to the proposed combo_kill generation mode, which constructs individual input strings capable of simultaneously identifying four distinct bug patterns. An automated quality gatekeeper, implemented as a suite of pytest assertions, ensures that future modifications to the test case repository do not degrade discriminative power. The platform is deployed on Vercel and Render, with Groq LLM (llama-3.1-8b-instant) integrated for context-sensitive, non-solution-revealing hint generation.</w:t>
      </w:r>
    </w:p>
    <w:p>
      <w:pPr>
        <w:spacing w:after="200"/>
        <w:ind w:left="360" w:right="36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i/>
          <w:iCs/>
          <w:color w:val="000000"/>
          <w:sz w:val="20"/>
          <w:szCs w:val="20"/>
        </w:rPr>
        <w:t xml:space="preserve"> automated program grading, discriminative test case generation, feedback-driven iteration, True Positive Rate, True Negative Rate, Python programming education, large language models, LeetCode.</w:t>
      </w:r>
    </w:p>
    <w:p>
      <w:pPr>
        <w:pBdr>
          <w:bottom w:val="single" w:color="999999" w:sz="6" w:space="1"/>
        </w:pBdr>
        <w:spacing w:after="0"/>
      </w:pPr>
      <w:r>
        <w:rPr>
          <w:rFonts w:ascii="Times New Roman" w:cs="Times New Roman" w:eastAsia="Times New Roman" w:hAnsi="Times New Roman"/>
          <w:color w:val="000000"/>
          <w:sz w:val="20"/>
          <w:szCs w:val="20"/>
        </w:rPr>
        <w:t xml:space="preserve"/>
      </w:r>
    </w:p>
    <w:p>
      <w:pPr>
        <w:sectPr>
          <w:pgSz w:w="12240" w:h="15840" w:orient="portrait"/>
          <w:pgMar w:top="1080" w:right="1080" w:bottom="1080" w:left="1080" w:header="708" w:footer="708" w:gutter="0"/>
          <w:pgNumType/>
          <w:docGrid w:linePitch="360"/>
        </w:sectPr>
      </w:pPr>
    </w:p>
    <w:p>
      <w:pPr>
        <w:spacing w:after="120" w:before="240"/>
        <w:jc w:val="center"/>
      </w:pPr>
      <w:r>
        <w:rPr>
          <w:rFonts w:ascii="Times New Roman" w:cs="Times New Roman" w:eastAsia="Times New Roman" w:hAnsi="Times New Roman"/>
          <w:b/>
          <w:bCs/>
          <w:color w:val="000000"/>
          <w:sz w:val="20"/>
          <w:szCs w:val="20"/>
        </w:rPr>
        <w:t xml:space="preserve">I. INTRODUCTION</w:t>
      </w:r>
    </w:p>
    <w:p>
      <w:pPr>
        <w:spacing w:after="80" w:line="276"/>
        <w:ind w:firstLine="360"/>
        <w:jc w:val="both"/>
      </w:pPr>
      <w:r>
        <w:rPr>
          <w:rFonts w:ascii="Times New Roman" w:cs="Times New Roman" w:eastAsia="Times New Roman" w:hAnsi="Times New Roman"/>
          <w:color w:val="000000"/>
          <w:sz w:val="20"/>
          <w:szCs w:val="20"/>
        </w:rPr>
        <w:t xml:space="preserve">In automated grading systems (AGS) for programming education, the quality of test cases directly determines the system’s capacity to distinguish student submissions that demonstrate genuine algorithmic understanding from those that merely appear to do so. Test cases employed by widely adopted platforms such as LeetCode and HackerRank are predominantly designed by experienced engineers based on domain intuition, without systematic quantitative indicators to evaluate the discriminative power of individual test cases.</w:t>
      </w:r>
    </w:p>
    <w:p>
      <w:pPr>
        <w:spacing w:after="80" w:line="276"/>
        <w:ind w:firstLine="360"/>
        <w:jc w:val="both"/>
      </w:pPr>
      <w:r>
        <w:rPr>
          <w:rFonts w:ascii="Times New Roman" w:cs="Times New Roman" w:eastAsia="Times New Roman" w:hAnsi="Times New Roman"/>
          <w:color w:val="000000"/>
          <w:sz w:val="20"/>
          <w:szCs w:val="20"/>
        </w:rPr>
        <w:t xml:space="preserve">This limitation carries two primary consequences in programming education contexts. First, false negatives—wherein erroneous submissions pass all test cases—cause students to incorrectly infer the correctness of their implementations, thereby impeding conceptual learning. Second, false positives—wherein correct solutions are erroneously rejected—undermine student confidence and impair the overall learning experience.</w:t>
      </w:r>
    </w:p>
    <w:p>
      <w:pPr>
        <w:spacing w:after="80" w:line="276"/>
        <w:ind w:firstLine="360"/>
        <w:jc w:val="both"/>
      </w:pPr>
      <w:r>
        <w:rPr>
          <w:rFonts w:ascii="Times New Roman" w:cs="Times New Roman" w:eastAsia="Times New Roman" w:hAnsi="Times New Roman"/>
          <w:color w:val="000000"/>
          <w:sz w:val="20"/>
          <w:szCs w:val="20"/>
        </w:rPr>
        <w:t xml:space="preserve">The present study targets LeetCode Problem #3 (Longest Substring Without Repeating Characters), designing and implementing a comprehensive Python programming education platform in which systematic optimization of the test case set constitutes the central research contribution. Specifically, the contributions of this work are fourfold. (1) A feedback-driven iterative test case generation pipeline is proposed, elevating TNR from 0.491 to 0.882 (+79.8% relative improvement) while maintaining TPR = 1.000 across all iterations. (2) The combo_kill generation mode is introduced, wherein a single input string simultaneously targets four distinct buggy solution patterns, overcoming the TNR plateau encountered during the first three iterative rounds. (3) An automated quality gatekeeper implemented as four pytest assertions prevents discriminative power degradation during future test case maintenance. (4) A multi-branch LLM-assisted hint system delivers guided, non-solution-revealing feedback stratified by error type.</w:t>
      </w:r>
    </w:p>
    <w:p>
      <w:pPr>
        <w:spacing w:after="120" w:before="240"/>
        <w:jc w:val="center"/>
      </w:pPr>
      <w:r>
        <w:rPr>
          <w:rFonts w:ascii="Times New Roman" w:cs="Times New Roman" w:eastAsia="Times New Roman" w:hAnsi="Times New Roman"/>
          <w:b/>
          <w:bCs/>
          <w:color w:val="000000"/>
          <w:sz w:val="20"/>
          <w:szCs w:val="20"/>
        </w:rPr>
        <w:t xml:space="preserve">II. RELATED WORK</w:t>
      </w:r>
    </w:p>
    <w:p>
      <w:pPr>
        <w:spacing w:after="80" w:before="160"/>
      </w:pPr>
      <w:r>
        <w:rPr>
          <w:rFonts w:ascii="Times New Roman" w:cs="Times New Roman" w:eastAsia="Times New Roman" w:hAnsi="Times New Roman"/>
          <w:b/>
          <w:bCs/>
          <w:i/>
          <w:iCs/>
          <w:color w:val="000000"/>
          <w:sz w:val="20"/>
          <w:szCs w:val="20"/>
        </w:rPr>
        <w:t xml:space="preserve">A. Automated Test Case Generation</w:t>
      </w:r>
    </w:p>
    <w:p>
      <w:pPr>
        <w:spacing w:after="80" w:line="276"/>
        <w:ind w:firstLine="360"/>
        <w:jc w:val="both"/>
      </w:pPr>
      <w:r>
        <w:rPr>
          <w:rFonts w:ascii="Times New Roman" w:cs="Times New Roman" w:eastAsia="Times New Roman" w:hAnsi="Times New Roman"/>
          <w:color w:val="000000"/>
          <w:sz w:val="20"/>
          <w:szCs w:val="20"/>
        </w:rPr>
        <w:t xml:space="preserve">Shi et al. [1] introduced the CodeContests-O framework, proposing a feedback-driven iterative test case generation pipeline wherein an LLM automatically modifies generator commands based on TPR/TNR feedback from each preceding iteration. The present study adopts the structural methodology of this framework while substituting human-driven iterative analysis for LLM-automated modification, thereby ensuring reproducibility and eliminating API dependency during the generation phase.</w:t>
      </w:r>
    </w:p>
    <w:p>
      <w:pPr>
        <w:spacing w:after="80" w:line="276"/>
        <w:ind w:firstLine="360"/>
        <w:jc w:val="both"/>
      </w:pPr>
      <w:r>
        <w:rPr>
          <w:rFonts w:ascii="Times New Roman" w:cs="Times New Roman" w:eastAsia="Times New Roman" w:hAnsi="Times New Roman"/>
          <w:color w:val="000000"/>
          <w:sz w:val="20"/>
          <w:szCs w:val="20"/>
        </w:rPr>
        <w:t xml:space="preserve">Claessen and Hughes [2] established the foundation of property-based automated test generation through QuickCheck, wherein random inputs are systematically employed to expose program defects. The generator module (gen.py) developed in this study inherits this philosophical underpinning while extending it through structured, algorithm-aware generation strategies that target specific bug patterns rather than relying exclusively on random sampling.</w:t>
      </w:r>
    </w:p>
    <w:p>
      <w:pPr>
        <w:spacing w:after="80" w:before="160"/>
      </w:pPr>
      <w:r>
        <w:rPr>
          <w:rFonts w:ascii="Times New Roman" w:cs="Times New Roman" w:eastAsia="Times New Roman" w:hAnsi="Times New Roman"/>
          <w:b/>
          <w:bCs/>
          <w:i/>
          <w:iCs/>
          <w:color w:val="000000"/>
          <w:sz w:val="20"/>
          <w:szCs w:val="20"/>
        </w:rPr>
        <w:t xml:space="preserve">B. Programming Education Platforms</w:t>
      </w:r>
    </w:p>
    <w:p>
      <w:pPr>
        <w:spacing w:after="80" w:line="276"/>
        <w:ind w:firstLine="360"/>
        <w:jc w:val="both"/>
      </w:pPr>
      <w:r>
        <w:rPr>
          <w:rFonts w:ascii="Times New Roman" w:cs="Times New Roman" w:eastAsia="Times New Roman" w:hAnsi="Times New Roman"/>
          <w:color w:val="000000"/>
          <w:sz w:val="20"/>
          <w:szCs w:val="20"/>
        </w:rPr>
        <w:t xml:space="preserve">Ihantola et al. [3] conducted a comprehensive review of Web-based programming assessment systems, establishing a positive correlation between test case coverage breadth and measurable learning outcomes. Crow et al. [4] further demonstrated that diagnostic—rather than summative—feedback significantly enhances learning motivation among novice programmers, a finding that directly informs the stratified AI hint architecture adopted in this work.</w:t>
      </w:r>
    </w:p>
    <w:p>
      <w:pPr>
        <w:spacing w:after="80" w:before="160"/>
      </w:pPr>
      <w:r>
        <w:rPr>
          <w:rFonts w:ascii="Times New Roman" w:cs="Times New Roman" w:eastAsia="Times New Roman" w:hAnsi="Times New Roman"/>
          <w:b/>
          <w:bCs/>
          <w:i/>
          <w:iCs/>
          <w:color w:val="000000"/>
          <w:sz w:val="20"/>
          <w:szCs w:val="20"/>
        </w:rPr>
        <w:t xml:space="preserve">C. LLM-Assisted Programming Education</w:t>
      </w:r>
    </w:p>
    <w:p>
      <w:pPr>
        <w:spacing w:after="80" w:line="276"/>
        <w:ind w:firstLine="360"/>
        <w:jc w:val="both"/>
      </w:pPr>
      <w:r>
        <w:rPr>
          <w:rFonts w:ascii="Times New Roman" w:cs="Times New Roman" w:eastAsia="Times New Roman" w:hAnsi="Times New Roman"/>
          <w:color w:val="000000"/>
          <w:sz w:val="20"/>
          <w:szCs w:val="20"/>
        </w:rPr>
        <w:t xml:space="preserve">Phung et al. [5] investigated the application of GPT-4 in programming debugging assistance, concluding that guided prompting strategies—those that provide directional hints without revealing the corrected code—yield superior learning transfer compared to direct solution provision. Accordingly, all prompt templates in the AI hint module explicitly prohibit direct code corrections, constraining responses to 100–150 words delivered in a supportive, encouraging tone.</w:t>
      </w:r>
    </w:p>
    <w:p>
      <w:pPr>
        <w:spacing w:after="120" w:before="240"/>
        <w:jc w:val="center"/>
      </w:pPr>
      <w:r>
        <w:rPr>
          <w:rFonts w:ascii="Times New Roman" w:cs="Times New Roman" w:eastAsia="Times New Roman" w:hAnsi="Times New Roman"/>
          <w:b/>
          <w:bCs/>
          <w:color w:val="000000"/>
          <w:sz w:val="20"/>
          <w:szCs w:val="20"/>
        </w:rPr>
        <w:t xml:space="preserve">III. SYSTEM ARCHITECTURE</w:t>
      </w:r>
    </w:p>
    <w:p>
      <w:pPr>
        <w:spacing w:after="80" w:before="160"/>
      </w:pPr>
      <w:r>
        <w:rPr>
          <w:rFonts w:ascii="Times New Roman" w:cs="Times New Roman" w:eastAsia="Times New Roman" w:hAnsi="Times New Roman"/>
          <w:b/>
          <w:bCs/>
          <w:i/>
          <w:iCs/>
          <w:color w:val="000000"/>
          <w:sz w:val="20"/>
          <w:szCs w:val="20"/>
        </w:rPr>
        <w:t xml:space="preserve">A. Overall Architecture</w:t>
      </w:r>
    </w:p>
    <w:p>
      <w:pPr>
        <w:spacing w:after="80" w:line="276"/>
        <w:ind w:firstLine="360"/>
        <w:jc w:val="both"/>
      </w:pPr>
      <w:r>
        <w:rPr>
          <w:rFonts w:ascii="Times New Roman" w:cs="Times New Roman" w:eastAsia="Times New Roman" w:hAnsi="Times New Roman"/>
          <w:color w:val="000000"/>
          <w:sz w:val="20"/>
          <w:szCs w:val="20"/>
        </w:rPr>
        <w:t xml:space="preserve">The proposed platform adopts a front-end/back-end separated architecture. The back-end is implemented using FastAPI, exposing two RESTful endpoints: POST /submit for code evaluation and POST /hint for diagnostic option assessment. The front-end is constructed with Vue 3 and Vite, incorporating the Monaco Editor to provide Python syntax highlighting and auto-indentation. Student-submitted code is executed server-side against all 17 test cases; the resulting outcome array and AI-generated hint are transmitted to the front-end for rendering. All communication is secured via CORS policy restricted to localhost and Vercel-hosted origins.</w:t>
      </w:r>
    </w:p>
    <w:p>
      <w:pPr>
        <w:spacing w:after="80" w:before="160"/>
      </w:pPr>
      <w:r>
        <w:rPr>
          <w:rFonts w:ascii="Times New Roman" w:cs="Times New Roman" w:eastAsia="Times New Roman" w:hAnsi="Times New Roman"/>
          <w:b/>
          <w:bCs/>
          <w:i/>
          <w:iCs/>
          <w:color w:val="000000"/>
          <w:sz w:val="20"/>
          <w:szCs w:val="20"/>
        </w:rPr>
        <w:t xml:space="preserve">B. Back-End Core Components</w:t>
      </w:r>
    </w:p>
    <w:p>
      <w:pPr>
        <w:spacing w:after="80" w:before="80"/>
        <w:jc w:val="center"/>
      </w:pPr>
      <w:r>
        <w:rPr>
          <w:rFonts w:ascii="Times New Roman" w:cs="Times New Roman" w:eastAsia="Times New Roman" w:hAnsi="Times New Roman"/>
          <w:b/>
          <w:bCs/>
          <w:color w:val="000000"/>
          <w:sz w:val="18"/>
          <w:szCs w:val="18"/>
        </w:rPr>
        <w:t xml:space="preserve">TABLE I.  CORE BACK-END COMPONENTS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tblGrid>
      <w:tr>
        <w:tc>
          <w:tcPr>
            <w:tcW w:type="dxa" w:w="144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Component</w:t>
            </w:r>
          </w:p>
        </w:tc>
        <w:tc>
          <w:tcPr>
            <w:tcW w:type="dxa" w:w="324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Primary Function</w:t>
            </w:r>
          </w:p>
        </w:tc>
      </w:tr>
      <w:tr>
        <w:tc>
          <w:tcPr>
            <w:tcW w:type="dxa" w:w="14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executor.py</w:t>
            </w:r>
          </w:p>
        </w:tc>
        <w:tc>
          <w:tcPr>
            <w:tcW w:type="dxa" w:w="32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ThreadPoolExecutor + subprocess.run; AST security filtering (os, sys, socket blocked); 5 s / 10 s timeout</w:t>
            </w:r>
          </w:p>
        </w:tc>
      </w:tr>
      <w:tr>
        <w:tc>
          <w:tcPr>
            <w:tcW w:type="dxa" w:w="14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judge.py</w:t>
            </w:r>
          </w:p>
        </w:tc>
        <w:tc>
          <w:tcPr>
            <w:tcW w:type="dxa" w:w="32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asyncio.gather parallel evaluation; 17 test cases; returns structured results array</w:t>
            </w:r>
          </w:p>
        </w:tc>
      </w:tr>
      <w:tr>
        <w:tc>
          <w:tcPr>
            <w:tcW w:type="dxa" w:w="14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problem.py</w:t>
            </w:r>
          </w:p>
        </w:tc>
        <w:tc>
          <w:tcPr>
            <w:tcW w:type="dxa" w:w="32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17 TEST_CASES; first 3 are LeetCode official examples; remainder from v4 feedback-driven generation</w:t>
            </w:r>
          </w:p>
        </w:tc>
      </w:tr>
      <w:tr>
        <w:tc>
          <w:tcPr>
            <w:tcW w:type="dxa" w:w="14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ai.py</w:t>
            </w:r>
          </w:p>
        </w:tc>
        <w:tc>
          <w:tcPr>
            <w:tcW w:type="dxa" w:w="32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Four-branch prompt architecture; Groq / Gemini auto-selection; three-tier JSON fault-tolerant extraction</w:t>
            </w:r>
          </w:p>
        </w:tc>
      </w:tr>
      <w:tr>
        <w:tc>
          <w:tcPr>
            <w:tcW w:type="dxa" w:w="14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main.py</w:t>
            </w:r>
          </w:p>
        </w:tc>
        <w:tc>
          <w:tcPr>
            <w:tcW w:type="dxa" w:w="32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FastAPI; POST /submit (judge + hint); POST /hint (diagnostic option evaluation)</w:t>
            </w:r>
          </w:p>
        </w:tc>
      </w:tr>
    </w:tbl>
    <w:p>
      <w:pPr>
        <w:spacing w:after="120"/>
      </w:pPr>
      <w:r>
        <w:rPr>
          <w:rFonts w:ascii="Times New Roman" w:cs="Times New Roman" w:eastAsia="Times New Roman" w:hAnsi="Times New Roman"/>
          <w:color w:val="000000"/>
          <w:sz w:val="20"/>
          <w:szCs w:val="20"/>
        </w:rPr>
        <w:t xml:space="preserve"/>
      </w:r>
    </w:p>
    <w:p>
      <w:pPr>
        <w:spacing w:after="80" w:line="276"/>
        <w:ind w:firstLine="360"/>
        <w:jc w:val="both"/>
      </w:pPr>
      <w:r>
        <w:rPr>
          <w:rFonts w:ascii="Times New Roman" w:cs="Times New Roman" w:eastAsia="Times New Roman" w:hAnsi="Times New Roman"/>
          <w:color w:val="000000"/>
          <w:sz w:val="20"/>
          <w:szCs w:val="20"/>
        </w:rPr>
        <w:t xml:space="preserve">The executor module employs a ThreadPoolExecutor combined with subprocess.run to achieve cross-platform compatibility, resolving the incompatibility of asyncio.create_subprocess_exec with the Windows SelectorEventLoop. Security is enforced through two complementary layers: AST-based static analysis, which intercepts imports of prohibited modules (os, sys, subprocess, socket) prior to execution; and a configurable timeout mechanism set to 5 seconds for standard test cases and 10 seconds for stress tests.</w:t>
      </w:r>
    </w:p>
    <w:p>
      <w:pPr>
        <w:spacing w:after="80" w:before="160"/>
      </w:pPr>
      <w:r>
        <w:rPr>
          <w:rFonts w:ascii="Times New Roman" w:cs="Times New Roman" w:eastAsia="Times New Roman" w:hAnsi="Times New Roman"/>
          <w:b/>
          <w:bCs/>
          <w:i/>
          <w:iCs/>
          <w:color w:val="000000"/>
          <w:sz w:val="20"/>
          <w:szCs w:val="20"/>
        </w:rPr>
        <w:t xml:space="preserve">C. Front-End Design</w:t>
      </w:r>
    </w:p>
    <w:p>
      <w:pPr>
        <w:spacing w:after="80" w:line="276"/>
        <w:ind w:firstLine="360"/>
        <w:jc w:val="both"/>
      </w:pPr>
      <w:r>
        <w:rPr>
          <w:rFonts w:ascii="Times New Roman" w:cs="Times New Roman" w:eastAsia="Times New Roman" w:hAnsi="Times New Roman"/>
          <w:color w:val="000000"/>
          <w:sz w:val="20"/>
          <w:szCs w:val="20"/>
        </w:rPr>
        <w:t xml:space="preserve">The front-end employs a warm terminal aesthetic with IBM Plex Mono typography and an amber accent color scheme (#dfa050). The ResultPanel component renders test case outcomes only up to and including the first failure, deliberately constraining the displayed result set to reduce cognitive load for novice programmers. Development and production API endpoints are automatically selected via the import.meta.env.DEV flag, eliminating manual configuration during deployment transitions.</w:t>
      </w:r>
    </w:p>
    <w:p>
      <w:pPr>
        <w:spacing w:after="120" w:before="240"/>
        <w:jc w:val="center"/>
      </w:pPr>
      <w:r>
        <w:rPr>
          <w:rFonts w:ascii="Times New Roman" w:cs="Times New Roman" w:eastAsia="Times New Roman" w:hAnsi="Times New Roman"/>
          <w:b/>
          <w:bCs/>
          <w:color w:val="000000"/>
          <w:sz w:val="20"/>
          <w:szCs w:val="20"/>
        </w:rPr>
        <w:t xml:space="preserve">IV. TEST CASE GENERATION METHODOLOGY</w:t>
      </w:r>
    </w:p>
    <w:p>
      <w:pPr>
        <w:spacing w:after="80" w:before="160"/>
      </w:pPr>
      <w:r>
        <w:rPr>
          <w:rFonts w:ascii="Times New Roman" w:cs="Times New Roman" w:eastAsia="Times New Roman" w:hAnsi="Times New Roman"/>
          <w:b/>
          <w:bCs/>
          <w:i/>
          <w:iCs/>
          <w:color w:val="000000"/>
          <w:sz w:val="20"/>
          <w:szCs w:val="20"/>
        </w:rPr>
        <w:t xml:space="preserve">A. Quality Metric Definitions</w:t>
      </w:r>
    </w:p>
    <w:p>
      <w:pPr>
        <w:spacing w:after="80" w:line="276"/>
        <w:ind w:firstLine="360"/>
        <w:jc w:val="both"/>
      </w:pPr>
      <w:r>
        <w:rPr>
          <w:rFonts w:ascii="Times New Roman" w:cs="Times New Roman" w:eastAsia="Times New Roman" w:hAnsi="Times New Roman"/>
          <w:color w:val="000000"/>
          <w:sz w:val="20"/>
          <w:szCs w:val="20"/>
        </w:rPr>
        <w:t xml:space="preserve">Drawing on the formalization proposed in [1], two quantitative evaluation metrics are defined. True Positive Rate (TPR) measures the proportion of correct solutions that pass all test cases: TPR = |{s ∈ S⁺ | s passes all T}| / |S⁺|. True Negative Rate (TNR) quantifies the average proportion of test cases that successfully intercept each buggy solution: TNR = 1 − Σ(s∈S⁻) pass_count(s) / (|S⁻| × |T|), where S⁺ denotes the correct solution pool, S⁻ the buggy solution pool, and T the test case set. The design objectives are established as TPR = 1.000 and TNR ≥ 0.850.</w:t>
      </w:r>
    </w:p>
    <w:p>
      <w:pPr>
        <w:spacing w:after="80" w:before="160"/>
      </w:pPr>
      <w:r>
        <w:rPr>
          <w:rFonts w:ascii="Times New Roman" w:cs="Times New Roman" w:eastAsia="Times New Roman" w:hAnsi="Times New Roman"/>
          <w:b/>
          <w:bCs/>
          <w:i/>
          <w:iCs/>
          <w:color w:val="000000"/>
          <w:sz w:val="20"/>
          <w:szCs w:val="20"/>
        </w:rPr>
        <w:t xml:space="preserve">B. Solution Pool Design (S⁺ / S⁻)</w:t>
      </w:r>
    </w:p>
    <w:p>
      <w:pPr>
        <w:spacing w:after="80" w:line="276"/>
        <w:ind w:firstLine="360"/>
        <w:jc w:val="both"/>
      </w:pPr>
      <w:r>
        <w:rPr>
          <w:rFonts w:ascii="Times New Roman" w:cs="Times New Roman" w:eastAsia="Times New Roman" w:hAnsi="Times New Roman"/>
          <w:color w:val="000000"/>
          <w:sz w:val="20"/>
          <w:szCs w:val="20"/>
        </w:rPr>
        <w:t xml:space="preserve">Three correct solutions constitute the S⁺ pool: a sliding window approach with O(n) complexity, a hash map variant recording last occurrence positions (O(n)), and a brute-force double-loop implementation (O(n²)). The deliberate inclusion of the brute-force solution ensures that no implicit time complexity requirement is introduced that would reject algorithmically valid—if suboptimal—student solutions.</w:t>
      </w:r>
    </w:p>
    <w:p>
      <w:pPr>
        <w:spacing w:after="80" w:line="276"/>
        <w:ind w:firstLine="360"/>
        <w:jc w:val="both"/>
      </w:pPr>
      <w:r>
        <w:rPr>
          <w:rFonts w:ascii="Times New Roman" w:cs="Times New Roman" w:eastAsia="Times New Roman" w:hAnsi="Times New Roman"/>
          <w:color w:val="000000"/>
          <w:sz w:val="20"/>
          <w:szCs w:val="20"/>
        </w:rPr>
        <w:t xml:space="preserve">Six buggy solutions form the S⁻ pool, each representing a pedagogically significant error pattern: (1) always_len (returns len(s) directly); (2) count_unique (returns len(set(s)), misinterpreting the problem as counting unique characters globally); (3) off_by_one_window (computes window length as right − left, omitting +1); (4) no_reset_left (repositions the left pointer to the current right index rather than to the position following the previous occurrence); (5) inner_return (exits the outer iteration via an early return upon detecting a repeated character); and (6) no_return (omits the return statement entirely, yielding None).</w:t>
      </w:r>
    </w:p>
    <w:p>
      <w:pPr>
        <w:spacing w:after="80" w:before="160"/>
      </w:pPr>
      <w:r>
        <w:rPr>
          <w:rFonts w:ascii="Times New Roman" w:cs="Times New Roman" w:eastAsia="Times New Roman" w:hAnsi="Times New Roman"/>
          <w:b/>
          <w:bCs/>
          <w:i/>
          <w:iCs/>
          <w:color w:val="000000"/>
          <w:sz w:val="20"/>
          <w:szCs w:val="20"/>
        </w:rPr>
        <w:t xml:space="preserve">C. Generator Design (gen.py)</w:t>
      </w:r>
    </w:p>
    <w:p>
      <w:pPr>
        <w:spacing w:after="80" w:line="276"/>
        <w:ind w:firstLine="360"/>
        <w:jc w:val="both"/>
      </w:pPr>
      <w:r>
        <w:rPr>
          <w:rFonts w:ascii="Times New Roman" w:cs="Times New Roman" w:eastAsia="Times New Roman" w:hAnsi="Times New Roman"/>
          <w:color w:val="000000"/>
          <w:sz w:val="20"/>
          <w:szCs w:val="20"/>
        </w:rPr>
        <w:t xml:space="preserve">Ten generation modes are implemented in gen.py, each as an independent Python function accepting seeds and structural parameters. The synthesize.py module reads a command list file (commands_vN.txt), invokes corresponding generator functions, and computes expected outputs using the reference solution, yielding a structured tests_vN.py module. This architecture maps directly to the command_list abstraction described in [1].</w:t>
      </w:r>
    </w:p>
    <w:p>
      <w:pPr>
        <w:spacing w:after="80" w:before="160"/>
      </w:pPr>
      <w:r>
        <w:rPr>
          <w:rFonts w:ascii="Times New Roman" w:cs="Times New Roman" w:eastAsia="Times New Roman" w:hAnsi="Times New Roman"/>
          <w:b/>
          <w:bCs/>
          <w:i/>
          <w:iCs/>
          <w:color w:val="000000"/>
          <w:sz w:val="20"/>
          <w:szCs w:val="20"/>
        </w:rPr>
        <w:t xml:space="preserve">D. Iterative Refinement Pipeline</w:t>
      </w:r>
    </w:p>
    <w:p>
      <w:pPr>
        <w:spacing w:after="80" w:line="276"/>
        <w:ind w:firstLine="360"/>
        <w:jc w:val="both"/>
      </w:pPr>
      <w:r>
        <w:rPr>
          <w:rFonts w:ascii="Times New Roman" w:cs="Times New Roman" w:eastAsia="Times New Roman" w:hAnsi="Times New Roman"/>
          <w:color w:val="000000"/>
          <w:sz w:val="20"/>
          <w:szCs w:val="20"/>
        </w:rPr>
        <w:t xml:space="preserve">Each iteration proceeds through four stages: (1) command list synthesis via synthesize.py; (2) evaluation via run_eval.py, computing per-test-case discriminative power scores and per-bug pass rates; (3) feedback report generation (feedback_vN.json), recording command-level utility scores, S⁻ pass rates, and surviving buggy solutions; and (4) analytical review of the feedback report to produce a modified command list for the subsequent iteration.</w:t>
      </w:r>
    </w:p>
    <w:p>
      <w:pPr>
        <w:spacing w:after="80" w:before="160"/>
      </w:pPr>
      <w:r>
        <w:rPr>
          <w:rFonts w:ascii="Times New Roman" w:cs="Times New Roman" w:eastAsia="Times New Roman" w:hAnsi="Times New Roman"/>
          <w:b/>
          <w:bCs/>
          <w:i/>
          <w:iCs/>
          <w:color w:val="000000"/>
          <w:sz w:val="20"/>
          <w:szCs w:val="20"/>
        </w:rPr>
        <w:t xml:space="preserve">E. Iterative Results and the combo_kill Breakthrough</w:t>
      </w:r>
    </w:p>
    <w:p>
      <w:pPr>
        <w:spacing w:after="80" w:line="276"/>
        <w:ind w:firstLine="360"/>
        <w:jc w:val="both"/>
      </w:pPr>
      <w:r>
        <w:rPr>
          <w:rFonts w:ascii="Times New Roman" w:cs="Times New Roman" w:eastAsia="Times New Roman" w:hAnsi="Times New Roman"/>
          <w:color w:val="000000"/>
          <w:sz w:val="20"/>
          <w:szCs w:val="20"/>
        </w:rPr>
        <w:t xml:space="preserve">Table II presents the quantitative outcomes across all iterative rounds. The baseline test case set, designed entirely from engineering intuition, exhibited TNR = 0.491, with count_unique achieving a pass rate of 94.4% and no_reset_left achieving 88.9%. Furthermore, it is observed that 44.4% of baseline test cases (8 out of 18) exhibited discriminative power of 1–2/6, signifying that nearly half of all test cases contributed negligible bug-catching utility.</w:t>
      </w:r>
    </w:p>
    <w:p>
      <w:pPr>
        <w:spacing w:after="80" w:line="276"/>
        <w:ind w:firstLine="360"/>
        <w:jc w:val="both"/>
      </w:pPr>
      <w:r>
        <w:rPr>
          <w:rFonts w:ascii="Times New Roman" w:cs="Times New Roman" w:eastAsia="Times New Roman" w:hAnsi="Times New Roman"/>
          <w:color w:val="000000"/>
          <w:sz w:val="20"/>
          <w:szCs w:val="20"/>
        </w:rPr>
        <w:t xml:space="preserve">Version v1 (TNR = 0.689) was obtained by eliminating the eight low-discriminative-power entries and introducing structured KILLER-mode test cases. Version v2 (TNR = 0.729) replaced the ineffective abba_chain mode with carry_kill, a parameterized implementation of the XYXZ pattern. Analysis of the baseline revealed that the primary interceptor of no_reset_left was the dvdf string (index 9)—which exhibits XYXZ structure—rather than the abba string (index 12), an insight that directly motivated carry_kill’s design. In v3 (TNR = 0.745), an increased proportion of doubled_distinct cases was applied in an attempt to suppress count_unique; however, the resulting structural homogeneity diluted discriminative coverage for other bug categories, causing TNR to plateau.</w:t>
      </w:r>
    </w:p>
    <w:p>
      <w:pPr>
        <w:spacing w:after="80" w:line="276"/>
        <w:ind w:firstLine="360"/>
        <w:jc w:val="both"/>
      </w:pPr>
      <w:r>
        <w:rPr>
          <w:rFonts w:ascii="Times New Roman" w:cs="Times New Roman" w:eastAsia="Times New Roman" w:hAnsi="Times New Roman"/>
          <w:color w:val="000000"/>
          <w:sz w:val="20"/>
          <w:szCs w:val="20"/>
        </w:rPr>
        <w:t xml:space="preserve">Version v4 (TNR = 0.882) represents the decisive breakthrough, attributable to the combo_kill generation mode. Rather than targeting individual bugs with dedicated test cases, combo_kill constructs a single string embedding multiple structural sub-patterns: a doubled prefix (e.g., mmiicc) targeting count_unique, an XYZX carry segment targeting no_reset_left, and a long distinct suffix targeting both inner_return and always_len. All ten combo_kill instances in v4 achieved discriminative power of 6/6, contributing a single-round TNR improvement of +13.2 ppt. This design principle is analogous to the notion of a strongly killing test in mutation testing [6], wherein a single test simultaneously eliminates multiple mutants.</w:t>
      </w:r>
    </w:p>
    <w:p>
      <w:pPr>
        <w:spacing w:after="80" w:before="80"/>
        <w:jc w:val="center"/>
      </w:pPr>
      <w:r>
        <w:rPr>
          <w:rFonts w:ascii="Times New Roman" w:cs="Times New Roman" w:eastAsia="Times New Roman" w:hAnsi="Times New Roman"/>
          <w:b/>
          <w:bCs/>
          <w:color w:val="000000"/>
          <w:sz w:val="18"/>
          <w:szCs w:val="18"/>
        </w:rPr>
        <w:t xml:space="preserve">TABLE II.  ITERATIVE TNR/TPR PROGRESSION</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580"/>
        <w:gridCol w:w="420"/>
        <w:gridCol w:w="420"/>
        <w:gridCol w:w="520"/>
        <w:gridCol w:w="2280"/>
        <w:gridCol w:w="460"/>
      </w:tblGrid>
      <w:tr>
        <w:tc>
          <w:tcPr>
            <w:tcW w:type="dxa" w:w="5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Version</w:t>
            </w:r>
          </w:p>
        </w:tc>
        <w:tc>
          <w:tcPr>
            <w:tcW w:type="dxa" w:w="42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Cases</w:t>
            </w:r>
          </w:p>
        </w:tc>
        <w:tc>
          <w:tcPr>
            <w:tcW w:type="dxa" w:w="42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TPR</w:t>
            </w:r>
          </w:p>
        </w:tc>
        <w:tc>
          <w:tcPr>
            <w:tcW w:type="dxa" w:w="52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TNR</w:t>
            </w:r>
          </w:p>
        </w:tc>
        <w:tc>
          <w:tcPr>
            <w:tcW w:type="dxa" w:w="22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Key Modification</w:t>
            </w:r>
          </w:p>
        </w:tc>
        <w:tc>
          <w:tcPr>
            <w:tcW w:type="dxa" w:w="4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ΔTNR</w:t>
            </w:r>
          </w:p>
        </w:tc>
      </w:tr>
      <w:tr>
        <w:tc>
          <w:tcPr>
            <w:tcW w:type="dxa" w:w="5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Baseline</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18</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1.000</w:t>
            </w:r>
          </w:p>
        </w:tc>
        <w:tc>
          <w:tcPr>
            <w:tcW w:type="dxa" w:w="5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0.491</w:t>
            </w:r>
          </w:p>
        </w:tc>
        <w:tc>
          <w:tcPr>
            <w:tcW w:type="dxa" w:w="22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Experience-based design; no quantitative criteria</w:t>
            </w:r>
          </w:p>
        </w:tc>
        <w:tc>
          <w:tcPr>
            <w:tcW w:type="dxa" w:w="4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5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v1</w:t>
            </w:r>
          </w:p>
        </w:tc>
        <w:tc>
          <w:tcPr>
            <w:tcW w:type="dxa" w:w="4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15</w:t>
            </w:r>
          </w:p>
        </w:tc>
        <w:tc>
          <w:tcPr>
            <w:tcW w:type="dxa" w:w="4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1.000</w:t>
            </w:r>
          </w:p>
        </w:tc>
        <w:tc>
          <w:tcPr>
            <w:tcW w:type="dxa" w:w="5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0.689</w:t>
            </w:r>
          </w:p>
        </w:tc>
        <w:tc>
          <w:tcPr>
            <w:tcW w:type="dxa" w:w="22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Remove 8 low-utility cases; introduce KILLER mode</w:t>
            </w:r>
          </w:p>
        </w:tc>
        <w:tc>
          <w:tcPr>
            <w:tcW w:type="dxa" w:w="46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+19.8 ppt</w:t>
            </w:r>
          </w:p>
        </w:tc>
      </w:tr>
      <w:tr>
        <w:tc>
          <w:tcPr>
            <w:tcW w:type="dxa" w:w="5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v2</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16</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1.000</w:t>
            </w:r>
          </w:p>
        </w:tc>
        <w:tc>
          <w:tcPr>
            <w:tcW w:type="dxa" w:w="5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0.729</w:t>
            </w:r>
          </w:p>
        </w:tc>
        <w:tc>
          <w:tcPr>
            <w:tcW w:type="dxa" w:w="22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carry_kill mode (XYXZ pattern; targets no_reset_left)</w:t>
            </w:r>
          </w:p>
        </w:tc>
        <w:tc>
          <w:tcPr>
            <w:tcW w:type="dxa" w:w="4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+23.9 ppt</w:t>
            </w:r>
          </w:p>
        </w:tc>
      </w:tr>
      <w:tr>
        <w:tc>
          <w:tcPr>
            <w:tcW w:type="dxa" w:w="5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v3</w:t>
            </w:r>
          </w:p>
        </w:tc>
        <w:tc>
          <w:tcPr>
            <w:tcW w:type="dxa" w:w="4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17</w:t>
            </w:r>
          </w:p>
        </w:tc>
        <w:tc>
          <w:tcPr>
            <w:tcW w:type="dxa" w:w="4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1.000</w:t>
            </w:r>
          </w:p>
        </w:tc>
        <w:tc>
          <w:tcPr>
            <w:tcW w:type="dxa" w:w="5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0.745</w:t>
            </w:r>
          </w:p>
        </w:tc>
        <w:tc>
          <w:tcPr>
            <w:tcW w:type="dxa" w:w="22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Large-scale doubled_distinct — structural dilution plateau</w:t>
            </w:r>
          </w:p>
        </w:tc>
        <w:tc>
          <w:tcPr>
            <w:tcW w:type="dxa" w:w="46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+25.4 ppt</w:t>
            </w:r>
          </w:p>
        </w:tc>
      </w:tr>
      <w:tr>
        <w:tc>
          <w:tcPr>
            <w:tcW w:type="dxa" w:w="5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v4</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17</w:t>
            </w:r>
          </w:p>
        </w:tc>
        <w:tc>
          <w:tcPr>
            <w:tcW w:type="dxa" w:w="4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1.000</w:t>
            </w:r>
          </w:p>
        </w:tc>
        <w:tc>
          <w:tcPr>
            <w:tcW w:type="dxa" w:w="5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0.882</w:t>
            </w:r>
          </w:p>
        </w:tc>
        <w:tc>
          <w:tcPr>
            <w:tcW w:type="dxa" w:w="22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bCs/>
                <w:i w:val="false"/>
                <w:iCs w:val="false"/>
                <w:color w:val="000000"/>
                <w:sz w:val="18"/>
                <w:szCs w:val="18"/>
              </w:rPr>
              <w:t xml:space="preserve">combo_kill: multi-target string design (6/6 per case)</w:t>
            </w:r>
          </w:p>
        </w:tc>
        <w:tc>
          <w:tcPr>
            <w:tcW w:type="dxa" w:w="4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+39.1 ppt</w:t>
            </w:r>
          </w:p>
        </w:tc>
      </w:tr>
    </w:tbl>
    <w:p>
      <w:pPr>
        <w:spacing w:after="120"/>
      </w:pPr>
      <w:r>
        <w:rPr>
          <w:rFonts w:ascii="Times New Roman" w:cs="Times New Roman" w:eastAsia="Times New Roman" w:hAnsi="Times New Roman"/>
          <w:color w:val="000000"/>
          <w:sz w:val="20"/>
          <w:szCs w:val="20"/>
        </w:rPr>
        <w:t xml:space="preserve"/>
      </w:r>
    </w:p>
    <w:p>
      <w:pPr>
        <w:spacing w:after="80" w:before="160"/>
      </w:pPr>
      <w:r>
        <w:rPr>
          <w:rFonts w:ascii="Times New Roman" w:cs="Times New Roman" w:eastAsia="Times New Roman" w:hAnsi="Times New Roman"/>
          <w:b/>
          <w:bCs/>
          <w:i/>
          <w:iCs/>
          <w:color w:val="000000"/>
          <w:sz w:val="20"/>
          <w:szCs w:val="20"/>
        </w:rPr>
        <w:t xml:space="preserve">F. Final Test Case Set</w:t>
      </w:r>
    </w:p>
    <w:p>
      <w:pPr>
        <w:spacing w:after="80" w:line="276"/>
        <w:ind w:firstLine="360"/>
        <w:jc w:val="both"/>
      </w:pPr>
      <w:r>
        <w:rPr>
          <w:rFonts w:ascii="Times New Roman" w:cs="Times New Roman" w:eastAsia="Times New Roman" w:hAnsi="Times New Roman"/>
          <w:color w:val="000000"/>
          <w:sz w:val="20"/>
          <w:szCs w:val="20"/>
        </w:rPr>
        <w:t xml:space="preserve">The final deployed set comprises 17 test cases. The first three entries are retained from LeetCode’s official examples (abcabcbb, bbbbb, pwwkew) to serve as calibration warm-up, as students are expected to be familiar with these from the problem statement. The remaining 14 entries are selected from v4 candidates with discriminative power ≥5/6, ordered by input string length to ensure that the first observed failure in any student submission corresponds to a short, pedagogically legible string rather than a stress-test input.</w:t>
      </w:r>
    </w:p>
    <w:p>
      <w:pPr>
        <w:spacing w:after="120" w:before="240"/>
        <w:jc w:val="center"/>
      </w:pPr>
      <w:r>
        <w:rPr>
          <w:rFonts w:ascii="Times New Roman" w:cs="Times New Roman" w:eastAsia="Times New Roman" w:hAnsi="Times New Roman"/>
          <w:b/>
          <w:bCs/>
          <w:color w:val="000000"/>
          <w:sz w:val="20"/>
          <w:szCs w:val="20"/>
        </w:rPr>
        <w:t xml:space="preserve">V. EXPERIMENTAL RESULTS</w:t>
      </w:r>
    </w:p>
    <w:p>
      <w:pPr>
        <w:spacing w:after="80" w:before="160"/>
      </w:pPr>
      <w:r>
        <w:rPr>
          <w:rFonts w:ascii="Times New Roman" w:cs="Times New Roman" w:eastAsia="Times New Roman" w:hAnsi="Times New Roman"/>
          <w:b/>
          <w:bCs/>
          <w:i/>
          <w:iCs/>
          <w:color w:val="000000"/>
          <w:sz w:val="20"/>
          <w:szCs w:val="20"/>
        </w:rPr>
        <w:t xml:space="preserve">A. Per-Bug Interception Rate Improvement</w:t>
      </w:r>
    </w:p>
    <w:p>
      <w:pPr>
        <w:spacing w:after="80" w:line="276"/>
        <w:ind w:firstLine="360"/>
        <w:jc w:val="both"/>
      </w:pPr>
      <w:r>
        <w:rPr>
          <w:rFonts w:ascii="Times New Roman" w:cs="Times New Roman" w:eastAsia="Times New Roman" w:hAnsi="Times New Roman"/>
          <w:color w:val="000000"/>
          <w:sz w:val="20"/>
          <w:szCs w:val="20"/>
        </w:rPr>
        <w:t xml:space="preserve">Table III details the reduction in pass rates for each buggy solution from baseline to v4. It is observed that three bug patterns—always_len, off_by_one_window, and no_return—are fully suppressed to a 0.00% pass rate. Consequently, count_unique, inner_return, and no_reset_left exhibit relative pass-rate reductions of 62.6%, 83.7%, and 66.9%, respectively, corresponding to absolute improvements of 59.2, 60.5, and 59.5 percentage points.</w:t>
      </w:r>
    </w:p>
    <w:p>
      <w:pPr>
        <w:spacing w:after="80" w:before="80"/>
        <w:jc w:val="center"/>
      </w:pPr>
      <w:r>
        <w:rPr>
          <w:rFonts w:ascii="Times New Roman" w:cs="Times New Roman" w:eastAsia="Times New Roman" w:hAnsi="Times New Roman"/>
          <w:b/>
          <w:bCs/>
          <w:color w:val="000000"/>
          <w:sz w:val="18"/>
          <w:szCs w:val="18"/>
        </w:rPr>
        <w:t xml:space="preserve">TABLE III.  PER-BUG PASS RATE: BASELINE vs. v4</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60"/>
        <w:gridCol w:w="840"/>
        <w:gridCol w:w="780"/>
        <w:gridCol w:w="780"/>
        <w:gridCol w:w="720"/>
      </w:tblGrid>
      <w:tr>
        <w:tc>
          <w:tcPr>
            <w:tcW w:type="dxa" w:w="15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Buggy Solution</w:t>
            </w:r>
          </w:p>
        </w:tc>
        <w:tc>
          <w:tcPr>
            <w:tcW w:type="dxa" w:w="84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Baseline Pass %</w:t>
            </w:r>
          </w:p>
        </w:tc>
        <w:tc>
          <w:tcPr>
            <w:tcW w:type="dxa" w:w="7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v4 Pass %</w:t>
            </w:r>
          </w:p>
        </w:tc>
        <w:tc>
          <w:tcPr>
            <w:tcW w:type="dxa" w:w="7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Reduction</w:t>
            </w:r>
          </w:p>
        </w:tc>
        <w:tc>
          <w:tcPr>
            <w:tcW w:type="dxa" w:w="72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Relative</w:t>
            </w:r>
          </w:p>
        </w:tc>
      </w:tr>
      <w:tr>
        <w:tc>
          <w:tcPr>
            <w:tcW w:type="dxa" w:w="15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always_len</w:t>
            </w:r>
          </w:p>
        </w:tc>
        <w:tc>
          <w:tcPr>
            <w:tcW w:type="dxa" w:w="8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44.44%</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0.00%</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−44.4 ppt</w:t>
            </w:r>
          </w:p>
        </w:tc>
        <w:tc>
          <w:tcPr>
            <w:tcW w:type="dxa" w:w="7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Fully suppressed</w:t>
            </w:r>
          </w:p>
        </w:tc>
      </w:tr>
      <w:tr>
        <w:tc>
          <w:tcPr>
            <w:tcW w:type="dxa" w:w="156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count_unique</w:t>
            </w:r>
          </w:p>
        </w:tc>
        <w:tc>
          <w:tcPr>
            <w:tcW w:type="dxa" w:w="8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94.44%</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35.29%</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−59.2 ppt</w:t>
            </w:r>
          </w:p>
        </w:tc>
        <w:tc>
          <w:tcPr>
            <w:tcW w:type="dxa" w:w="7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−62.6%</w:t>
            </w:r>
          </w:p>
        </w:tc>
      </w:tr>
      <w:tr>
        <w:tc>
          <w:tcPr>
            <w:tcW w:type="dxa" w:w="15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inner_return</w:t>
            </w:r>
          </w:p>
        </w:tc>
        <w:tc>
          <w:tcPr>
            <w:tcW w:type="dxa" w:w="8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72.22%</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11.76%</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−60.5 ppt</w:t>
            </w:r>
          </w:p>
        </w:tc>
        <w:tc>
          <w:tcPr>
            <w:tcW w:type="dxa" w:w="7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−83.7%</w:t>
            </w:r>
          </w:p>
        </w:tc>
      </w:tr>
      <w:tr>
        <w:tc>
          <w:tcPr>
            <w:tcW w:type="dxa" w:w="156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no_reset_left</w:t>
            </w:r>
          </w:p>
        </w:tc>
        <w:tc>
          <w:tcPr>
            <w:tcW w:type="dxa" w:w="8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88.89%</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29.41%</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−59.5 ppt</w:t>
            </w:r>
          </w:p>
        </w:tc>
        <w:tc>
          <w:tcPr>
            <w:tcW w:type="dxa" w:w="7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−66.9%</w:t>
            </w:r>
          </w:p>
        </w:tc>
      </w:tr>
      <w:tr>
        <w:tc>
          <w:tcPr>
            <w:tcW w:type="dxa" w:w="156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off_by_one_window</w:t>
            </w:r>
          </w:p>
        </w:tc>
        <w:tc>
          <w:tcPr>
            <w:tcW w:type="dxa" w:w="84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5.56%</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0.00%</w:t>
            </w:r>
          </w:p>
        </w:tc>
        <w:tc>
          <w:tcPr>
            <w:tcW w:type="dxa" w:w="7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−5.6 ppt</w:t>
            </w:r>
          </w:p>
        </w:tc>
        <w:tc>
          <w:tcPr>
            <w:tcW w:type="dxa" w:w="7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Fully suppressed</w:t>
            </w:r>
          </w:p>
        </w:tc>
      </w:tr>
      <w:tr>
        <w:tc>
          <w:tcPr>
            <w:tcW w:type="dxa" w:w="156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i/>
                <w:iCs/>
                <w:color w:val="000000"/>
                <w:sz w:val="18"/>
                <w:szCs w:val="18"/>
              </w:rPr>
              <w:t xml:space="preserve">no_return</w:t>
            </w:r>
          </w:p>
        </w:tc>
        <w:tc>
          <w:tcPr>
            <w:tcW w:type="dxa" w:w="84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0.00%</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0.00%</w:t>
            </w:r>
          </w:p>
        </w:tc>
        <w:tc>
          <w:tcPr>
            <w:tcW w:type="dxa" w:w="7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w:t>
            </w:r>
          </w:p>
        </w:tc>
        <w:tc>
          <w:tcPr>
            <w:tcW w:type="dxa" w:w="7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Maintained</w:t>
            </w:r>
          </w:p>
        </w:tc>
      </w:tr>
    </w:tbl>
    <w:p>
      <w:pPr>
        <w:spacing w:after="120"/>
      </w:pPr>
      <w:r>
        <w:rPr>
          <w:rFonts w:ascii="Times New Roman" w:cs="Times New Roman" w:eastAsia="Times New Roman" w:hAnsi="Times New Roman"/>
          <w:color w:val="000000"/>
          <w:sz w:val="20"/>
          <w:szCs w:val="20"/>
        </w:rPr>
        <w:t xml:space="preserve"/>
      </w:r>
    </w:p>
    <w:p>
      <w:pPr>
        <w:spacing w:after="80" w:before="160"/>
      </w:pPr>
      <w:r>
        <w:rPr>
          <w:rFonts w:ascii="Times New Roman" w:cs="Times New Roman" w:eastAsia="Times New Roman" w:hAnsi="Times New Roman"/>
          <w:b/>
          <w:bCs/>
          <w:i/>
          <w:iCs/>
          <w:color w:val="000000"/>
          <w:sz w:val="20"/>
          <w:szCs w:val="20"/>
        </w:rPr>
        <w:t xml:space="preserve">B. Discriminative Power Distribution</w:t>
      </w:r>
    </w:p>
    <w:p>
      <w:pPr>
        <w:spacing w:after="80" w:line="276"/>
        <w:ind w:firstLine="360"/>
        <w:jc w:val="both"/>
      </w:pPr>
      <w:r>
        <w:rPr>
          <w:rFonts w:ascii="Times New Roman" w:cs="Times New Roman" w:eastAsia="Times New Roman" w:hAnsi="Times New Roman"/>
          <w:color w:val="000000"/>
          <w:sz w:val="20"/>
          <w:szCs w:val="20"/>
        </w:rPr>
        <w:t xml:space="preserve">Table IV compares the distribution of per-test-case discriminative power scores between the baseline and the v4-derived set. In the baseline, 44.4% of test cases exhibited scores of 1–2/6. In the final set, zero low-discriminative-power entries remain; 52.9% of entries achieve the maximum score of 6/6, while the three 3/6-level entries are intentionally retained as the LeetCode official warm-up examples.</w:t>
      </w:r>
    </w:p>
    <w:p>
      <w:pPr>
        <w:spacing w:after="80" w:before="80"/>
        <w:jc w:val="center"/>
      </w:pPr>
      <w:r>
        <w:rPr>
          <w:rFonts w:ascii="Times New Roman" w:cs="Times New Roman" w:eastAsia="Times New Roman" w:hAnsi="Times New Roman"/>
          <w:b/>
          <w:bCs/>
          <w:color w:val="000000"/>
          <w:sz w:val="18"/>
          <w:szCs w:val="18"/>
        </w:rPr>
        <w:t xml:space="preserve">TABLE IV.  DISCRIMINATIVE POWER DISTRIBUTION</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000"/>
        <w:gridCol w:w="680"/>
        <w:gridCol w:w="800"/>
        <w:gridCol w:w="680"/>
        <w:gridCol w:w="800"/>
        <w:gridCol w:w="720"/>
      </w:tblGrid>
      <w:tr>
        <w:tc>
          <w:tcPr>
            <w:tcW w:type="dxa" w:w="1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Disc. Power</w:t>
            </w:r>
          </w:p>
        </w:tc>
        <w:tc>
          <w:tcPr>
            <w:tcW w:type="dxa" w:w="6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BL Count</w:t>
            </w:r>
          </w:p>
        </w:tc>
        <w:tc>
          <w:tcPr>
            <w:tcW w:type="dxa" w:w="8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BL %</w:t>
            </w:r>
          </w:p>
        </w:tc>
        <w:tc>
          <w:tcPr>
            <w:tcW w:type="dxa" w:w="68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v4 Count</w:t>
            </w:r>
          </w:p>
        </w:tc>
        <w:tc>
          <w:tcPr>
            <w:tcW w:type="dxa" w:w="8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v4 %</w:t>
            </w:r>
          </w:p>
        </w:tc>
        <w:tc>
          <w:tcPr>
            <w:tcW w:type="dxa" w:w="72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Origin</w:t>
            </w:r>
          </w:p>
        </w:tc>
      </w:tr>
      <w:tr>
        <w:tc>
          <w:tcPr>
            <w:tcW w:type="dxa" w:w="10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6/6 (Max)</w:t>
            </w:r>
          </w:p>
        </w:tc>
        <w:tc>
          <w:tcPr>
            <w:tcW w:type="dxa" w:w="6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w:t>
            </w:r>
          </w:p>
        </w:tc>
        <w:tc>
          <w:tcPr>
            <w:tcW w:type="dxa" w:w="8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0.0%</w:t>
            </w:r>
          </w:p>
        </w:tc>
        <w:tc>
          <w:tcPr>
            <w:tcW w:type="dxa" w:w="6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9</w:t>
            </w:r>
          </w:p>
        </w:tc>
        <w:tc>
          <w:tcPr>
            <w:tcW w:type="dxa" w:w="8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52.9%</w:t>
            </w:r>
          </w:p>
        </w:tc>
        <w:tc>
          <w:tcPr>
            <w:tcW w:type="dxa" w:w="7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combo_kill</w:t>
            </w:r>
          </w:p>
        </w:tc>
      </w:tr>
      <w:tr>
        <w:tc>
          <w:tcPr>
            <w:tcW w:type="dxa" w:w="10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5/6 (High)</w:t>
            </w:r>
          </w:p>
        </w:tc>
        <w:tc>
          <w:tcPr>
            <w:tcW w:type="dxa" w:w="6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w:t>
            </w:r>
          </w:p>
        </w:tc>
        <w:tc>
          <w:tcPr>
            <w:tcW w:type="dxa" w:w="8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0.0%</w:t>
            </w:r>
          </w:p>
        </w:tc>
        <w:tc>
          <w:tcPr>
            <w:tcW w:type="dxa" w:w="6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8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29.4%</w:t>
            </w:r>
          </w:p>
        </w:tc>
        <w:tc>
          <w:tcPr>
            <w:tcW w:type="dxa" w:w="7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carry_kill / doubled</w:t>
            </w:r>
          </w:p>
        </w:tc>
      </w:tr>
      <w:tr>
        <w:tc>
          <w:tcPr>
            <w:tcW w:type="dxa" w:w="10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3/6 (Mid)</w:t>
            </w:r>
          </w:p>
        </w:tc>
        <w:tc>
          <w:tcPr>
            <w:tcW w:type="dxa" w:w="6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8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27.8%</w:t>
            </w:r>
          </w:p>
        </w:tc>
        <w:tc>
          <w:tcPr>
            <w:tcW w:type="dxa" w:w="68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8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17.6%</w:t>
            </w:r>
          </w:p>
        </w:tc>
        <w:tc>
          <w:tcPr>
            <w:tcW w:type="dxa" w:w="72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LC official examples</w:t>
            </w:r>
          </w:p>
        </w:tc>
      </w:tr>
      <w:tr>
        <w:tc>
          <w:tcPr>
            <w:tcW w:type="dxa" w:w="10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1–2/6 (Low)</w:t>
            </w:r>
          </w:p>
        </w:tc>
        <w:tc>
          <w:tcPr>
            <w:tcW w:type="dxa" w:w="6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8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44.4%</w:t>
            </w:r>
          </w:p>
        </w:tc>
        <w:tc>
          <w:tcPr>
            <w:tcW w:type="dxa" w:w="68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0</w:t>
            </w:r>
          </w:p>
        </w:tc>
        <w:tc>
          <w:tcPr>
            <w:tcW w:type="dxa" w:w="80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bCs/>
                <w:i w:val="false"/>
                <w:iCs w:val="false"/>
                <w:color w:val="000000"/>
                <w:sz w:val="18"/>
                <w:szCs w:val="18"/>
              </w:rPr>
              <w:t xml:space="preserve">0.0%</w:t>
            </w:r>
          </w:p>
        </w:tc>
        <w:tc>
          <w:tcPr>
            <w:tcW w:type="dxa" w:w="720"/>
            <w:tcBorders>
              <w:top w:val="single" w:color="B0B0B0" w:sz="4"/>
              <w:left w:val="single" w:color="B0B0B0" w:sz="4"/>
              <w:bottom w:val="single" w:color="B0B0B0" w:sz="4"/>
              <w:right w:val="single" w:color="B0B0B0" w:sz="4"/>
            </w:tcBorders>
            <w:shd w:fill="EBF1F5"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i w:val="false"/>
                <w:iCs w:val="false"/>
                <w:color w:val="000000"/>
                <w:sz w:val="18"/>
                <w:szCs w:val="18"/>
              </w:rPr>
              <w:t xml:space="preserve">Eliminated</w:t>
            </w:r>
          </w:p>
        </w:tc>
      </w:tr>
    </w:tbl>
    <w:p>
      <w:pPr>
        <w:spacing w:after="120"/>
      </w:pPr>
      <w:r>
        <w:rPr>
          <w:rFonts w:ascii="Times New Roman" w:cs="Times New Roman" w:eastAsia="Times New Roman" w:hAnsi="Times New Roman"/>
          <w:color w:val="000000"/>
          <w:sz w:val="20"/>
          <w:szCs w:val="20"/>
        </w:rPr>
        <w:t xml:space="preserve"/>
      </w:r>
    </w:p>
    <w:p>
      <w:pPr>
        <w:spacing w:after="80" w:before="160"/>
      </w:pPr>
      <w:r>
        <w:rPr>
          <w:rFonts w:ascii="Times New Roman" w:cs="Times New Roman" w:eastAsia="Times New Roman" w:hAnsi="Times New Roman"/>
          <w:b/>
          <w:bCs/>
          <w:i/>
          <w:iCs/>
          <w:color w:val="000000"/>
          <w:sz w:val="20"/>
          <w:szCs w:val="20"/>
        </w:rPr>
        <w:t xml:space="preserve">C. Automated Quality Gatekeeper Validation</w:t>
      </w:r>
    </w:p>
    <w:p>
      <w:pPr>
        <w:spacing w:after="80" w:line="276"/>
        <w:ind w:firstLine="360"/>
        <w:jc w:val="both"/>
      </w:pPr>
      <w:r>
        <w:rPr>
          <w:rFonts w:ascii="Times New Roman" w:cs="Times New Roman" w:eastAsia="Times New Roman" w:hAnsi="Times New Roman"/>
          <w:color w:val="000000"/>
          <w:sz w:val="20"/>
          <w:szCs w:val="20"/>
        </w:rPr>
        <w:t xml:space="preserve">The four pytest assertions constituting the automated quality gatekeeper were applied to both the baseline and v4-derived test case sets. The baseline set correctly triggered a failure on the TNR threshold assertion (TNR = 0.491 &lt; 0.850), while all four assertions passed for the v4 set (TPR = 1.000, TNR = 0.882 ≥ 0.850, all buggy solutions caught at least once, and test case count ≥ 10). This bidirectional validation confirms the gatekeeper’s discriminative correctness and its suitability as a regression safeguard for future test case modifications.</w:t>
      </w:r>
    </w:p>
    <w:p>
      <w:pPr>
        <w:spacing w:after="120" w:before="240"/>
        <w:jc w:val="center"/>
      </w:pPr>
      <w:r>
        <w:rPr>
          <w:rFonts w:ascii="Times New Roman" w:cs="Times New Roman" w:eastAsia="Times New Roman" w:hAnsi="Times New Roman"/>
          <w:b/>
          <w:bCs/>
          <w:color w:val="000000"/>
          <w:sz w:val="20"/>
          <w:szCs w:val="20"/>
        </w:rPr>
        <w:t xml:space="preserve">VI. AI-ASSISTED HINT SYSTEM</w:t>
      </w:r>
    </w:p>
    <w:p>
      <w:pPr>
        <w:spacing w:after="80" w:before="160"/>
      </w:pPr>
      <w:r>
        <w:rPr>
          <w:rFonts w:ascii="Times New Roman" w:cs="Times New Roman" w:eastAsia="Times New Roman" w:hAnsi="Times New Roman"/>
          <w:b/>
          <w:bCs/>
          <w:i/>
          <w:iCs/>
          <w:color w:val="000000"/>
          <w:sz w:val="20"/>
          <w:szCs w:val="20"/>
        </w:rPr>
        <w:t xml:space="preserve">A. Error Type Classification</w:t>
      </w:r>
    </w:p>
    <w:p>
      <w:pPr>
        <w:spacing w:after="80" w:line="276"/>
        <w:ind w:firstLine="360"/>
        <w:jc w:val="both"/>
      </w:pPr>
      <w:r>
        <w:rPr>
          <w:rFonts w:ascii="Times New Roman" w:cs="Times New Roman" w:eastAsia="Times New Roman" w:hAnsi="Times New Roman"/>
          <w:color w:val="000000"/>
          <w:sz w:val="20"/>
          <w:szCs w:val="20"/>
        </w:rPr>
        <w:t xml:space="preserve">The executor module classifies each execution result into one of four error_type categories: syntax_error (intercepted by a pre-execution compile() check), runtime_error (non-zero return code accompanied by a traceback), no_return (actual output equals None), and wrong_answer (None error_type; execution completed but output does not match the expected value). This four-way classification drives prompt branch selection in the AI module and determines the format of the returned feedback.</w:t>
      </w:r>
    </w:p>
    <w:p>
      <w:pPr>
        <w:spacing w:after="80" w:before="160"/>
      </w:pPr>
      <w:r>
        <w:rPr>
          <w:rFonts w:ascii="Times New Roman" w:cs="Times New Roman" w:eastAsia="Times New Roman" w:hAnsi="Times New Roman"/>
          <w:b/>
          <w:bCs/>
          <w:i/>
          <w:iCs/>
          <w:color w:val="000000"/>
          <w:sz w:val="20"/>
          <w:szCs w:val="20"/>
        </w:rPr>
        <w:t xml:space="preserve">B. Multi-Branch Prompt Architecture</w:t>
      </w:r>
    </w:p>
    <w:p>
      <w:pPr>
        <w:spacing w:after="80" w:line="276"/>
        <w:ind w:firstLine="360"/>
        <w:jc w:val="both"/>
      </w:pPr>
      <w:r>
        <w:rPr>
          <w:rFonts w:ascii="Times New Roman" w:cs="Times New Roman" w:eastAsia="Times New Roman" w:hAnsi="Times New Roman"/>
          <w:color w:val="000000"/>
          <w:sz w:val="20"/>
          <w:szCs w:val="20"/>
        </w:rPr>
        <w:t xml:space="preserve">For syntax_error and runtime_error, the student’s complete code and the Python error message (stderr) are transmitted to the LLM; the model is instructed to explain the error and guide correction within 150 words without revealing the corrected code. For no_return, only the code is transmitted and the model is constrained to 100 words. For wrong_answer, up to five failing test cases—each comprising the input string, expected output, and actual output—are transmitted alongside the complete code; the LLM generates a three-option diagnostic menu in JSON format, with each option phrased in the first-person student voice (“I …”) to facilitate metacognitive self-assessment.</w:t>
      </w:r>
    </w:p>
    <w:p>
      <w:pPr>
        <w:spacing w:after="80" w:before="160"/>
      </w:pPr>
      <w:r>
        <w:rPr>
          <w:rFonts w:ascii="Times New Roman" w:cs="Times New Roman" w:eastAsia="Times New Roman" w:hAnsi="Times New Roman"/>
          <w:b/>
          <w:bCs/>
          <w:i/>
          <w:iCs/>
          <w:color w:val="000000"/>
          <w:sz w:val="20"/>
          <w:szCs w:val="20"/>
        </w:rPr>
        <w:t xml:space="preserve">C. Interactive Diagnostic Flow</w:t>
      </w:r>
    </w:p>
    <w:p>
      <w:pPr>
        <w:spacing w:after="80" w:line="276"/>
        <w:ind w:firstLine="360"/>
        <w:jc w:val="both"/>
      </w:pPr>
      <w:r>
        <w:rPr>
          <w:rFonts w:ascii="Times New Roman" w:cs="Times New Roman" w:eastAsia="Times New Roman" w:hAnsi="Times New Roman"/>
          <w:color w:val="000000"/>
          <w:sz w:val="20"/>
          <w:szCs w:val="20"/>
        </w:rPr>
        <w:t xml:space="preserve">Upon receiving the diagnostic menu, the student selects one option purportedly describing the root cause of their error. The selected text is transmitted to POST /hint along with the original code and failing test cases. The LLM evaluates whether the selection aligns with the actual code error. A correct selection triggers a guided hint of up to 150 words; an incorrect selection triggers a concise explanation accompanied by two revised, more precisely targeted options for a subsequent diagnostic round. The attempt counter increments with each round, modulating hint specificity from directional (round 1) to more concrete (round 2+).</w:t>
      </w:r>
    </w:p>
    <w:p>
      <w:pPr>
        <w:spacing w:after="80" w:before="160"/>
      </w:pPr>
      <w:r>
        <w:rPr>
          <w:rFonts w:ascii="Times New Roman" w:cs="Times New Roman" w:eastAsia="Times New Roman" w:hAnsi="Times New Roman"/>
          <w:b/>
          <w:bCs/>
          <w:i/>
          <w:iCs/>
          <w:color w:val="000000"/>
          <w:sz w:val="20"/>
          <w:szCs w:val="20"/>
        </w:rPr>
        <w:t xml:space="preserve">D. Input Truncation and JSON Fault Tolerance</w:t>
      </w:r>
    </w:p>
    <w:p>
      <w:pPr>
        <w:spacing w:after="80" w:line="276"/>
        <w:ind w:firstLine="360"/>
        <w:jc w:val="both"/>
      </w:pPr>
      <w:r>
        <w:rPr>
          <w:rFonts w:ascii="Times New Roman" w:cs="Times New Roman" w:eastAsia="Times New Roman" w:hAnsi="Times New Roman"/>
          <w:color w:val="000000"/>
          <w:sz w:val="20"/>
          <w:szCs w:val="20"/>
        </w:rPr>
        <w:t xml:space="preserve">Stress-test inputs (e.g., “a” × 50,000) are truncated to 50 characters via a _truncate() helper function to prevent API token limit violations. JSON responses from the LLM are extracted through a three-tier fault-tolerant pipeline: direct json.loads(), markdown code-block extraction via regular expression, and bare JSON object extraction, applied in order of precedence.</w:t>
      </w:r>
    </w:p>
    <w:p>
      <w:pPr>
        <w:spacing w:after="120" w:before="240"/>
        <w:jc w:val="center"/>
      </w:pPr>
      <w:r>
        <w:rPr>
          <w:rFonts w:ascii="Times New Roman" w:cs="Times New Roman" w:eastAsia="Times New Roman" w:hAnsi="Times New Roman"/>
          <w:b/>
          <w:bCs/>
          <w:color w:val="000000"/>
          <w:sz w:val="20"/>
          <w:szCs w:val="20"/>
        </w:rPr>
        <w:t xml:space="preserve">VII. DISCUSSION</w:t>
      </w:r>
    </w:p>
    <w:p>
      <w:pPr>
        <w:spacing w:after="80" w:before="160"/>
      </w:pPr>
      <w:r>
        <w:rPr>
          <w:rFonts w:ascii="Times New Roman" w:cs="Times New Roman" w:eastAsia="Times New Roman" w:hAnsi="Times New Roman"/>
          <w:b/>
          <w:bCs/>
          <w:i/>
          <w:iCs/>
          <w:color w:val="000000"/>
          <w:sz w:val="20"/>
          <w:szCs w:val="20"/>
        </w:rPr>
        <w:t xml:space="preserve">A. Design Insights of combo_kill</w:t>
      </w:r>
    </w:p>
    <w:p>
      <w:pPr>
        <w:spacing w:after="80" w:line="276"/>
        <w:ind w:firstLine="360"/>
        <w:jc w:val="both"/>
      </w:pPr>
      <w:r>
        <w:rPr>
          <w:rFonts w:ascii="Times New Roman" w:cs="Times New Roman" w:eastAsia="Times New Roman" w:hAnsi="Times New Roman"/>
          <w:color w:val="000000"/>
          <w:sz w:val="20"/>
          <w:szCs w:val="20"/>
        </w:rPr>
        <w:t xml:space="preserve">The TNR plateau observed in v3 reveals a fundamental limitation of single-target test case design: structurally homogeneous test cases, while individually effective against their targeted bug, dilute discriminative coverage for other bug categories when aggregated in large proportions. The combo_kill paradigm shifts the design philosophy from “one test case per bug” to “one test case against multiple bugs,” achieving higher discriminative density per unit of test case count. This principle exhibits conceptual alignment with the notion of strongly killing tests in mutation testing [6], wherein a single test is required to unambiguously distinguish all targeted mutant programs from the original.</w:t>
      </w:r>
    </w:p>
    <w:p>
      <w:pPr>
        <w:spacing w:after="80" w:before="160"/>
      </w:pPr>
      <w:r>
        <w:rPr>
          <w:rFonts w:ascii="Times New Roman" w:cs="Times New Roman" w:eastAsia="Times New Roman" w:hAnsi="Times New Roman"/>
          <w:b/>
          <w:bCs/>
          <w:i/>
          <w:iCs/>
          <w:color w:val="000000"/>
          <w:sz w:val="20"/>
          <w:szCs w:val="20"/>
        </w:rPr>
        <w:t xml:space="preserve">B. Preserving TPR: Automated Expected Value Derivation</w:t>
      </w:r>
    </w:p>
    <w:p>
      <w:pPr>
        <w:spacing w:after="80" w:line="276"/>
        <w:ind w:firstLine="360"/>
        <w:jc w:val="both"/>
      </w:pPr>
      <w:r>
        <w:rPr>
          <w:rFonts w:ascii="Times New Roman" w:cs="Times New Roman" w:eastAsia="Times New Roman" w:hAnsi="Times New Roman"/>
          <w:color w:val="000000"/>
          <w:sz w:val="20"/>
          <w:szCs w:val="20"/>
        </w:rPr>
        <w:t xml:space="preserve">A critical design decision that safeguards TPR throughout all iterations is the automated computation of expected output values using the reference solution (sliding_window.py), rather than manual assignment. This approach eliminates the risk of human transcription errors introducing incorrect expected values—a failure mode that would cause correct student solutions to be erroneously rejected. Provided the reference solution is independently verified correct, TPR is guaranteed to remain at 1.000 irrespective of the input string design in any given iteration.</w:t>
      </w:r>
    </w:p>
    <w:p>
      <w:pPr>
        <w:spacing w:after="80" w:before="160"/>
      </w:pPr>
      <w:r>
        <w:rPr>
          <w:rFonts w:ascii="Times New Roman" w:cs="Times New Roman" w:eastAsia="Times New Roman" w:hAnsi="Times New Roman"/>
          <w:b/>
          <w:bCs/>
          <w:i/>
          <w:iCs/>
          <w:color w:val="000000"/>
          <w:sz w:val="20"/>
          <w:szCs w:val="20"/>
        </w:rPr>
        <w:t xml:space="preserve">C. Human-Driven vs. Automated Iteration</w:t>
      </w:r>
    </w:p>
    <w:p>
      <w:pPr>
        <w:spacing w:after="80" w:line="276"/>
        <w:ind w:firstLine="360"/>
        <w:jc w:val="both"/>
      </w:pPr>
      <w:r>
        <w:rPr>
          <w:rFonts w:ascii="Times New Roman" w:cs="Times New Roman" w:eastAsia="Times New Roman" w:hAnsi="Times New Roman"/>
          <w:color w:val="000000"/>
          <w:sz w:val="20"/>
          <w:szCs w:val="20"/>
        </w:rPr>
        <w:t xml:space="preserve">The iterative refinement conducted herein is human-driven rather than LLM-automated, in contrast to the approach proposed in [1]. This design choice affords three advantages: each modification is traceable to an explicit analytical rationale; no LLM API dependency is introduced during the refinement process; and the iterative decisions themselves constitute documented experimental observations directly citable in academic reporting. The primary limitation is reduced iteration throughput. It is conjectured that an LLM-automated search-and-replace generator modification pipeline, as envisioned in [1], would have identified the combo_kill strategy at an earlier iteration.</w:t>
      </w:r>
    </w:p>
    <w:p>
      <w:pPr>
        <w:spacing w:after="80" w:before="160"/>
      </w:pPr>
      <w:r>
        <w:rPr>
          <w:rFonts w:ascii="Times New Roman" w:cs="Times New Roman" w:eastAsia="Times New Roman" w:hAnsi="Times New Roman"/>
          <w:b/>
          <w:bCs/>
          <w:i/>
          <w:iCs/>
          <w:color w:val="000000"/>
          <w:sz w:val="20"/>
          <w:szCs w:val="20"/>
        </w:rPr>
        <w:t xml:space="preserve">D. Generalizability Constraints</w:t>
      </w:r>
    </w:p>
    <w:p>
      <w:pPr>
        <w:spacing w:after="80" w:line="276"/>
        <w:ind w:firstLine="360"/>
        <w:jc w:val="both"/>
      </w:pPr>
      <w:r>
        <w:rPr>
          <w:rFonts w:ascii="Times New Roman" w:cs="Times New Roman" w:eastAsia="Times New Roman" w:hAnsi="Times New Roman"/>
          <w:color w:val="000000"/>
          <w:sz w:val="20"/>
          <w:szCs w:val="20"/>
        </w:rPr>
        <w:t xml:space="preserve">The S⁻ pool encompasses six bug patterns empirically observed in student submissions for this specific problem. The actual diversity of student bugs is substantially broader. The proposed methodology accommodates extensibility through an open S⁻ pool design: newly identified bug patterns may be added to the solutions_wrong/ directory, whereupon the automated quality gatekeeper immediately detects any failure to intercept the new pattern and initiates a new iteration cycle.</w:t>
      </w:r>
    </w:p>
    <w:p>
      <w:pPr>
        <w:spacing w:after="120" w:before="240"/>
        <w:jc w:val="center"/>
      </w:pPr>
      <w:r>
        <w:rPr>
          <w:rFonts w:ascii="Times New Roman" w:cs="Times New Roman" w:eastAsia="Times New Roman" w:hAnsi="Times New Roman"/>
          <w:b/>
          <w:bCs/>
          <w:color w:val="000000"/>
          <w:sz w:val="20"/>
          <w:szCs w:val="20"/>
        </w:rPr>
        <w:t xml:space="preserve">VIII. CONCLUSION</w:t>
      </w:r>
    </w:p>
    <w:p>
      <w:pPr>
        <w:spacing w:after="80" w:line="276"/>
        <w:ind w:firstLine="360"/>
        <w:jc w:val="both"/>
      </w:pPr>
      <w:r>
        <w:rPr>
          <w:rFonts w:ascii="Times New Roman" w:cs="Times New Roman" w:eastAsia="Times New Roman" w:hAnsi="Times New Roman"/>
          <w:color w:val="000000"/>
          <w:sz w:val="20"/>
          <w:szCs w:val="20"/>
        </w:rPr>
        <w:t xml:space="preserve">This paper has presented a Python programming education platform in which a feedback-driven iterative test case generation methodology constitutes the central technical contribution. The proposed approach elevates TNR from 0.491 to 0.882 (+79.8% relative improvement) while sustaining TPR = 1.000 across all iterative rounds. The combo_kill generation mode is identified as the pivotal innovation, contributing +13.2 percentage points of TNR improvement in a single iteration through multi-target string design. Quantitative metrics supplant engineering intuition as the basis for test case selection, and an automated quality gatekeeper ensures long-term discriminative integrity. The integrated LLM hint system delivers adaptive, non-solution-revealing guidance stratified by error type, consistent with constructivist learning principles [4].</w:t>
      </w:r>
    </w:p>
    <w:p>
      <w:pPr>
        <w:spacing w:after="80" w:line="276"/>
        <w:ind w:firstLine="360"/>
        <w:jc w:val="both"/>
      </w:pPr>
      <w:r>
        <w:rPr>
          <w:rFonts w:ascii="Times New Roman" w:cs="Times New Roman" w:eastAsia="Times New Roman" w:hAnsi="Times New Roman"/>
          <w:color w:val="000000"/>
          <w:sz w:val="20"/>
          <w:szCs w:val="20"/>
        </w:rPr>
        <w:t xml:space="preserve">Future directions include: extension of the S⁻ pool to encompass a broader range of empirically observed student bug patterns; investigation of LLM-automated iterative refinement as proposed in [1]; and generalization of the methodology to multi-problem platforms with heterogeneous algorithm categories.</w:t>
      </w:r>
    </w:p>
    <w:p>
      <w:pPr>
        <w:spacing w:after="120" w:before="240"/>
        <w:jc w:val="center"/>
      </w:pPr>
      <w:r>
        <w:rPr>
          <w:rFonts w:ascii="Times New Roman" w:cs="Times New Roman" w:eastAsia="Times New Roman" w:hAnsi="Times New Roman"/>
          <w:b/>
          <w:bCs/>
          <w:color w:val="000000"/>
          <w:sz w:val="20"/>
          <w:szCs w:val="20"/>
        </w:rPr>
        <w:t xml:space="preserve">REFERENCES</w:t>
      </w:r>
    </w:p>
    <w:p>
      <w:pPr>
        <w:spacing w:after="80"/>
        <w:ind w:left="360" w:hanging="360"/>
        <w:jc w:val="both"/>
      </w:pPr>
      <w:r>
        <w:rPr>
          <w:rFonts w:ascii="Times New Roman" w:cs="Times New Roman" w:eastAsia="Times New Roman" w:hAnsi="Times New Roman"/>
          <w:color w:val="000000"/>
          <w:sz w:val="18"/>
          <w:szCs w:val="18"/>
        </w:rPr>
        <w:t xml:space="preserve">[1]	J. Shi, X. Chen, et al., “CodeContests-O: Powering LLMs via Feedback-Driven Iterative Test Case Generation,” arXiv preprint, 2024.</w:t>
      </w:r>
    </w:p>
    <w:p>
      <w:pPr>
        <w:spacing w:after="80"/>
        <w:ind w:left="360" w:hanging="360"/>
        <w:jc w:val="both"/>
      </w:pPr>
      <w:r>
        <w:rPr>
          <w:rFonts w:ascii="Times New Roman" w:cs="Times New Roman" w:eastAsia="Times New Roman" w:hAnsi="Times New Roman"/>
          <w:color w:val="000000"/>
          <w:sz w:val="18"/>
          <w:szCs w:val="18"/>
        </w:rPr>
        <w:t xml:space="preserve">[2]	K. Claessen and J. Hughes, “QuickCheck: A Lightweight Tool for Random Testing of Haskell Programs,” ACM SIGPLAN Notices, vol. 35, no. 9, pp. 268–279, 2000.</w:t>
      </w:r>
    </w:p>
    <w:p>
      <w:pPr>
        <w:spacing w:after="80"/>
        <w:ind w:left="360" w:hanging="360"/>
        <w:jc w:val="both"/>
      </w:pPr>
      <w:r>
        <w:rPr>
          <w:rFonts w:ascii="Times New Roman" w:cs="Times New Roman" w:eastAsia="Times New Roman" w:hAnsi="Times New Roman"/>
          <w:color w:val="000000"/>
          <w:sz w:val="18"/>
          <w:szCs w:val="18"/>
        </w:rPr>
        <w:t xml:space="preserve">[3]	P. Ihantola, T. Ahoniemi, V. Karavirta, and O. Seppälä, “Review of Recent Systems for Automatic Assessment of Programming Assignments,” in Proc. 10th Koli Calling Int. Conf. on Computing Education Research, 2010, pp. 86–93.</w:t>
      </w:r>
    </w:p>
    <w:p>
      <w:pPr>
        <w:spacing w:after="80"/>
        <w:ind w:left="360" w:hanging="360"/>
        <w:jc w:val="both"/>
      </w:pPr>
      <w:r>
        <w:rPr>
          <w:rFonts w:ascii="Times New Roman" w:cs="Times New Roman" w:eastAsia="Times New Roman" w:hAnsi="Times New Roman"/>
          <w:color w:val="000000"/>
          <w:sz w:val="18"/>
          <w:szCs w:val="18"/>
        </w:rPr>
        <w:t xml:space="preserve">[4]	T. Crow, A. Luxton-Reilly, and B. Wünsche, “Intelligent Tutoring Systems for Programming Education: A Systematic Review,” in Proc. ACM Conf. on Innovation and Technology in Computer Science Education, 2018, pp. 53–58.</w:t>
      </w:r>
    </w:p>
    <w:p>
      <w:pPr>
        <w:spacing w:after="80"/>
        <w:ind w:left="360" w:hanging="360"/>
        <w:jc w:val="both"/>
      </w:pPr>
      <w:r>
        <w:rPr>
          <w:rFonts w:ascii="Times New Roman" w:cs="Times New Roman" w:eastAsia="Times New Roman" w:hAnsi="Times New Roman"/>
          <w:color w:val="000000"/>
          <w:sz w:val="18"/>
          <w:szCs w:val="18"/>
        </w:rPr>
        <w:t xml:space="preserve">[5]	T. Phung, V. J. Podolskiy, et al., “Generative AI for Programming Education: Benchmarking ChatGPT, GPT-4, and Human Tutors,” Int. J. of Management Information Systems, 2023.</w:t>
      </w:r>
    </w:p>
    <w:p>
      <w:pPr>
        <w:spacing w:after="80"/>
        <w:ind w:left="360" w:hanging="360"/>
        <w:jc w:val="both"/>
      </w:pPr>
      <w:r>
        <w:rPr>
          <w:rFonts w:ascii="Times New Roman" w:cs="Times New Roman" w:eastAsia="Times New Roman" w:hAnsi="Times New Roman"/>
          <w:color w:val="000000"/>
          <w:sz w:val="18"/>
          <w:szCs w:val="18"/>
        </w:rPr>
        <w:t xml:space="preserve">[6]	R. A. DeMillo, R. J. Lipton, and F. G. Sayward, “Hints on Test Data Selection: Help for the Practicing Programmer,” Computer, vol. 11, no. 4, pp. 34–41, 1978.</w:t>
      </w:r>
    </w:p>
    <w:p>
      <w:pPr>
        <w:spacing w:after="80"/>
        <w:ind w:left="360" w:hanging="360"/>
        <w:jc w:val="both"/>
      </w:pPr>
      <w:r>
        <w:rPr>
          <w:rFonts w:ascii="Times New Roman" w:cs="Times New Roman" w:eastAsia="Times New Roman" w:hAnsi="Times New Roman"/>
          <w:color w:val="000000"/>
          <w:sz w:val="18"/>
          <w:szCs w:val="18"/>
        </w:rPr>
        <w:t xml:space="preserve">[7]	M. Chen et al., “Evaluating Large Language Models Trained on Code,” arXiv preprint arXiv:2107.03374, 2021.</w:t>
      </w:r>
    </w:p>
    <w:p>
      <w:pPr>
        <w:spacing w:after="80"/>
        <w:ind w:left="360" w:hanging="360"/>
        <w:jc w:val="both"/>
      </w:pPr>
      <w:r>
        <w:rPr>
          <w:rFonts w:ascii="Times New Roman" w:cs="Times New Roman" w:eastAsia="Times New Roman" w:hAnsi="Times New Roman"/>
          <w:color w:val="000000"/>
          <w:sz w:val="18"/>
          <w:szCs w:val="18"/>
        </w:rPr>
        <w:t xml:space="preserve">[8]	A. Vaswani et al., “Attention Is All You Need,” in Advances in Neural Information Processing Systems (NeurIPS), 2017, pp. 5998–6008.</w:t>
      </w:r>
    </w:p>
    <w:p>
      <w:pPr>
        <w:spacing w:after="120" w:before="240"/>
        <w:jc w:val="center"/>
      </w:pPr>
      <w:r>
        <w:rPr>
          <w:rFonts w:ascii="Times New Roman" w:cs="Times New Roman" w:eastAsia="Times New Roman" w:hAnsi="Times New Roman"/>
          <w:b/>
          <w:bCs/>
          <w:color w:val="000000"/>
          <w:sz w:val="20"/>
          <w:szCs w:val="20"/>
        </w:rPr>
        <w:t xml:space="preserve">APPENDIX A: GENERATION MODE TECHNICAL DETAILS</w:t>
      </w:r>
    </w:p>
    <w:p>
      <w:pPr>
        <w:spacing w:after="80" w:before="160"/>
      </w:pPr>
      <w:r>
        <w:rPr>
          <w:rFonts w:ascii="Times New Roman" w:cs="Times New Roman" w:eastAsia="Times New Roman" w:hAnsi="Times New Roman"/>
          <w:b/>
          <w:bCs/>
          <w:i/>
          <w:iCs/>
          <w:color w:val="000000"/>
          <w:sz w:val="20"/>
          <w:szCs w:val="20"/>
        </w:rPr>
        <w:t xml:space="preserve">A. carry_kill Mode</w:t>
      </w:r>
    </w:p>
    <w:p>
      <w:pPr>
        <w:spacing w:after="80" w:line="276"/>
        <w:ind w:firstLine="360"/>
        <w:jc w:val="both"/>
      </w:pPr>
      <w:r>
        <w:rPr>
          <w:rFonts w:ascii="Times New Roman" w:cs="Times New Roman" w:eastAsia="Times New Roman" w:hAnsi="Times New Roman"/>
          <w:color w:val="000000"/>
          <w:sz w:val="20"/>
          <w:szCs w:val="20"/>
        </w:rPr>
        <w:t xml:space="preserve">The carry_kill mode is designed to target the no_reset_left bug pattern. In no_reset_left, upon detecting a repeated character, the left pointer is set to the current right pointer position rather than to the position immediately following the previous occurrence of the repeated character in the hash map. The XYXZ input structure exploits this error: for the string gogn, upon encountering the second occurrence of ‘g’ at index 2, a correct implementation advances left to index 1 (past the first ‘g’), whereas no_reset_left incorrectly sets left to 2, yielding a window length of 1 rather than the correct value of 3.</w:t>
      </w:r>
    </w:p>
    <w:p>
      <w:pPr>
        <w:spacing w:after="80" w:before="160"/>
      </w:pPr>
      <w:r>
        <w:rPr>
          <w:rFonts w:ascii="Times New Roman" w:cs="Times New Roman" w:eastAsia="Times New Roman" w:hAnsi="Times New Roman"/>
          <w:b/>
          <w:bCs/>
          <w:i/>
          <w:iCs/>
          <w:color w:val="000000"/>
          <w:sz w:val="20"/>
          <w:szCs w:val="20"/>
        </w:rPr>
        <w:t xml:space="preserve">B. combo_kill Mode</w:t>
      </w:r>
    </w:p>
    <w:p>
      <w:pPr>
        <w:spacing w:after="80" w:line="276"/>
        <w:ind w:firstLine="360"/>
        <w:jc w:val="both"/>
      </w:pPr>
      <w:r>
        <w:rPr>
          <w:rFonts w:ascii="Times New Roman" w:cs="Times New Roman" w:eastAsia="Times New Roman" w:hAnsi="Times New Roman"/>
          <w:color w:val="000000"/>
          <w:sz w:val="20"/>
          <w:szCs w:val="20"/>
        </w:rPr>
        <w:t xml:space="preserve">The combo_kill mode constructs strings with three structurally distinct sub-regions. Taking mmiictscxgyvo (expected: 8) as a representative instance: the prefix mmiicc constitutes a doubled segment, ensuring that the count of unique characters equals the expected answer divided by two, thereby inducing count_unique to return an incorrect value; the middle segment tscx embeds a carry-kill pattern targeting no_reset_left; and the suffix gyvo comprises four distinct characters, ensuring that the expected answer equals the suffix length, which is greater than the prefix unique-character count but less than the total string length, simultaneously targeting inner_return and always_len. It is this multi-target structural embedding that enables each combo_kill instance to achieve discriminative power of 6/6.</w:t>
      </w:r>
    </w:p>
    <w:sectPr>
      <w:footerReference w:type="default" r:id="rId7"/>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Authorized licensed use limited to university campus. © 2026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2026-05-27T05:56:42.005Z</dcterms:created>
  <dcterms:modified xsi:type="dcterms:W3CDTF">2026-05-27T05:56:42.007Z</dcterms:modified>
</cp:coreProperties>
</file>

<file path=docProps/custom.xml><?xml version="1.0" encoding="utf-8"?>
<Properties xmlns="http://schemas.openxmlformats.org/officeDocument/2006/custom-properties" xmlns:vt="http://schemas.openxmlformats.org/officeDocument/2006/docPropsVTypes"/>
</file>