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2E41E">
      <w:pPr>
        <w:spacing w:before="0" w:after="80" w:line="264" w:lineRule="auto"/>
      </w:pPr>
      <w:r>
        <w:rPr>
          <w:rFonts w:ascii="STHeiti" w:hAnsi="STHeiti" w:eastAsia="STHeiti" w:cs="STHeiti"/>
          <w:b/>
          <w:color w:val="5C6978"/>
          <w:sz w:val="24"/>
        </w:rPr>
        <w:t>产品需求文档</w:t>
      </w:r>
    </w:p>
    <w:p w14:paraId="25EB1210">
      <w:pPr>
        <w:spacing w:before="0" w:after="120" w:line="264" w:lineRule="auto"/>
      </w:pPr>
      <w:r>
        <w:rPr>
          <w:rFonts w:ascii="STHeiti" w:hAnsi="STHeiti" w:eastAsia="STHeiti" w:cs="STHeiti"/>
          <w:b/>
          <w:color w:val="142337"/>
          <w:sz w:val="44"/>
        </w:rPr>
        <w:t>实时告警 - 第三方施工板块设计 PRD</w:t>
      </w:r>
    </w:p>
    <w:p w14:paraId="7A6C8D02">
      <w:pPr>
        <w:spacing w:before="0" w:after="240" w:line="264" w:lineRule="auto"/>
      </w:pPr>
      <w:r>
        <w:rPr>
          <w:rFonts w:ascii="STHeiti" w:hAnsi="STHeiti" w:eastAsia="STHeiti" w:cs="STHeiti"/>
          <w:b w:val="0"/>
          <w:color w:val="5C6978"/>
          <w:sz w:val="22"/>
        </w:rPr>
        <w:t>适用系统：天然气全链条安全智管智能体；适用页面：实时告警 / 第三方施工。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4592DA8B">
        <w:trPr>
          <w:jc w:val="center"/>
        </w:trPr>
        <w:tc>
          <w:tcPr>
            <w:tcW w:w="2088" w:type="dxa"/>
            <w:shd w:val="clear" w:color="auto" w:fill="F2F4F7"/>
            <w:tcMar>
              <w:top w:w="100" w:type="dxa"/>
              <w:left w:w="120" w:type="dxa"/>
              <w:bottom w:w="100" w:type="dxa"/>
              <w:right w:w="120" w:type="dxa"/>
            </w:tcMar>
            <w:vAlign w:val="center"/>
          </w:tcPr>
          <w:p w14:paraId="5556C7A1">
            <w:pPr>
              <w:spacing w:after="0"/>
            </w:pPr>
            <w:r>
              <w:rPr>
                <w:rFonts w:ascii="STHeiti" w:hAnsi="STHeiti" w:eastAsia="STHeiti" w:cs="STHeiti"/>
                <w:b/>
                <w:color w:val="142337"/>
                <w:sz w:val="21"/>
              </w:rPr>
              <w:t>条目</w:t>
            </w:r>
          </w:p>
        </w:tc>
        <w:tc>
          <w:tcPr>
            <w:tcW w:w="7056" w:type="dxa"/>
            <w:shd w:val="clear" w:color="auto" w:fill="F2F4F7"/>
            <w:tcMar>
              <w:top w:w="100" w:type="dxa"/>
              <w:left w:w="120" w:type="dxa"/>
              <w:bottom w:w="100" w:type="dxa"/>
              <w:right w:w="120" w:type="dxa"/>
            </w:tcMar>
            <w:vAlign w:val="center"/>
          </w:tcPr>
          <w:p w14:paraId="1D08ED95">
            <w:pPr>
              <w:spacing w:after="0"/>
            </w:pPr>
            <w:r>
              <w:rPr>
                <w:rFonts w:ascii="STHeiti" w:hAnsi="STHeiti" w:eastAsia="STHeiti" w:cs="STHeiti"/>
                <w:b/>
                <w:color w:val="142337"/>
                <w:sz w:val="21"/>
              </w:rPr>
              <w:t>说明</w:t>
            </w:r>
          </w:p>
        </w:tc>
      </w:tr>
      <w:tr w14:paraId="15E9BB78">
        <w:trPr>
          <w:jc w:val="center"/>
        </w:trPr>
        <w:tc>
          <w:tcPr>
            <w:tcW w:w="2088" w:type="dxa"/>
            <w:tcMar>
              <w:top w:w="100" w:type="dxa"/>
              <w:left w:w="120" w:type="dxa"/>
              <w:bottom w:w="100" w:type="dxa"/>
              <w:right w:w="120" w:type="dxa"/>
            </w:tcMar>
            <w:vAlign w:val="center"/>
          </w:tcPr>
          <w:p w14:paraId="21D3DE74">
            <w:pPr>
              <w:spacing w:after="0" w:line="259" w:lineRule="auto"/>
            </w:pPr>
            <w:r>
              <w:rPr>
                <w:rFonts w:ascii="STHeiti" w:hAnsi="STHeiti" w:eastAsia="STHeiti" w:cs="STHeiti"/>
                <w:b w:val="0"/>
                <w:color w:val="142337"/>
                <w:sz w:val="20"/>
              </w:rPr>
              <w:t>文档目的</w:t>
            </w:r>
          </w:p>
        </w:tc>
        <w:tc>
          <w:tcPr>
            <w:tcW w:w="7056" w:type="dxa"/>
            <w:tcMar>
              <w:top w:w="100" w:type="dxa"/>
              <w:left w:w="120" w:type="dxa"/>
              <w:bottom w:w="100" w:type="dxa"/>
              <w:right w:w="120" w:type="dxa"/>
            </w:tcMar>
            <w:vAlign w:val="center"/>
          </w:tcPr>
          <w:p w14:paraId="0B3CA486">
            <w:pPr>
              <w:spacing w:after="0" w:line="259" w:lineRule="auto"/>
            </w:pPr>
            <w:r>
              <w:rPr>
                <w:rFonts w:ascii="STHeiti" w:hAnsi="STHeiti" w:eastAsia="STHeiti" w:cs="STHeiti"/>
                <w:b w:val="0"/>
                <w:color w:val="142337"/>
                <w:sz w:val="20"/>
              </w:rPr>
              <w:t>定义第三方施工视频预警板块的模块功能、交互逻辑、计算规则、排序规则、状态变化和风险识别 Prompt。</w:t>
            </w:r>
          </w:p>
        </w:tc>
      </w:tr>
      <w:tr w14:paraId="525C6575">
        <w:trPr>
          <w:jc w:val="center"/>
        </w:trPr>
        <w:tc>
          <w:tcPr>
            <w:tcW w:w="2088" w:type="dxa"/>
            <w:tcMar>
              <w:top w:w="100" w:type="dxa"/>
              <w:left w:w="120" w:type="dxa"/>
              <w:bottom w:w="100" w:type="dxa"/>
              <w:right w:w="120" w:type="dxa"/>
            </w:tcMar>
            <w:vAlign w:val="center"/>
          </w:tcPr>
          <w:p w14:paraId="11EE5514">
            <w:pPr>
              <w:spacing w:after="0" w:line="259" w:lineRule="auto"/>
            </w:pPr>
            <w:r>
              <w:rPr>
                <w:rFonts w:ascii="STHeiti" w:hAnsi="STHeiti" w:eastAsia="STHeiti" w:cs="STHeiti"/>
                <w:b w:val="0"/>
                <w:color w:val="142337"/>
                <w:sz w:val="20"/>
              </w:rPr>
              <w:t>核心用户</w:t>
            </w:r>
          </w:p>
        </w:tc>
        <w:tc>
          <w:tcPr>
            <w:tcW w:w="7056" w:type="dxa"/>
            <w:tcMar>
              <w:top w:w="100" w:type="dxa"/>
              <w:left w:w="120" w:type="dxa"/>
              <w:bottom w:w="100" w:type="dxa"/>
              <w:right w:w="120" w:type="dxa"/>
            </w:tcMar>
            <w:vAlign w:val="center"/>
          </w:tcPr>
          <w:p w14:paraId="0EA70D67">
            <w:pPr>
              <w:spacing w:after="0" w:line="259" w:lineRule="auto"/>
              <w:rPr>
                <w:rFonts w:hint="eastAsia" w:eastAsia="STHeiti"/>
                <w:lang w:val="en-US" w:eastAsia="zh-CN"/>
              </w:rPr>
            </w:pPr>
            <w:r>
              <w:rPr>
                <w:rFonts w:hint="eastAsia"/>
                <w:lang w:val="en-US" w:eastAsia="zh-CN"/>
              </w:rPr>
              <w:t>-</w:t>
            </w:r>
          </w:p>
        </w:tc>
      </w:tr>
      <w:tr w14:paraId="24D81C99">
        <w:trPr>
          <w:jc w:val="center"/>
        </w:trPr>
        <w:tc>
          <w:tcPr>
            <w:tcW w:w="2088" w:type="dxa"/>
            <w:tcMar>
              <w:top w:w="100" w:type="dxa"/>
              <w:left w:w="120" w:type="dxa"/>
              <w:bottom w:w="100" w:type="dxa"/>
              <w:right w:w="120" w:type="dxa"/>
            </w:tcMar>
            <w:vAlign w:val="center"/>
          </w:tcPr>
          <w:p w14:paraId="29400AA1">
            <w:pPr>
              <w:spacing w:after="0" w:line="259" w:lineRule="auto"/>
            </w:pPr>
            <w:r>
              <w:rPr>
                <w:rFonts w:ascii="STHeiti" w:hAnsi="STHeiti" w:eastAsia="STHeiti" w:cs="STHeiti"/>
                <w:b w:val="0"/>
                <w:color w:val="142337"/>
                <w:sz w:val="20"/>
              </w:rPr>
              <w:t>设计边界</w:t>
            </w:r>
          </w:p>
        </w:tc>
        <w:tc>
          <w:tcPr>
            <w:tcW w:w="7056" w:type="dxa"/>
            <w:tcMar>
              <w:top w:w="100" w:type="dxa"/>
              <w:left w:w="120" w:type="dxa"/>
              <w:bottom w:w="100" w:type="dxa"/>
              <w:right w:w="120" w:type="dxa"/>
            </w:tcMar>
            <w:vAlign w:val="center"/>
          </w:tcPr>
          <w:p w14:paraId="505C133E">
            <w:pPr>
              <w:spacing w:after="0" w:line="259" w:lineRule="auto"/>
            </w:pPr>
            <w:r>
              <w:rPr>
                <w:rFonts w:ascii="STHeiti" w:hAnsi="STHeiti" w:eastAsia="STHeiti" w:cs="STHeiti"/>
                <w:b w:val="0"/>
                <w:color w:val="142337"/>
                <w:sz w:val="20"/>
              </w:rPr>
              <w:t>仅覆盖实时告警页中的第三方施工板块，不调整企业用气、老人用气、其它风险类型页面设计。</w:t>
            </w:r>
          </w:p>
        </w:tc>
      </w:tr>
      <w:tr w14:paraId="115588F4">
        <w:trPr>
          <w:jc w:val="center"/>
        </w:trPr>
        <w:tc>
          <w:tcPr>
            <w:tcW w:w="2088" w:type="dxa"/>
            <w:tcMar>
              <w:top w:w="100" w:type="dxa"/>
              <w:left w:w="120" w:type="dxa"/>
              <w:bottom w:w="100" w:type="dxa"/>
              <w:right w:w="120" w:type="dxa"/>
            </w:tcMar>
            <w:vAlign w:val="center"/>
          </w:tcPr>
          <w:p w14:paraId="15C0A7C4">
            <w:pPr>
              <w:spacing w:after="0" w:line="259" w:lineRule="auto"/>
            </w:pPr>
            <w:r>
              <w:rPr>
                <w:rFonts w:ascii="STHeiti" w:hAnsi="STHeiti" w:eastAsia="STHeiti" w:cs="STHeiti"/>
                <w:b w:val="0"/>
                <w:color w:val="142337"/>
                <w:sz w:val="20"/>
              </w:rPr>
              <w:t>版本建议</w:t>
            </w:r>
          </w:p>
        </w:tc>
        <w:tc>
          <w:tcPr>
            <w:tcW w:w="7056" w:type="dxa"/>
            <w:tcMar>
              <w:top w:w="100" w:type="dxa"/>
              <w:left w:w="120" w:type="dxa"/>
              <w:bottom w:w="100" w:type="dxa"/>
              <w:right w:w="120" w:type="dxa"/>
            </w:tcMar>
            <w:vAlign w:val="center"/>
          </w:tcPr>
          <w:p w14:paraId="634E8705">
            <w:pPr>
              <w:spacing w:after="0" w:line="259" w:lineRule="auto"/>
            </w:pPr>
            <w:r>
              <w:rPr>
                <w:rFonts w:ascii="STHeiti" w:hAnsi="STHeiti" w:eastAsia="STHeiti" w:cs="STHeiti"/>
                <w:b w:val="0"/>
                <w:color w:val="142337"/>
                <w:sz w:val="20"/>
              </w:rPr>
              <w:t>V1.</w:t>
            </w:r>
            <w:r>
              <w:rPr>
                <w:rFonts w:hint="eastAsia" w:cs="STHeiti"/>
                <w:b w:val="0"/>
                <w:color w:val="142337"/>
                <w:sz w:val="20"/>
                <w:lang w:val="en-US" w:eastAsia="zh-CN"/>
              </w:rPr>
              <w:t>1</w:t>
            </w:r>
            <w:r>
              <w:rPr>
                <w:rFonts w:ascii="STHeiti" w:hAnsi="STHeiti" w:eastAsia="STHeiti" w:cs="STHeiti"/>
                <w:b w:val="0"/>
                <w:color w:val="142337"/>
                <w:sz w:val="20"/>
              </w:rPr>
              <w:t>，用于原型评审、算法联调、前端开发与验收。</w:t>
            </w:r>
          </w:p>
        </w:tc>
      </w:tr>
    </w:tbl>
    <w:p w14:paraId="04A4BADD">
      <w:pPr>
        <w:spacing w:after="40"/>
      </w:pPr>
    </w:p>
    <w:p w14:paraId="33E03D6C">
      <w:pPr>
        <w:pStyle w:val="3"/>
        <w:spacing w:before="320" w:after="160" w:line="264" w:lineRule="auto"/>
      </w:pPr>
      <w:r>
        <w:rPr>
          <w:rFonts w:ascii="STHeiti" w:hAnsi="STHeiti" w:eastAsia="STHeiti" w:cs="STHeiti"/>
          <w:b/>
          <w:color w:val="2E74B5"/>
          <w:sz w:val="32"/>
        </w:rPr>
        <w:t>1. 背景与目标</w:t>
      </w:r>
    </w:p>
    <w:p w14:paraId="3A39ABB7">
      <w:pPr>
        <w:spacing w:before="0" w:after="120" w:line="264" w:lineRule="auto"/>
      </w:pPr>
      <w:r>
        <w:rPr>
          <w:rFonts w:ascii="STHeiti" w:hAnsi="STHeiti" w:eastAsia="STHeiti" w:cs="STHeiti"/>
          <w:b w:val="0"/>
          <w:color w:val="142337"/>
          <w:sz w:val="22"/>
        </w:rPr>
        <w:t>第三方施工风险主要来自人员、工程运输车、挖掘机等外部对象进入视频监控画面后，对燃气管道及周边安全形成潜在威胁。板块目标是将视频抽帧识别、风险分级、实时告警、人工确认和治理中心处置闭环整合到一个可扫描、可筛选、可追踪的实时页面中。</w:t>
      </w:r>
    </w:p>
    <w:p w14:paraId="1E9C0E54">
      <w:pPr>
        <w:pStyle w:val="16"/>
        <w:spacing w:after="80" w:line="276" w:lineRule="auto"/>
      </w:pPr>
      <w:r>
        <w:rPr>
          <w:rFonts w:ascii="STHeiti" w:hAnsi="STHeiti" w:eastAsia="STHeiti" w:cs="STHeiti"/>
          <w:b w:val="0"/>
          <w:color w:val="142337"/>
          <w:sz w:val="22"/>
        </w:rPr>
        <w:t>帮助调度员快速识别不同风险等级的视频预警数量、处置状态和优先级。</w:t>
      </w:r>
    </w:p>
    <w:p w14:paraId="6614F88B">
      <w:pPr>
        <w:pStyle w:val="16"/>
        <w:spacing w:after="80" w:line="276" w:lineRule="auto"/>
      </w:pPr>
      <w:r>
        <w:rPr>
          <w:rFonts w:ascii="STHeiti" w:hAnsi="STHeiti" w:eastAsia="STHeiti" w:cs="STHeiti"/>
          <w:b w:val="0"/>
          <w:color w:val="142337"/>
          <w:sz w:val="22"/>
        </w:rPr>
        <w:t>支持按风险状态、处置状态筛选施工视频预警，并联动下方智能研判结果。</w:t>
      </w:r>
    </w:p>
    <w:p w14:paraId="038818B9">
      <w:pPr>
        <w:pStyle w:val="16"/>
        <w:spacing w:after="80" w:line="276" w:lineRule="auto"/>
      </w:pPr>
      <w:r>
        <w:rPr>
          <w:rFonts w:ascii="STHeiti" w:hAnsi="STHeiti" w:eastAsia="STHeiti" w:cs="STHeiti"/>
          <w:b w:val="0"/>
          <w:color w:val="142337"/>
          <w:sz w:val="22"/>
        </w:rPr>
        <w:t>将低风险、中风险、高风险的算法识别规则显性化，便于算法、业务与前端统一口径。</w:t>
      </w:r>
    </w:p>
    <w:p w14:paraId="604C4270">
      <w:pPr>
        <w:pStyle w:val="16"/>
        <w:spacing w:after="80" w:line="276" w:lineRule="auto"/>
      </w:pPr>
      <w:r>
        <w:rPr>
          <w:rFonts w:ascii="STHeiti" w:hAnsi="STHeiti" w:eastAsia="STHeiti" w:cs="STHeiti"/>
          <w:b w:val="0"/>
          <w:color w:val="142337"/>
          <w:sz w:val="22"/>
        </w:rPr>
        <w:t>保留可扩展字段：业务系统确认结果、事件单编号、治理中心、处置反馈、模型研判描述。</w:t>
      </w:r>
    </w:p>
    <w:p w14:paraId="440265A5">
      <w:pPr>
        <w:pStyle w:val="3"/>
        <w:spacing w:before="320" w:after="160" w:line="264" w:lineRule="auto"/>
      </w:pPr>
      <w:r>
        <w:rPr>
          <w:rFonts w:ascii="STHeiti" w:hAnsi="STHeiti" w:eastAsia="STHeiti" w:cs="STHeiti"/>
          <w:b/>
          <w:color w:val="2E74B5"/>
          <w:sz w:val="32"/>
        </w:rPr>
        <w:t>2. 页面信息架构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19819F94">
        <w:trPr>
          <w:jc w:val="center"/>
        </w:trPr>
        <w:tc>
          <w:tcPr>
            <w:tcW w:w="2016" w:type="dxa"/>
            <w:shd w:val="clear" w:color="auto" w:fill="F2F4F7"/>
            <w:tcMar>
              <w:top w:w="100" w:type="dxa"/>
              <w:left w:w="120" w:type="dxa"/>
              <w:bottom w:w="100" w:type="dxa"/>
              <w:right w:w="120" w:type="dxa"/>
            </w:tcMar>
            <w:vAlign w:val="center"/>
          </w:tcPr>
          <w:p w14:paraId="094FCC4A">
            <w:pPr>
              <w:spacing w:after="0"/>
            </w:pPr>
            <w:r>
              <w:rPr>
                <w:rFonts w:ascii="STHeiti" w:hAnsi="STHeiti" w:eastAsia="STHeiti" w:cs="STHeiti"/>
                <w:b/>
                <w:color w:val="142337"/>
                <w:sz w:val="21"/>
              </w:rPr>
              <w:t>模块</w:t>
            </w:r>
          </w:p>
        </w:tc>
        <w:tc>
          <w:tcPr>
            <w:tcW w:w="3816" w:type="dxa"/>
            <w:shd w:val="clear" w:color="auto" w:fill="F2F4F7"/>
            <w:tcMar>
              <w:top w:w="100" w:type="dxa"/>
              <w:left w:w="120" w:type="dxa"/>
              <w:bottom w:w="100" w:type="dxa"/>
              <w:right w:w="120" w:type="dxa"/>
            </w:tcMar>
            <w:vAlign w:val="center"/>
          </w:tcPr>
          <w:p w14:paraId="7A07E664">
            <w:pPr>
              <w:spacing w:after="0"/>
            </w:pPr>
            <w:r>
              <w:rPr>
                <w:rFonts w:ascii="STHeiti" w:hAnsi="STHeiti" w:eastAsia="STHeiti" w:cs="STHeiti"/>
                <w:b/>
                <w:color w:val="142337"/>
                <w:sz w:val="21"/>
              </w:rPr>
              <w:t>功能说明</w:t>
            </w:r>
          </w:p>
        </w:tc>
        <w:tc>
          <w:tcPr>
            <w:tcW w:w="3312" w:type="dxa"/>
            <w:shd w:val="clear" w:color="auto" w:fill="F2F4F7"/>
            <w:tcMar>
              <w:top w:w="100" w:type="dxa"/>
              <w:left w:w="120" w:type="dxa"/>
              <w:bottom w:w="100" w:type="dxa"/>
              <w:right w:w="120" w:type="dxa"/>
            </w:tcMar>
            <w:vAlign w:val="center"/>
          </w:tcPr>
          <w:p w14:paraId="160F3364">
            <w:pPr>
              <w:spacing w:after="0"/>
            </w:pPr>
            <w:r>
              <w:rPr>
                <w:rFonts w:ascii="STHeiti" w:hAnsi="STHeiti" w:eastAsia="STHeiti" w:cs="STHeiti"/>
                <w:b/>
                <w:color w:val="142337"/>
                <w:sz w:val="21"/>
              </w:rPr>
              <w:t>业务含义</w:t>
            </w:r>
          </w:p>
        </w:tc>
      </w:tr>
      <w:tr w14:paraId="4C687504">
        <w:trPr>
          <w:jc w:val="center"/>
        </w:trPr>
        <w:tc>
          <w:tcPr>
            <w:tcW w:w="2016" w:type="dxa"/>
            <w:tcMar>
              <w:top w:w="100" w:type="dxa"/>
              <w:left w:w="120" w:type="dxa"/>
              <w:bottom w:w="100" w:type="dxa"/>
              <w:right w:w="120" w:type="dxa"/>
            </w:tcMar>
            <w:vAlign w:val="center"/>
          </w:tcPr>
          <w:p w14:paraId="78C51E6D">
            <w:pPr>
              <w:spacing w:after="0" w:line="259" w:lineRule="auto"/>
            </w:pPr>
            <w:r>
              <w:rPr>
                <w:rFonts w:ascii="STHeiti" w:hAnsi="STHeiti" w:eastAsia="STHeiti" w:cs="STHeiti"/>
                <w:b w:val="0"/>
                <w:color w:val="142337"/>
                <w:sz w:val="20"/>
              </w:rPr>
              <w:t>风险分布统计</w:t>
            </w:r>
          </w:p>
        </w:tc>
        <w:tc>
          <w:tcPr>
            <w:tcW w:w="3816" w:type="dxa"/>
            <w:tcMar>
              <w:top w:w="100" w:type="dxa"/>
              <w:left w:w="120" w:type="dxa"/>
              <w:bottom w:w="100" w:type="dxa"/>
              <w:right w:w="120" w:type="dxa"/>
            </w:tcMar>
            <w:vAlign w:val="center"/>
          </w:tcPr>
          <w:p w14:paraId="66B0900D">
            <w:pPr>
              <w:spacing w:after="0" w:line="259" w:lineRule="auto"/>
            </w:pPr>
            <w:r>
              <w:rPr>
                <w:rFonts w:ascii="STHeiti" w:hAnsi="STHeiti" w:eastAsia="STHeiti" w:cs="STHeiti"/>
                <w:b w:val="0"/>
                <w:color w:val="142337"/>
                <w:sz w:val="20"/>
              </w:rPr>
              <w:t>展示第三方施工当前视频预警总数及低/中/高风险分布。</w:t>
            </w:r>
          </w:p>
        </w:tc>
        <w:tc>
          <w:tcPr>
            <w:tcW w:w="3312" w:type="dxa"/>
            <w:tcMar>
              <w:top w:w="100" w:type="dxa"/>
              <w:left w:w="120" w:type="dxa"/>
              <w:bottom w:w="100" w:type="dxa"/>
              <w:right w:w="120" w:type="dxa"/>
            </w:tcMar>
            <w:vAlign w:val="center"/>
          </w:tcPr>
          <w:p w14:paraId="1C8672FF">
            <w:pPr>
              <w:spacing w:after="0" w:line="259" w:lineRule="auto"/>
            </w:pPr>
            <w:r>
              <w:rPr>
                <w:rFonts w:ascii="STHeiti" w:hAnsi="STHeiti" w:eastAsia="STHeiti" w:cs="STHeiti"/>
                <w:b w:val="0"/>
                <w:color w:val="142337"/>
                <w:sz w:val="20"/>
              </w:rPr>
              <w:t>让调度员快速判断风险结构和高风险压力。</w:t>
            </w:r>
          </w:p>
        </w:tc>
      </w:tr>
      <w:tr w14:paraId="7B5BB95D">
        <w:trPr>
          <w:jc w:val="center"/>
        </w:trPr>
        <w:tc>
          <w:tcPr>
            <w:tcW w:w="2016" w:type="dxa"/>
            <w:tcMar>
              <w:top w:w="100" w:type="dxa"/>
              <w:left w:w="120" w:type="dxa"/>
              <w:bottom w:w="100" w:type="dxa"/>
              <w:right w:w="120" w:type="dxa"/>
            </w:tcMar>
            <w:vAlign w:val="center"/>
          </w:tcPr>
          <w:p w14:paraId="57853CB7">
            <w:pPr>
              <w:spacing w:after="0" w:line="259" w:lineRule="auto"/>
            </w:pPr>
            <w:r>
              <w:rPr>
                <w:rFonts w:ascii="STHeiti" w:hAnsi="STHeiti" w:eastAsia="STHeiti" w:cs="STHeiti"/>
                <w:b w:val="0"/>
                <w:color w:val="142337"/>
                <w:sz w:val="20"/>
              </w:rPr>
              <w:t>业务闭环统计</w:t>
            </w:r>
          </w:p>
        </w:tc>
        <w:tc>
          <w:tcPr>
            <w:tcW w:w="3816" w:type="dxa"/>
            <w:tcMar>
              <w:top w:w="100" w:type="dxa"/>
              <w:left w:w="120" w:type="dxa"/>
              <w:bottom w:w="100" w:type="dxa"/>
              <w:right w:w="120" w:type="dxa"/>
            </w:tcMar>
            <w:vAlign w:val="center"/>
          </w:tcPr>
          <w:p w14:paraId="0E9D09A7">
            <w:pPr>
              <w:spacing w:after="0" w:line="259" w:lineRule="auto"/>
            </w:pPr>
            <w:r>
              <w:rPr>
                <w:rFonts w:ascii="STHeiti" w:hAnsi="STHeiti" w:eastAsia="STHeiti" w:cs="STHeiti"/>
                <w:b w:val="0"/>
                <w:color w:val="142337"/>
                <w:sz w:val="20"/>
              </w:rPr>
              <w:t>展示待确认、人工已确认、处置中、已完成数量和闭环比例。</w:t>
            </w:r>
          </w:p>
        </w:tc>
        <w:tc>
          <w:tcPr>
            <w:tcW w:w="3312" w:type="dxa"/>
            <w:tcMar>
              <w:top w:w="100" w:type="dxa"/>
              <w:left w:w="120" w:type="dxa"/>
              <w:bottom w:w="100" w:type="dxa"/>
              <w:right w:w="120" w:type="dxa"/>
            </w:tcMar>
            <w:vAlign w:val="center"/>
          </w:tcPr>
          <w:p w14:paraId="06D234A9">
            <w:pPr>
              <w:spacing w:after="0" w:line="259" w:lineRule="auto"/>
            </w:pPr>
            <w:r>
              <w:rPr>
                <w:rFonts w:ascii="STHeiti" w:hAnsi="STHeiti" w:eastAsia="STHeiti" w:cs="STHeiti"/>
                <w:b w:val="0"/>
                <w:color w:val="142337"/>
                <w:sz w:val="20"/>
              </w:rPr>
              <w:t>衡量预警从模型触发到业务处置的进展。</w:t>
            </w:r>
          </w:p>
        </w:tc>
      </w:tr>
      <w:tr w14:paraId="4049D8A9">
        <w:trPr>
          <w:jc w:val="center"/>
        </w:trPr>
        <w:tc>
          <w:tcPr>
            <w:tcW w:w="2016" w:type="dxa"/>
            <w:tcMar>
              <w:top w:w="100" w:type="dxa"/>
              <w:left w:w="120" w:type="dxa"/>
              <w:bottom w:w="100" w:type="dxa"/>
              <w:right w:w="120" w:type="dxa"/>
            </w:tcMar>
            <w:vAlign w:val="center"/>
          </w:tcPr>
          <w:p w14:paraId="74BCE919">
            <w:pPr>
              <w:spacing w:after="0" w:line="259" w:lineRule="auto"/>
            </w:pPr>
            <w:r>
              <w:rPr>
                <w:rFonts w:ascii="STHeiti" w:hAnsi="STHeiti" w:eastAsia="STHeiti" w:cs="STHeiti"/>
                <w:b w:val="0"/>
                <w:color w:val="142337"/>
                <w:sz w:val="20"/>
              </w:rPr>
              <w:t>筛选栏</w:t>
            </w:r>
          </w:p>
        </w:tc>
        <w:tc>
          <w:tcPr>
            <w:tcW w:w="3816" w:type="dxa"/>
            <w:tcMar>
              <w:top w:w="100" w:type="dxa"/>
              <w:left w:w="120" w:type="dxa"/>
              <w:bottom w:w="100" w:type="dxa"/>
              <w:right w:w="120" w:type="dxa"/>
            </w:tcMar>
            <w:vAlign w:val="center"/>
          </w:tcPr>
          <w:p w14:paraId="3DBBF0BA">
            <w:pPr>
              <w:spacing w:after="0" w:line="259" w:lineRule="auto"/>
            </w:pPr>
            <w:r>
              <w:rPr>
                <w:rFonts w:ascii="STHeiti" w:hAnsi="STHeiti" w:eastAsia="STHeiti" w:cs="STHeiti"/>
                <w:b w:val="0"/>
                <w:color w:val="142337"/>
                <w:sz w:val="20"/>
              </w:rPr>
              <w:t>按风险状态和处置状态筛选视频卡片。</w:t>
            </w:r>
          </w:p>
        </w:tc>
        <w:tc>
          <w:tcPr>
            <w:tcW w:w="3312" w:type="dxa"/>
            <w:tcMar>
              <w:top w:w="100" w:type="dxa"/>
              <w:left w:w="120" w:type="dxa"/>
              <w:bottom w:w="100" w:type="dxa"/>
              <w:right w:w="120" w:type="dxa"/>
            </w:tcMar>
            <w:vAlign w:val="center"/>
          </w:tcPr>
          <w:p w14:paraId="52DCA2E0">
            <w:pPr>
              <w:spacing w:after="0" w:line="259" w:lineRule="auto"/>
            </w:pPr>
            <w:r>
              <w:rPr>
                <w:rFonts w:ascii="STHeiti" w:hAnsi="STHeiti" w:eastAsia="STHeiti" w:cs="STHeiti"/>
                <w:b w:val="0"/>
                <w:color w:val="142337"/>
                <w:sz w:val="20"/>
              </w:rPr>
              <w:t>缩小关注范围，避免高频预警淹没关键事件。</w:t>
            </w:r>
          </w:p>
        </w:tc>
      </w:tr>
      <w:tr w14:paraId="13D457B4">
        <w:trPr>
          <w:jc w:val="center"/>
        </w:trPr>
        <w:tc>
          <w:tcPr>
            <w:tcW w:w="2016" w:type="dxa"/>
            <w:tcMar>
              <w:top w:w="100" w:type="dxa"/>
              <w:left w:w="120" w:type="dxa"/>
              <w:bottom w:w="100" w:type="dxa"/>
              <w:right w:w="120" w:type="dxa"/>
            </w:tcMar>
            <w:vAlign w:val="center"/>
          </w:tcPr>
          <w:p w14:paraId="2CE78FA7">
            <w:pPr>
              <w:spacing w:after="0" w:line="259" w:lineRule="auto"/>
            </w:pPr>
            <w:r>
              <w:rPr>
                <w:rFonts w:ascii="STHeiti" w:hAnsi="STHeiti" w:eastAsia="STHeiti" w:cs="STHeiti"/>
                <w:b w:val="0"/>
                <w:color w:val="142337"/>
                <w:sz w:val="20"/>
              </w:rPr>
              <w:t>视频预警卡片列表</w:t>
            </w:r>
          </w:p>
        </w:tc>
        <w:tc>
          <w:tcPr>
            <w:tcW w:w="3816" w:type="dxa"/>
            <w:tcMar>
              <w:top w:w="100" w:type="dxa"/>
              <w:left w:w="120" w:type="dxa"/>
              <w:bottom w:w="100" w:type="dxa"/>
              <w:right w:w="120" w:type="dxa"/>
            </w:tcMar>
            <w:vAlign w:val="center"/>
          </w:tcPr>
          <w:p w14:paraId="270549F2">
            <w:pPr>
              <w:spacing w:after="0" w:line="259" w:lineRule="auto"/>
            </w:pPr>
            <w:r>
              <w:rPr>
                <w:rFonts w:ascii="STHeiti" w:hAnsi="STHeiti" w:eastAsia="STHeiti" w:cs="STHeiti"/>
                <w:b w:val="0"/>
                <w:color w:val="142337"/>
                <w:sz w:val="20"/>
              </w:rPr>
              <w:t>以卡片展示预警画面、等级、状态、标题、时间、设备、站点和确认说明。</w:t>
            </w:r>
          </w:p>
        </w:tc>
        <w:tc>
          <w:tcPr>
            <w:tcW w:w="3312" w:type="dxa"/>
            <w:tcMar>
              <w:top w:w="100" w:type="dxa"/>
              <w:left w:w="120" w:type="dxa"/>
              <w:bottom w:w="100" w:type="dxa"/>
              <w:right w:w="120" w:type="dxa"/>
            </w:tcMar>
            <w:vAlign w:val="center"/>
          </w:tcPr>
          <w:p w14:paraId="5C7EA849">
            <w:pPr>
              <w:spacing w:after="0" w:line="259" w:lineRule="auto"/>
            </w:pPr>
            <w:r>
              <w:rPr>
                <w:rFonts w:ascii="STHeiti" w:hAnsi="STHeiti" w:eastAsia="STHeiti" w:cs="STHeiti"/>
                <w:b w:val="0"/>
                <w:color w:val="142337"/>
                <w:sz w:val="20"/>
              </w:rPr>
              <w:t>作为实时告警主列表，支持选中、翻页和打开视频大图。</w:t>
            </w:r>
          </w:p>
        </w:tc>
      </w:tr>
      <w:tr w14:paraId="4EF468F3">
        <w:trPr>
          <w:jc w:val="center"/>
        </w:trPr>
        <w:tc>
          <w:tcPr>
            <w:tcW w:w="2016" w:type="dxa"/>
            <w:tcMar>
              <w:top w:w="100" w:type="dxa"/>
              <w:left w:w="120" w:type="dxa"/>
              <w:bottom w:w="100" w:type="dxa"/>
              <w:right w:w="120" w:type="dxa"/>
            </w:tcMar>
            <w:vAlign w:val="center"/>
          </w:tcPr>
          <w:p w14:paraId="50B896E5">
            <w:pPr>
              <w:spacing w:after="0" w:line="259" w:lineRule="auto"/>
            </w:pPr>
            <w:r>
              <w:rPr>
                <w:rFonts w:ascii="STHeiti" w:hAnsi="STHeiti" w:eastAsia="STHeiti" w:cs="STHeiti"/>
                <w:b w:val="0"/>
                <w:color w:val="142337"/>
                <w:sz w:val="20"/>
              </w:rPr>
              <w:t>分页器</w:t>
            </w:r>
          </w:p>
        </w:tc>
        <w:tc>
          <w:tcPr>
            <w:tcW w:w="3816" w:type="dxa"/>
            <w:tcMar>
              <w:top w:w="100" w:type="dxa"/>
              <w:left w:w="120" w:type="dxa"/>
              <w:bottom w:w="100" w:type="dxa"/>
              <w:right w:w="120" w:type="dxa"/>
            </w:tcMar>
            <w:vAlign w:val="center"/>
          </w:tcPr>
          <w:p w14:paraId="0D4A87F5">
            <w:pPr>
              <w:spacing w:after="0" w:line="259" w:lineRule="auto"/>
            </w:pPr>
            <w:r>
              <w:rPr>
                <w:rFonts w:ascii="STHeiti" w:hAnsi="STHeiti" w:eastAsia="STHeiti" w:cs="STHeiti"/>
                <w:b w:val="0"/>
                <w:color w:val="142337"/>
                <w:sz w:val="20"/>
              </w:rPr>
              <w:t>显示当前页范围、总数、页码、上一页/下一页。</w:t>
            </w:r>
          </w:p>
        </w:tc>
        <w:tc>
          <w:tcPr>
            <w:tcW w:w="3312" w:type="dxa"/>
            <w:tcMar>
              <w:top w:w="100" w:type="dxa"/>
              <w:left w:w="120" w:type="dxa"/>
              <w:bottom w:w="100" w:type="dxa"/>
              <w:right w:w="120" w:type="dxa"/>
            </w:tcMar>
            <w:vAlign w:val="center"/>
          </w:tcPr>
          <w:p w14:paraId="38B717C5">
            <w:pPr>
              <w:spacing w:after="0" w:line="259" w:lineRule="auto"/>
            </w:pPr>
            <w:r>
              <w:rPr>
                <w:rFonts w:ascii="STHeiti" w:hAnsi="STHeiti" w:eastAsia="STHeiti" w:cs="STHeiti"/>
                <w:b w:val="0"/>
                <w:color w:val="142337"/>
                <w:sz w:val="20"/>
              </w:rPr>
              <w:t>承载多条视频预警下的批量浏览。</w:t>
            </w:r>
          </w:p>
        </w:tc>
      </w:tr>
      <w:tr w14:paraId="7B39F6DA">
        <w:trPr>
          <w:jc w:val="center"/>
        </w:trPr>
        <w:tc>
          <w:tcPr>
            <w:tcW w:w="2016" w:type="dxa"/>
            <w:tcMar>
              <w:top w:w="100" w:type="dxa"/>
              <w:left w:w="120" w:type="dxa"/>
              <w:bottom w:w="100" w:type="dxa"/>
              <w:right w:w="120" w:type="dxa"/>
            </w:tcMar>
            <w:vAlign w:val="center"/>
          </w:tcPr>
          <w:p w14:paraId="252BB6BA">
            <w:pPr>
              <w:spacing w:after="0" w:line="259" w:lineRule="auto"/>
            </w:pPr>
            <w:r>
              <w:rPr>
                <w:rFonts w:ascii="STHeiti" w:hAnsi="STHeiti" w:eastAsia="STHeiti" w:cs="STHeiti"/>
                <w:b w:val="0"/>
                <w:color w:val="142337"/>
                <w:sz w:val="20"/>
              </w:rPr>
              <w:t>智能研判结果</w:t>
            </w:r>
          </w:p>
        </w:tc>
        <w:tc>
          <w:tcPr>
            <w:tcW w:w="3816" w:type="dxa"/>
            <w:tcMar>
              <w:top w:w="100" w:type="dxa"/>
              <w:left w:w="120" w:type="dxa"/>
              <w:bottom w:w="100" w:type="dxa"/>
              <w:right w:w="120" w:type="dxa"/>
            </w:tcMar>
            <w:vAlign w:val="center"/>
          </w:tcPr>
          <w:p w14:paraId="1BF0044C">
            <w:pPr>
              <w:spacing w:after="0" w:line="259" w:lineRule="auto"/>
            </w:pPr>
            <w:r>
              <w:rPr>
                <w:rFonts w:ascii="STHeiti" w:hAnsi="STHeiti" w:eastAsia="STHeiti" w:cs="STHeiti"/>
                <w:b w:val="0"/>
                <w:color w:val="142337"/>
                <w:sz w:val="20"/>
              </w:rPr>
              <w:t>展示选中告警的等级、时间、目标、地点、风险区域、历史频次、原因、影响、建议、处置情况和模型描述。</w:t>
            </w:r>
          </w:p>
        </w:tc>
        <w:tc>
          <w:tcPr>
            <w:tcW w:w="3312" w:type="dxa"/>
            <w:tcMar>
              <w:top w:w="100" w:type="dxa"/>
              <w:left w:w="120" w:type="dxa"/>
              <w:bottom w:w="100" w:type="dxa"/>
              <w:right w:w="120" w:type="dxa"/>
            </w:tcMar>
            <w:vAlign w:val="center"/>
          </w:tcPr>
          <w:p w14:paraId="770DB0A3">
            <w:pPr>
              <w:spacing w:after="0" w:line="259" w:lineRule="auto"/>
            </w:pPr>
            <w:r>
              <w:rPr>
                <w:rFonts w:ascii="STHeiti" w:hAnsi="STHeiti" w:eastAsia="STHeiti" w:cs="STHeiti"/>
                <w:b w:val="0"/>
                <w:color w:val="142337"/>
                <w:sz w:val="20"/>
              </w:rPr>
              <w:t>给出业务判断依据和下一步操作建议。</w:t>
            </w:r>
          </w:p>
        </w:tc>
      </w:tr>
      <w:tr w14:paraId="2FD593BD">
        <w:trPr>
          <w:jc w:val="center"/>
        </w:trPr>
        <w:tc>
          <w:tcPr>
            <w:tcW w:w="2016" w:type="dxa"/>
            <w:tcMar>
              <w:top w:w="100" w:type="dxa"/>
              <w:left w:w="120" w:type="dxa"/>
              <w:bottom w:w="100" w:type="dxa"/>
              <w:right w:w="120" w:type="dxa"/>
            </w:tcMar>
            <w:vAlign w:val="center"/>
          </w:tcPr>
          <w:p w14:paraId="5E5737B0">
            <w:pPr>
              <w:spacing w:after="0" w:line="259" w:lineRule="auto"/>
            </w:pPr>
            <w:r>
              <w:rPr>
                <w:rFonts w:ascii="STHeiti" w:hAnsi="STHeiti" w:eastAsia="STHeiti" w:cs="STHeiti"/>
                <w:b w:val="0"/>
                <w:color w:val="142337"/>
                <w:sz w:val="20"/>
              </w:rPr>
              <w:t>实时监控入口</w:t>
            </w:r>
          </w:p>
        </w:tc>
        <w:tc>
          <w:tcPr>
            <w:tcW w:w="3816" w:type="dxa"/>
            <w:tcMar>
              <w:top w:w="100" w:type="dxa"/>
              <w:left w:w="120" w:type="dxa"/>
              <w:bottom w:w="100" w:type="dxa"/>
              <w:right w:w="120" w:type="dxa"/>
            </w:tcMar>
            <w:vAlign w:val="center"/>
          </w:tcPr>
          <w:p w14:paraId="222797B5">
            <w:pPr>
              <w:spacing w:after="0" w:line="259" w:lineRule="auto"/>
            </w:pPr>
            <w:r>
              <w:rPr>
                <w:rFonts w:ascii="STHeiti" w:hAnsi="STHeiti" w:eastAsia="STHeiti" w:cs="STHeiti"/>
                <w:b w:val="0"/>
                <w:color w:val="142337"/>
                <w:sz w:val="20"/>
              </w:rPr>
              <w:t>按钮位于智能研判标题栏状态标签前，点击调用当前告警视频/监控画面。</w:t>
            </w:r>
          </w:p>
        </w:tc>
        <w:tc>
          <w:tcPr>
            <w:tcW w:w="3312" w:type="dxa"/>
            <w:tcMar>
              <w:top w:w="100" w:type="dxa"/>
              <w:left w:w="120" w:type="dxa"/>
              <w:bottom w:w="100" w:type="dxa"/>
              <w:right w:w="120" w:type="dxa"/>
            </w:tcMar>
            <w:vAlign w:val="center"/>
          </w:tcPr>
          <w:p w14:paraId="59F54FFD">
            <w:pPr>
              <w:spacing w:after="0" w:line="259" w:lineRule="auto"/>
            </w:pPr>
            <w:r>
              <w:rPr>
                <w:rFonts w:ascii="STHeiti" w:hAnsi="STHeiti" w:eastAsia="STHeiti" w:cs="STHeiti"/>
                <w:b w:val="0"/>
                <w:color w:val="142337"/>
                <w:sz w:val="20"/>
              </w:rPr>
              <w:t>从研判结果快速进入视频核验。</w:t>
            </w:r>
          </w:p>
        </w:tc>
      </w:tr>
    </w:tbl>
    <w:p w14:paraId="4B169A57">
      <w:pPr>
        <w:spacing w:after="40"/>
      </w:pPr>
    </w:p>
    <w:p w14:paraId="1B67D913">
      <w:pPr>
        <w:pStyle w:val="3"/>
        <w:spacing w:before="320" w:after="160" w:line="264" w:lineRule="auto"/>
      </w:pPr>
      <w:r>
        <w:rPr>
          <w:rFonts w:ascii="STHeiti" w:hAnsi="STHeiti" w:eastAsia="STHeiti" w:cs="STHeiti"/>
          <w:b/>
          <w:color w:val="2E74B5"/>
          <w:sz w:val="32"/>
        </w:rPr>
        <w:t>3. 模块功能与交互逻辑</w:t>
      </w:r>
    </w:p>
    <w:p w14:paraId="145BDBDD">
      <w:pPr>
        <w:pStyle w:val="4"/>
        <w:spacing w:before="240" w:after="120" w:line="264" w:lineRule="auto"/>
        <w:rPr>
          <w:rFonts w:ascii="STHeiti" w:hAnsi="STHeiti" w:eastAsia="STHeiti" w:cs="STHeiti"/>
          <w:b/>
          <w:color w:val="2E74B5"/>
          <w:sz w:val="26"/>
        </w:rPr>
      </w:pPr>
      <w:r>
        <w:rPr>
          <w:rFonts w:ascii="STHeiti" w:hAnsi="STHeiti" w:eastAsia="STHeiti" w:cs="STHeiti"/>
          <w:b/>
          <w:color w:val="2E74B5"/>
          <w:sz w:val="26"/>
        </w:rPr>
        <w:t>3.1 风险分布统计</w:t>
      </w:r>
    </w:p>
    <w:p w14:paraId="234AACB7">
      <w:r>
        <w:drawing>
          <wp:inline distT="0" distB="0" distL="114300" distR="114300">
            <wp:extent cx="5941695" cy="2909570"/>
            <wp:effectExtent l="0" t="0" r="190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941695" cy="2909570"/>
                    </a:xfrm>
                    <a:prstGeom prst="rect">
                      <a:avLst/>
                    </a:prstGeom>
                    <a:noFill/>
                    <a:ln>
                      <a:noFill/>
                    </a:ln>
                  </pic:spPr>
                </pic:pic>
              </a:graphicData>
            </a:graphic>
          </wp:inline>
        </w:drawing>
      </w:r>
    </w:p>
    <w:p w14:paraId="70935140">
      <w:pPr>
        <w:pStyle w:val="16"/>
        <w:spacing w:after="80" w:line="276" w:lineRule="auto"/>
      </w:pPr>
      <w:r>
        <w:rPr>
          <w:rFonts w:ascii="STHeiti" w:hAnsi="STHeiti" w:eastAsia="STHeiti" w:cs="STHeiti"/>
          <w:b w:val="0"/>
          <w:color w:val="142337"/>
          <w:sz w:val="22"/>
        </w:rPr>
        <w:t>数据范围：当前风险类型为第三方施工时，取该风险类型下的全部实时预警数据，不受筛选栏影响。</w:t>
      </w:r>
    </w:p>
    <w:p w14:paraId="044E5113">
      <w:pPr>
        <w:pStyle w:val="16"/>
        <w:spacing w:after="80" w:line="276" w:lineRule="auto"/>
      </w:pPr>
      <w:r>
        <w:rPr>
          <w:rFonts w:ascii="STHeiti" w:hAnsi="STHeiti" w:eastAsia="STHeiti" w:cs="STHeiti"/>
          <w:b w:val="0"/>
          <w:color w:val="142337"/>
          <w:sz w:val="22"/>
        </w:rPr>
        <w:t>展示内容：总视频预警数、低风险数量、中风险数量、高风险数量，并以环形图表达占比。</w:t>
      </w:r>
    </w:p>
    <w:p w14:paraId="34A97771">
      <w:pPr>
        <w:pStyle w:val="16"/>
        <w:spacing w:after="80" w:line="276" w:lineRule="auto"/>
      </w:pPr>
      <w:r>
        <w:rPr>
          <w:rFonts w:ascii="STHeiti" w:hAnsi="STHeiti" w:eastAsia="STHeiti" w:cs="STHeiti"/>
          <w:b w:val="0"/>
          <w:color w:val="142337"/>
          <w:sz w:val="22"/>
        </w:rPr>
        <w:t>交互逻辑：统计卡片只读；当新增预警、状态变化或风险筛选来源变化时自动刷新。</w:t>
      </w:r>
    </w:p>
    <w:p w14:paraId="21166959">
      <w:pPr>
        <w:pStyle w:val="4"/>
        <w:spacing w:before="240" w:after="120" w:line="264" w:lineRule="auto"/>
        <w:rPr>
          <w:rFonts w:ascii="STHeiti" w:hAnsi="STHeiti" w:eastAsia="STHeiti" w:cs="STHeiti"/>
          <w:b/>
          <w:color w:val="2E74B5"/>
          <w:sz w:val="26"/>
        </w:rPr>
      </w:pPr>
      <w:r>
        <w:rPr>
          <w:rFonts w:ascii="STHeiti" w:hAnsi="STHeiti" w:eastAsia="STHeiti" w:cs="STHeiti"/>
          <w:b/>
          <w:color w:val="2E74B5"/>
          <w:sz w:val="26"/>
        </w:rPr>
        <w:t>3.2 业务闭环统计</w:t>
      </w:r>
    </w:p>
    <w:p w14:paraId="2A8A824B">
      <w:r>
        <w:drawing>
          <wp:inline distT="0" distB="0" distL="114300" distR="114300">
            <wp:extent cx="5930900" cy="2818130"/>
            <wp:effectExtent l="0" t="0" r="1270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930900" cy="2818130"/>
                    </a:xfrm>
                    <a:prstGeom prst="rect">
                      <a:avLst/>
                    </a:prstGeom>
                    <a:noFill/>
                    <a:ln>
                      <a:noFill/>
                    </a:ln>
                  </pic:spPr>
                </pic:pic>
              </a:graphicData>
            </a:graphic>
          </wp:inline>
        </w:drawing>
      </w:r>
    </w:p>
    <w:p w14:paraId="1995A6F7">
      <w:pPr>
        <w:pStyle w:val="16"/>
        <w:spacing w:after="80" w:line="276" w:lineRule="auto"/>
      </w:pPr>
      <w:r>
        <w:rPr>
          <w:rFonts w:ascii="STHeiti" w:hAnsi="STHeiti" w:eastAsia="STHeiti" w:cs="STHeiti"/>
          <w:b w:val="0"/>
          <w:color w:val="142337"/>
          <w:sz w:val="22"/>
        </w:rPr>
        <w:t>展示内容：待确认、人工已确认、处置中、已完成四类状态数量。</w:t>
      </w:r>
    </w:p>
    <w:p w14:paraId="3ACB2416">
      <w:pPr>
        <w:pStyle w:val="16"/>
        <w:spacing w:after="80" w:line="276" w:lineRule="auto"/>
      </w:pPr>
      <w:r>
        <w:rPr>
          <w:rFonts w:ascii="STHeiti" w:hAnsi="STHeiti" w:eastAsia="STHeiti" w:cs="STHeiti"/>
          <w:b w:val="0"/>
          <w:color w:val="142337"/>
          <w:sz w:val="22"/>
        </w:rPr>
        <w:t>闭环比例：闭环率 = (人工已确认数量 + 已完成数量) / 第三方施工预警总数 × 100%，四舍五入为整数百分比。</w:t>
      </w:r>
    </w:p>
    <w:p w14:paraId="4CADF080">
      <w:pPr>
        <w:pStyle w:val="16"/>
        <w:spacing w:after="80" w:line="276" w:lineRule="auto"/>
      </w:pPr>
      <w:r>
        <w:rPr>
          <w:rFonts w:hint="eastAsia" w:cs="STHeiti"/>
          <w:b w:val="0"/>
          <w:color w:val="142337"/>
          <w:sz w:val="22"/>
          <w:lang w:val="en-US" w:eastAsia="zh-CN"/>
        </w:rPr>
        <w:t>模块</w:t>
      </w:r>
      <w:r>
        <w:rPr>
          <w:rFonts w:ascii="STHeiti" w:hAnsi="STHeiti" w:eastAsia="STHeiti" w:cs="STHeiti"/>
          <w:b w:val="0"/>
          <w:color w:val="142337"/>
          <w:sz w:val="22"/>
        </w:rPr>
        <w:t>含义：人工已确认代表业务侧已给出复核结论；已完成代表治理中心处置闭环完成。</w:t>
      </w:r>
    </w:p>
    <w:p w14:paraId="068D8FC6">
      <w:pPr>
        <w:pStyle w:val="16"/>
        <w:spacing w:after="80" w:line="276" w:lineRule="auto"/>
      </w:pPr>
      <w:r>
        <w:rPr>
          <w:rFonts w:hint="eastAsia"/>
          <w:lang w:val="en-US" w:eastAsia="zh-CN"/>
        </w:rPr>
        <w:t>业务状态说明：</w:t>
      </w:r>
    </w:p>
    <w:p w14:paraId="083C4715">
      <w:pPr>
        <w:pStyle w:val="16"/>
        <w:numPr>
          <w:numId w:val="0"/>
        </w:numPr>
        <w:spacing w:after="80" w:line="276" w:lineRule="auto"/>
        <w:ind w:firstLine="1320" w:firstLineChars="600"/>
        <w:rPr>
          <w:rFonts w:hint="default"/>
          <w:lang w:val="en-US" w:eastAsia="zh-CN"/>
        </w:rPr>
      </w:pPr>
      <w:r>
        <w:rPr>
          <w:rFonts w:hint="eastAsia"/>
          <w:lang w:val="en-US" w:eastAsia="zh-CN"/>
        </w:rPr>
        <w:t>待确认：预警信息已下发到业务系统，待确认</w:t>
      </w:r>
    </w:p>
    <w:p w14:paraId="14ADA963">
      <w:pPr>
        <w:pStyle w:val="16"/>
        <w:numPr>
          <w:numId w:val="0"/>
        </w:numPr>
        <w:spacing w:after="80" w:line="276" w:lineRule="auto"/>
        <w:ind w:firstLine="1320" w:firstLineChars="600"/>
        <w:rPr>
          <w:rFonts w:hint="eastAsia"/>
          <w:lang w:val="en-US" w:eastAsia="zh-CN"/>
        </w:rPr>
      </w:pPr>
      <w:r>
        <w:rPr>
          <w:rFonts w:hint="eastAsia"/>
          <w:lang w:val="en-US" w:eastAsia="zh-CN"/>
        </w:rPr>
        <w:t>人工已确认：人工复核为非风险，未进入事件处置流程</w:t>
      </w:r>
    </w:p>
    <w:p w14:paraId="017629D8">
      <w:pPr>
        <w:pStyle w:val="16"/>
        <w:numPr>
          <w:numId w:val="0"/>
        </w:numPr>
        <w:spacing w:after="80" w:line="276" w:lineRule="auto"/>
        <w:ind w:firstLine="1320" w:firstLineChars="600"/>
        <w:rPr>
          <w:rFonts w:hint="eastAsia"/>
          <w:lang w:val="en-US" w:eastAsia="zh-CN"/>
        </w:rPr>
      </w:pPr>
      <w:r>
        <w:rPr>
          <w:rFonts w:hint="eastAsia"/>
          <w:lang w:val="en-US" w:eastAsia="zh-CN"/>
        </w:rPr>
        <w:t>处置中：人工确认存在风险，已生成事件并下发治理中心</w:t>
      </w:r>
    </w:p>
    <w:p w14:paraId="638844BF">
      <w:pPr>
        <w:pStyle w:val="16"/>
        <w:numPr>
          <w:numId w:val="0"/>
        </w:numPr>
        <w:spacing w:after="80" w:line="276" w:lineRule="auto"/>
        <w:ind w:firstLine="1320" w:firstLineChars="600"/>
        <w:rPr>
          <w:rFonts w:hint="default"/>
          <w:lang w:val="en-US" w:eastAsia="zh-CN"/>
        </w:rPr>
      </w:pPr>
      <w:r>
        <w:rPr>
          <w:rFonts w:hint="eastAsia"/>
          <w:lang w:val="en-US" w:eastAsia="zh-CN"/>
        </w:rPr>
        <w:t>已完成：风险事件已处置完成</w:t>
      </w:r>
    </w:p>
    <w:p w14:paraId="1E942245">
      <w:pPr>
        <w:pStyle w:val="4"/>
        <w:spacing w:before="240" w:after="120" w:line="264" w:lineRule="auto"/>
      </w:pPr>
      <w:r>
        <w:rPr>
          <w:rFonts w:ascii="STHeiti" w:hAnsi="STHeiti" w:eastAsia="STHeiti" w:cs="STHeiti"/>
          <w:b/>
          <w:color w:val="2E74B5"/>
          <w:sz w:val="26"/>
        </w:rPr>
        <w:t>3.3 筛选栏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26C80438">
        <w:trPr>
          <w:jc w:val="center"/>
        </w:trPr>
        <w:tc>
          <w:tcPr>
            <w:tcW w:w="1800" w:type="dxa"/>
            <w:shd w:val="clear" w:color="auto" w:fill="F2F4F7"/>
            <w:tcMar>
              <w:top w:w="100" w:type="dxa"/>
              <w:left w:w="120" w:type="dxa"/>
              <w:bottom w:w="100" w:type="dxa"/>
              <w:right w:w="120" w:type="dxa"/>
            </w:tcMar>
            <w:vAlign w:val="center"/>
          </w:tcPr>
          <w:p w14:paraId="5EAB4464">
            <w:pPr>
              <w:spacing w:after="0"/>
            </w:pPr>
            <w:r>
              <w:rPr>
                <w:rFonts w:ascii="STHeiti" w:hAnsi="STHeiti" w:eastAsia="STHeiti" w:cs="STHeiti"/>
                <w:b/>
                <w:color w:val="142337"/>
                <w:sz w:val="21"/>
              </w:rPr>
              <w:t>控件</w:t>
            </w:r>
          </w:p>
        </w:tc>
        <w:tc>
          <w:tcPr>
            <w:tcW w:w="2880" w:type="dxa"/>
            <w:shd w:val="clear" w:color="auto" w:fill="F2F4F7"/>
            <w:tcMar>
              <w:top w:w="100" w:type="dxa"/>
              <w:left w:w="120" w:type="dxa"/>
              <w:bottom w:w="100" w:type="dxa"/>
              <w:right w:w="120" w:type="dxa"/>
            </w:tcMar>
            <w:vAlign w:val="center"/>
          </w:tcPr>
          <w:p w14:paraId="083F5553">
            <w:pPr>
              <w:spacing w:after="0"/>
            </w:pPr>
            <w:r>
              <w:rPr>
                <w:rFonts w:ascii="STHeiti" w:hAnsi="STHeiti" w:eastAsia="STHeiti" w:cs="STHeiti"/>
                <w:b/>
                <w:color w:val="142337"/>
                <w:sz w:val="21"/>
              </w:rPr>
              <w:t>可选值</w:t>
            </w:r>
          </w:p>
        </w:tc>
        <w:tc>
          <w:tcPr>
            <w:tcW w:w="4464" w:type="dxa"/>
            <w:shd w:val="clear" w:color="auto" w:fill="F2F4F7"/>
            <w:tcMar>
              <w:top w:w="100" w:type="dxa"/>
              <w:left w:w="120" w:type="dxa"/>
              <w:bottom w:w="100" w:type="dxa"/>
              <w:right w:w="120" w:type="dxa"/>
            </w:tcMar>
            <w:vAlign w:val="center"/>
          </w:tcPr>
          <w:p w14:paraId="454E5E82">
            <w:pPr>
              <w:spacing w:after="0"/>
            </w:pPr>
            <w:r>
              <w:rPr>
                <w:rFonts w:ascii="STHeiti" w:hAnsi="STHeiti" w:eastAsia="STHeiti" w:cs="STHeiti"/>
                <w:b/>
                <w:color w:val="142337"/>
                <w:sz w:val="21"/>
              </w:rPr>
              <w:t>交互规则</w:t>
            </w:r>
          </w:p>
        </w:tc>
      </w:tr>
      <w:tr w14:paraId="089EB8C1">
        <w:trPr>
          <w:jc w:val="center"/>
        </w:trPr>
        <w:tc>
          <w:tcPr>
            <w:tcW w:w="1800" w:type="dxa"/>
            <w:tcMar>
              <w:top w:w="100" w:type="dxa"/>
              <w:left w:w="120" w:type="dxa"/>
              <w:bottom w:w="100" w:type="dxa"/>
              <w:right w:w="120" w:type="dxa"/>
            </w:tcMar>
            <w:vAlign w:val="center"/>
          </w:tcPr>
          <w:p w14:paraId="6B9E6FE8">
            <w:pPr>
              <w:spacing w:after="0" w:line="259" w:lineRule="auto"/>
            </w:pPr>
            <w:r>
              <w:rPr>
                <w:rFonts w:ascii="STHeiti" w:hAnsi="STHeiti" w:eastAsia="STHeiti" w:cs="STHeiti"/>
                <w:b w:val="0"/>
                <w:color w:val="142337"/>
                <w:sz w:val="20"/>
              </w:rPr>
              <w:t>风险状态</w:t>
            </w:r>
          </w:p>
        </w:tc>
        <w:tc>
          <w:tcPr>
            <w:tcW w:w="2880" w:type="dxa"/>
            <w:tcMar>
              <w:top w:w="100" w:type="dxa"/>
              <w:left w:w="120" w:type="dxa"/>
              <w:bottom w:w="100" w:type="dxa"/>
              <w:right w:w="120" w:type="dxa"/>
            </w:tcMar>
            <w:vAlign w:val="center"/>
          </w:tcPr>
          <w:p w14:paraId="57CD4AFA">
            <w:pPr>
              <w:spacing w:after="0" w:line="259" w:lineRule="auto"/>
            </w:pPr>
            <w:r>
              <w:rPr>
                <w:rFonts w:ascii="STHeiti" w:hAnsi="STHeiti" w:eastAsia="STHeiti" w:cs="STHeiti"/>
                <w:b w:val="0"/>
                <w:color w:val="142337"/>
                <w:sz w:val="20"/>
              </w:rPr>
              <w:t>全部风险、低风险、中风险、高风险</w:t>
            </w:r>
          </w:p>
        </w:tc>
        <w:tc>
          <w:tcPr>
            <w:tcW w:w="4464" w:type="dxa"/>
            <w:tcMar>
              <w:top w:w="100" w:type="dxa"/>
              <w:left w:w="120" w:type="dxa"/>
              <w:bottom w:w="100" w:type="dxa"/>
              <w:right w:w="120" w:type="dxa"/>
            </w:tcMar>
            <w:vAlign w:val="center"/>
          </w:tcPr>
          <w:p w14:paraId="2B226832">
            <w:pPr>
              <w:spacing w:after="0" w:line="259" w:lineRule="auto"/>
            </w:pPr>
            <w:r>
              <w:rPr>
                <w:rFonts w:ascii="STHeiti" w:hAnsi="STHeiti" w:eastAsia="STHeiti" w:cs="STHeiti"/>
                <w:b w:val="0"/>
                <w:color w:val="142337"/>
                <w:sz w:val="20"/>
              </w:rPr>
              <w:t>切换后列表仅显示对应风险等级；页码回到第 1 页；默认选中筛选后第一条告警。</w:t>
            </w:r>
          </w:p>
        </w:tc>
      </w:tr>
      <w:tr w14:paraId="41927B94">
        <w:trPr>
          <w:jc w:val="center"/>
        </w:trPr>
        <w:tc>
          <w:tcPr>
            <w:tcW w:w="1800" w:type="dxa"/>
            <w:tcMar>
              <w:top w:w="100" w:type="dxa"/>
              <w:left w:w="120" w:type="dxa"/>
              <w:bottom w:w="100" w:type="dxa"/>
              <w:right w:w="120" w:type="dxa"/>
            </w:tcMar>
            <w:vAlign w:val="center"/>
          </w:tcPr>
          <w:p w14:paraId="1B8B40F7">
            <w:pPr>
              <w:spacing w:after="0" w:line="259" w:lineRule="auto"/>
            </w:pPr>
            <w:r>
              <w:rPr>
                <w:rFonts w:ascii="STHeiti" w:hAnsi="STHeiti" w:eastAsia="STHeiti" w:cs="STHeiti"/>
                <w:b w:val="0"/>
                <w:color w:val="142337"/>
                <w:sz w:val="20"/>
              </w:rPr>
              <w:t>处置状态</w:t>
            </w:r>
          </w:p>
        </w:tc>
        <w:tc>
          <w:tcPr>
            <w:tcW w:w="2880" w:type="dxa"/>
            <w:tcMar>
              <w:top w:w="100" w:type="dxa"/>
              <w:left w:w="120" w:type="dxa"/>
              <w:bottom w:w="100" w:type="dxa"/>
              <w:right w:w="120" w:type="dxa"/>
            </w:tcMar>
            <w:vAlign w:val="center"/>
          </w:tcPr>
          <w:p w14:paraId="220E3C12">
            <w:pPr>
              <w:spacing w:after="0" w:line="259" w:lineRule="auto"/>
            </w:pPr>
            <w:r>
              <w:rPr>
                <w:rFonts w:ascii="STHeiti" w:hAnsi="STHeiti" w:eastAsia="STHeiti" w:cs="STHeiti"/>
                <w:b w:val="0"/>
                <w:color w:val="142337"/>
                <w:sz w:val="20"/>
              </w:rPr>
              <w:t>全部状态、待确认、人工已确认、处置中、已完成</w:t>
            </w:r>
          </w:p>
        </w:tc>
        <w:tc>
          <w:tcPr>
            <w:tcW w:w="4464" w:type="dxa"/>
            <w:tcMar>
              <w:top w:w="100" w:type="dxa"/>
              <w:left w:w="120" w:type="dxa"/>
              <w:bottom w:w="100" w:type="dxa"/>
              <w:right w:w="120" w:type="dxa"/>
            </w:tcMar>
            <w:vAlign w:val="center"/>
          </w:tcPr>
          <w:p w14:paraId="015B360A">
            <w:pPr>
              <w:spacing w:after="0" w:line="259" w:lineRule="auto"/>
            </w:pPr>
            <w:r>
              <w:rPr>
                <w:rFonts w:ascii="STHeiti" w:hAnsi="STHeiti" w:eastAsia="STHeiti" w:cs="STHeiti"/>
                <w:b w:val="0"/>
                <w:color w:val="142337"/>
                <w:sz w:val="20"/>
              </w:rPr>
              <w:t>切换后列表仅显示对应处置状态；若无数据，显示</w:t>
            </w:r>
            <w:r>
              <w:rPr>
                <w:rFonts w:hint="eastAsia" w:cs="STHeiti"/>
                <w:b w:val="0"/>
                <w:color w:val="142337"/>
                <w:sz w:val="20"/>
                <w:lang w:val="en-US" w:eastAsia="zh-CN"/>
              </w:rPr>
              <w:t>缺省页</w:t>
            </w:r>
            <w:r>
              <w:rPr>
                <w:rFonts w:ascii="STHeiti" w:hAnsi="STHeiti" w:eastAsia="STHeiti" w:cs="STHeiti"/>
                <w:b w:val="0"/>
                <w:color w:val="142337"/>
                <w:sz w:val="20"/>
              </w:rPr>
              <w:t>。</w:t>
            </w:r>
          </w:p>
        </w:tc>
      </w:tr>
      <w:tr w14:paraId="5986401C">
        <w:trPr>
          <w:jc w:val="center"/>
        </w:trPr>
        <w:tc>
          <w:tcPr>
            <w:tcW w:w="1800" w:type="dxa"/>
            <w:tcMar>
              <w:top w:w="100" w:type="dxa"/>
              <w:left w:w="120" w:type="dxa"/>
              <w:bottom w:w="100" w:type="dxa"/>
              <w:right w:w="120" w:type="dxa"/>
            </w:tcMar>
            <w:vAlign w:val="center"/>
          </w:tcPr>
          <w:p w14:paraId="3C26CA14">
            <w:pPr>
              <w:spacing w:after="0" w:line="259" w:lineRule="auto"/>
            </w:pPr>
            <w:r>
              <w:rPr>
                <w:rFonts w:ascii="STHeiti" w:hAnsi="STHeiti" w:eastAsia="STHeiti" w:cs="STHeiti"/>
                <w:b w:val="0"/>
                <w:color w:val="142337"/>
                <w:sz w:val="20"/>
              </w:rPr>
              <w:t>当前筛选数量</w:t>
            </w:r>
          </w:p>
        </w:tc>
        <w:tc>
          <w:tcPr>
            <w:tcW w:w="2880" w:type="dxa"/>
            <w:tcMar>
              <w:top w:w="100" w:type="dxa"/>
              <w:left w:w="120" w:type="dxa"/>
              <w:bottom w:w="100" w:type="dxa"/>
              <w:right w:w="120" w:type="dxa"/>
            </w:tcMar>
            <w:vAlign w:val="center"/>
          </w:tcPr>
          <w:p w14:paraId="591C2C80">
            <w:pPr>
              <w:spacing w:after="0" w:line="259" w:lineRule="auto"/>
            </w:pPr>
            <w:r>
              <w:rPr>
                <w:rFonts w:ascii="STHeiti" w:hAnsi="STHeiti" w:eastAsia="STHeiti" w:cs="STHeiti"/>
                <w:b w:val="0"/>
                <w:color w:val="142337"/>
                <w:sz w:val="20"/>
              </w:rPr>
              <w:t>数字</w:t>
            </w:r>
          </w:p>
        </w:tc>
        <w:tc>
          <w:tcPr>
            <w:tcW w:w="4464" w:type="dxa"/>
            <w:tcMar>
              <w:top w:w="100" w:type="dxa"/>
              <w:left w:w="120" w:type="dxa"/>
              <w:bottom w:w="100" w:type="dxa"/>
              <w:right w:w="120" w:type="dxa"/>
            </w:tcMar>
            <w:vAlign w:val="center"/>
          </w:tcPr>
          <w:p w14:paraId="69CB6C78">
            <w:pPr>
              <w:spacing w:after="0" w:line="259" w:lineRule="auto"/>
            </w:pPr>
            <w:r>
              <w:rPr>
                <w:rFonts w:ascii="STHeiti" w:hAnsi="STHeiti" w:eastAsia="STHeiti" w:cs="STHeiti"/>
                <w:b w:val="0"/>
                <w:color w:val="142337"/>
                <w:sz w:val="20"/>
              </w:rPr>
              <w:t>实时计算筛选后的告警条数。</w:t>
            </w:r>
          </w:p>
        </w:tc>
      </w:tr>
    </w:tbl>
    <w:p w14:paraId="2D584AA1">
      <w:pPr>
        <w:spacing w:after="40"/>
      </w:pPr>
    </w:p>
    <w:p w14:paraId="54F5C4EF">
      <w:pPr>
        <w:pStyle w:val="4"/>
        <w:spacing w:before="240" w:after="120" w:line="264" w:lineRule="auto"/>
        <w:rPr>
          <w:rFonts w:ascii="STHeiti" w:hAnsi="STHeiti" w:eastAsia="STHeiti" w:cs="STHeiti"/>
          <w:b/>
          <w:color w:val="2E74B5"/>
          <w:sz w:val="26"/>
        </w:rPr>
      </w:pPr>
      <w:r>
        <w:rPr>
          <w:rFonts w:ascii="STHeiti" w:hAnsi="STHeiti" w:eastAsia="STHeiti" w:cs="STHeiti"/>
          <w:b/>
          <w:color w:val="2E74B5"/>
          <w:sz w:val="26"/>
        </w:rPr>
        <w:t>3.4 视频预警卡片列表</w:t>
      </w:r>
    </w:p>
    <w:p w14:paraId="5F939E31">
      <w:r>
        <w:drawing>
          <wp:inline distT="0" distB="0" distL="114300" distR="114300">
            <wp:extent cx="5937885" cy="2946400"/>
            <wp:effectExtent l="0" t="0" r="571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937885" cy="2946400"/>
                    </a:xfrm>
                    <a:prstGeom prst="rect">
                      <a:avLst/>
                    </a:prstGeom>
                    <a:noFill/>
                    <a:ln>
                      <a:noFill/>
                    </a:ln>
                  </pic:spPr>
                </pic:pic>
              </a:graphicData>
            </a:graphic>
          </wp:inline>
        </w:drawing>
      </w:r>
    </w:p>
    <w:p w14:paraId="3443BE2E">
      <w:pPr>
        <w:pStyle w:val="16"/>
        <w:spacing w:after="80" w:line="276" w:lineRule="auto"/>
      </w:pPr>
      <w:r>
        <w:rPr>
          <w:rFonts w:ascii="STHeiti" w:hAnsi="STHeiti" w:eastAsia="STHeiti" w:cs="STHeiti"/>
          <w:b w:val="0"/>
          <w:color w:val="142337"/>
          <w:sz w:val="22"/>
        </w:rPr>
        <w:t>卡片结构：</w:t>
      </w:r>
      <w:r>
        <w:rPr>
          <w:rFonts w:hint="eastAsia" w:cs="STHeiti"/>
          <w:b w:val="0"/>
          <w:color w:val="142337"/>
          <w:sz w:val="22"/>
          <w:lang w:val="en-US" w:eastAsia="zh-CN"/>
        </w:rPr>
        <w:t>图片</w:t>
      </w:r>
      <w:r>
        <w:rPr>
          <w:rFonts w:ascii="STHeiti" w:hAnsi="STHeiti" w:eastAsia="STHeiti" w:cs="STHeiti"/>
          <w:b w:val="0"/>
          <w:color w:val="142337"/>
          <w:sz w:val="22"/>
        </w:rPr>
        <w:t>缩略图</w:t>
      </w:r>
      <w:r>
        <w:rPr>
          <w:rFonts w:hint="eastAsia" w:cs="STHeiti"/>
          <w:b w:val="0"/>
          <w:color w:val="142337"/>
          <w:sz w:val="22"/>
          <w:highlight w:val="yellow"/>
          <w:lang w:eastAsia="zh-CN"/>
        </w:rPr>
        <w:t>（</w:t>
      </w:r>
      <w:r>
        <w:rPr>
          <w:rFonts w:hint="eastAsia" w:cs="STHeiti"/>
          <w:b w:val="0"/>
          <w:color w:val="142337"/>
          <w:sz w:val="22"/>
          <w:highlight w:val="yellow"/>
          <w:lang w:val="en-US" w:eastAsia="zh-CN"/>
        </w:rPr>
        <w:t>原型虽是视频，但是开发时此处展示抽帧图</w:t>
      </w:r>
      <w:r>
        <w:rPr>
          <w:rFonts w:hint="eastAsia" w:cs="STHeiti"/>
          <w:b w:val="0"/>
          <w:color w:val="142337"/>
          <w:sz w:val="22"/>
          <w:highlight w:val="yellow"/>
          <w:lang w:eastAsia="zh-CN"/>
        </w:rPr>
        <w:t>）</w:t>
      </w:r>
      <w:r>
        <w:rPr>
          <w:rFonts w:ascii="STHeiti" w:hAnsi="STHeiti" w:eastAsia="STHeiti" w:cs="STHeiti"/>
          <w:b w:val="0"/>
          <w:color w:val="142337"/>
          <w:sz w:val="22"/>
        </w:rPr>
        <w:t>、风险角标、处置状态角标、预警标题、预警时间、监控点</w:t>
      </w:r>
      <w:r>
        <w:rPr>
          <w:rFonts w:hint="eastAsia" w:cs="STHeiti"/>
          <w:b w:val="0"/>
          <w:color w:val="142337"/>
          <w:sz w:val="22"/>
          <w:lang w:eastAsia="zh-CN"/>
        </w:rPr>
        <w:t>（</w:t>
      </w:r>
      <w:r>
        <w:rPr>
          <w:rFonts w:hint="eastAsia" w:cs="STHeiti"/>
          <w:b w:val="0"/>
          <w:color w:val="142337"/>
          <w:sz w:val="22"/>
          <w:lang w:val="en-US" w:eastAsia="zh-CN"/>
        </w:rPr>
        <w:t>设备名称</w:t>
      </w:r>
      <w:r>
        <w:rPr>
          <w:rFonts w:hint="eastAsia" w:cs="STHeiti"/>
          <w:b w:val="0"/>
          <w:color w:val="142337"/>
          <w:sz w:val="22"/>
          <w:lang w:eastAsia="zh-CN"/>
        </w:rPr>
        <w:t>）</w:t>
      </w:r>
      <w:r>
        <w:rPr>
          <w:rFonts w:ascii="STHeiti" w:hAnsi="STHeiti" w:eastAsia="STHeiti" w:cs="STHeiti"/>
          <w:b w:val="0"/>
          <w:color w:val="142337"/>
          <w:sz w:val="22"/>
        </w:rPr>
        <w:t>、业务</w:t>
      </w:r>
      <w:r>
        <w:rPr>
          <w:rFonts w:hint="eastAsia" w:cs="STHeiti"/>
          <w:b w:val="0"/>
          <w:color w:val="142337"/>
          <w:sz w:val="22"/>
          <w:lang w:val="en-US" w:eastAsia="zh-CN"/>
        </w:rPr>
        <w:t>状态</w:t>
      </w:r>
      <w:r>
        <w:rPr>
          <w:rFonts w:ascii="STHeiti" w:hAnsi="STHeiti" w:eastAsia="STHeiti" w:cs="STHeiti"/>
          <w:b w:val="0"/>
          <w:color w:val="142337"/>
          <w:sz w:val="22"/>
        </w:rPr>
        <w:t>说明。</w:t>
      </w:r>
    </w:p>
    <w:p w14:paraId="0A99D0B9">
      <w:pPr>
        <w:pStyle w:val="16"/>
        <w:spacing w:after="80" w:line="276" w:lineRule="auto"/>
      </w:pPr>
      <w:r>
        <w:rPr>
          <w:rFonts w:ascii="STHeiti" w:hAnsi="STHeiti" w:eastAsia="STHeiti" w:cs="STHeiti"/>
          <w:b w:val="0"/>
          <w:color w:val="142337"/>
          <w:sz w:val="22"/>
        </w:rPr>
        <w:t>点击卡片：选中该告警，刷新下方智能研判结果，并保持当前筛选条件不变。</w:t>
      </w:r>
    </w:p>
    <w:p w14:paraId="2C2B12D0">
      <w:pPr>
        <w:pStyle w:val="16"/>
        <w:spacing w:after="80" w:line="276" w:lineRule="auto"/>
      </w:pPr>
      <w:r>
        <w:rPr>
          <w:rFonts w:ascii="STHeiti" w:hAnsi="STHeiti" w:eastAsia="STHeiti" w:cs="STHeiti"/>
          <w:b w:val="0"/>
          <w:color w:val="142337"/>
          <w:sz w:val="22"/>
        </w:rPr>
        <w:t>点击</w:t>
      </w:r>
      <w:r>
        <w:rPr>
          <w:rFonts w:hint="eastAsia" w:cs="STHeiti"/>
          <w:b w:val="0"/>
          <w:color w:val="142337"/>
          <w:sz w:val="22"/>
          <w:lang w:val="en-US" w:eastAsia="zh-CN"/>
        </w:rPr>
        <w:t>图片</w:t>
      </w:r>
      <w:r>
        <w:rPr>
          <w:rFonts w:ascii="STHeiti" w:hAnsi="STHeiti" w:eastAsia="STHeiti" w:cs="STHeiti"/>
          <w:b w:val="0"/>
          <w:color w:val="142337"/>
          <w:sz w:val="22"/>
        </w:rPr>
        <w:t>缩略图：打开</w:t>
      </w:r>
      <w:r>
        <w:rPr>
          <w:rFonts w:hint="eastAsia" w:cs="STHeiti"/>
          <w:b w:val="0"/>
          <w:color w:val="142337"/>
          <w:sz w:val="22"/>
          <w:lang w:val="en-US" w:eastAsia="zh-CN"/>
        </w:rPr>
        <w:t>图片</w:t>
      </w:r>
      <w:r>
        <w:rPr>
          <w:rFonts w:ascii="STHeiti" w:hAnsi="STHeiti" w:eastAsia="STHeiti" w:cs="STHeiti"/>
          <w:b w:val="0"/>
          <w:color w:val="142337"/>
          <w:sz w:val="22"/>
        </w:rPr>
        <w:t>弹窗，</w:t>
      </w:r>
      <w:r>
        <w:rPr>
          <w:rFonts w:hint="eastAsia" w:cs="STHeiti"/>
          <w:b w:val="0"/>
          <w:color w:val="142337"/>
          <w:sz w:val="22"/>
          <w:lang w:val="en-US" w:eastAsia="zh-CN"/>
        </w:rPr>
        <w:t>可查看</w:t>
      </w:r>
      <w:r>
        <w:rPr>
          <w:rFonts w:ascii="STHeiti" w:hAnsi="STHeiti" w:eastAsia="STHeiti" w:cs="STHeiti"/>
          <w:b w:val="0"/>
          <w:color w:val="142337"/>
          <w:sz w:val="22"/>
        </w:rPr>
        <w:t>该告警关联</w:t>
      </w:r>
      <w:r>
        <w:rPr>
          <w:rFonts w:hint="eastAsia" w:cs="STHeiti"/>
          <w:b w:val="0"/>
          <w:color w:val="142337"/>
          <w:sz w:val="22"/>
          <w:lang w:val="en-US" w:eastAsia="zh-CN"/>
        </w:rPr>
        <w:t>抽帧图</w:t>
      </w:r>
      <w:r>
        <w:rPr>
          <w:rFonts w:ascii="STHeiti" w:hAnsi="STHeiti" w:eastAsia="STHeiti" w:cs="STHeiti"/>
          <w:b w:val="0"/>
          <w:color w:val="142337"/>
          <w:sz w:val="22"/>
        </w:rPr>
        <w:t>；同时选中该告警。</w:t>
      </w:r>
    </w:p>
    <w:p w14:paraId="14676FB3">
      <w:pPr>
        <w:pStyle w:val="4"/>
        <w:spacing w:before="240" w:after="120" w:line="264" w:lineRule="auto"/>
        <w:rPr>
          <w:rFonts w:ascii="STHeiti" w:hAnsi="STHeiti" w:eastAsia="STHeiti" w:cs="STHeiti"/>
          <w:b/>
          <w:color w:val="2E74B5"/>
          <w:sz w:val="26"/>
        </w:rPr>
      </w:pPr>
      <w:r>
        <w:rPr>
          <w:rFonts w:ascii="STHeiti" w:hAnsi="STHeiti" w:eastAsia="STHeiti" w:cs="STHeiti"/>
          <w:b/>
          <w:color w:val="2E74B5"/>
          <w:sz w:val="26"/>
        </w:rPr>
        <w:t>3.5 智能研判结果</w:t>
      </w:r>
    </w:p>
    <w:p w14:paraId="1B770A7B">
      <w:r>
        <w:drawing>
          <wp:inline distT="0" distB="0" distL="114300" distR="114300">
            <wp:extent cx="5936615" cy="2171065"/>
            <wp:effectExtent l="0" t="0" r="6985" b="133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936615" cy="2171065"/>
                    </a:xfrm>
                    <a:prstGeom prst="rect">
                      <a:avLst/>
                    </a:prstGeom>
                    <a:noFill/>
                    <a:ln>
                      <a:noFill/>
                    </a:ln>
                  </pic:spPr>
                </pic:pic>
              </a:graphicData>
            </a:graphic>
          </wp:inline>
        </w:drawing>
      </w:r>
    </w:p>
    <w:p w14:paraId="6DAE768B">
      <w:pPr>
        <w:pStyle w:val="16"/>
        <w:spacing w:after="80" w:line="276" w:lineRule="auto"/>
      </w:pPr>
      <w:r>
        <w:rPr>
          <w:rFonts w:hint="eastAsia"/>
          <w:lang w:val="en-US" w:eastAsia="zh-CN"/>
        </w:rPr>
        <w:t>前置条件：本模块的前置条件是选中视频预警卡片的预警数据</w:t>
      </w:r>
    </w:p>
    <w:p w14:paraId="32585809">
      <w:pPr>
        <w:pStyle w:val="16"/>
        <w:spacing w:after="80" w:line="276" w:lineRule="auto"/>
        <w:rPr>
          <w:highlight w:val="yellow"/>
        </w:rPr>
      </w:pPr>
      <w:r>
        <w:rPr>
          <w:rFonts w:hint="eastAsia"/>
          <w:lang w:val="en-US" w:eastAsia="zh-CN"/>
        </w:rPr>
        <w:t>标题区展示智能研判结果标题、调用实时监控画面按钮、第三方施工+风险状态+业务状态；</w:t>
      </w:r>
      <w:r>
        <w:rPr>
          <w:rFonts w:hint="eastAsia"/>
          <w:highlight w:val="yellow"/>
          <w:lang w:val="en-US" w:eastAsia="zh-CN"/>
        </w:rPr>
        <w:t>点击调用实时监控画面按钮，可以进入该关联设备的实时监控。</w:t>
      </w:r>
    </w:p>
    <w:p w14:paraId="3C945768">
      <w:pPr>
        <w:pStyle w:val="16"/>
        <w:spacing w:after="80" w:line="276" w:lineRule="auto"/>
      </w:pPr>
      <w:r>
        <w:rPr>
          <w:rFonts w:ascii="STHeiti" w:hAnsi="STHeiti" w:eastAsia="STHeiti" w:cs="STHeiti"/>
          <w:b w:val="0"/>
          <w:color w:val="142337"/>
          <w:sz w:val="22"/>
        </w:rPr>
        <w:t>摘要区采用 3 列信息卡：等级预警、预警时间、告警目标、告警地点</w:t>
      </w:r>
      <w:r>
        <w:rPr>
          <w:rFonts w:hint="eastAsia" w:cs="STHeiti"/>
          <w:b w:val="0"/>
          <w:color w:val="142337"/>
          <w:sz w:val="22"/>
          <w:lang w:eastAsia="zh-CN"/>
        </w:rPr>
        <w:t>（</w:t>
      </w:r>
      <w:r>
        <w:rPr>
          <w:rFonts w:hint="eastAsia" w:cs="STHeiti"/>
          <w:b w:val="0"/>
          <w:color w:val="142337"/>
          <w:sz w:val="22"/>
          <w:lang w:val="en-US" w:eastAsia="zh-CN"/>
        </w:rPr>
        <w:t>详细地点</w:t>
      </w:r>
      <w:r>
        <w:rPr>
          <w:rFonts w:hint="eastAsia" w:cs="STHeiti"/>
          <w:b w:val="0"/>
          <w:color w:val="142337"/>
          <w:sz w:val="22"/>
          <w:lang w:eastAsia="zh-CN"/>
        </w:rPr>
        <w:t>）</w:t>
      </w:r>
      <w:r>
        <w:rPr>
          <w:rFonts w:ascii="STHeiti" w:hAnsi="STHeiti" w:eastAsia="STHeiti" w:cs="STHeiti"/>
          <w:b w:val="0"/>
          <w:color w:val="142337"/>
          <w:sz w:val="22"/>
        </w:rPr>
        <w:t>、风险区域</w:t>
      </w:r>
      <w:r>
        <w:rPr>
          <w:rFonts w:hint="eastAsia" w:cs="STHeiti"/>
          <w:b w:val="0"/>
          <w:color w:val="142337"/>
          <w:sz w:val="22"/>
          <w:lang w:eastAsia="zh-CN"/>
        </w:rPr>
        <w:t>（</w:t>
      </w:r>
      <w:r>
        <w:rPr>
          <w:rFonts w:hint="eastAsia" w:cs="STHeiti"/>
          <w:b w:val="0"/>
          <w:color w:val="142337"/>
          <w:sz w:val="22"/>
          <w:lang w:val="en-US" w:eastAsia="zh-CN"/>
        </w:rPr>
        <w:t>垫江县</w:t>
      </w:r>
      <w:r>
        <w:rPr>
          <w:rFonts w:hint="default" w:cs="STHeiti"/>
          <w:b w:val="0"/>
          <w:color w:val="142337"/>
          <w:sz w:val="22"/>
          <w:lang w:val="en-US" w:eastAsia="zh-CN"/>
        </w:rPr>
        <w:t>xx</w:t>
      </w:r>
      <w:r>
        <w:rPr>
          <w:rFonts w:hint="eastAsia" w:cs="STHeiti"/>
          <w:b w:val="0"/>
          <w:color w:val="142337"/>
          <w:sz w:val="22"/>
          <w:lang w:val="en-US" w:eastAsia="zh-CN"/>
        </w:rPr>
        <w:t>街道</w:t>
      </w:r>
      <w:r>
        <w:rPr>
          <w:rFonts w:hint="eastAsia" w:cs="STHeiti"/>
          <w:b w:val="0"/>
          <w:color w:val="142337"/>
          <w:sz w:val="22"/>
          <w:lang w:eastAsia="zh-CN"/>
        </w:rPr>
        <w:t>）</w:t>
      </w:r>
      <w:r>
        <w:rPr>
          <w:rFonts w:ascii="STHeiti" w:hAnsi="STHeiti" w:eastAsia="STHeiti" w:cs="STHeiti"/>
          <w:b w:val="0"/>
          <w:color w:val="142337"/>
          <w:sz w:val="22"/>
        </w:rPr>
        <w:t>、历史告警频次。</w:t>
      </w:r>
    </w:p>
    <w:p w14:paraId="6CFC41FF">
      <w:pPr>
        <w:pStyle w:val="16"/>
        <w:spacing w:after="80" w:line="276" w:lineRule="auto"/>
      </w:pPr>
      <w:r>
        <w:rPr>
          <w:rFonts w:ascii="STHeiti" w:hAnsi="STHeiti" w:eastAsia="STHeiti" w:cs="STHeiti"/>
          <w:b w:val="0"/>
          <w:color w:val="142337"/>
          <w:sz w:val="22"/>
        </w:rPr>
        <w:t>研判正文采用 2 列信息块：可能原因、可能影响、处置建议、处置情况</w:t>
      </w:r>
      <w:r>
        <w:rPr>
          <w:rFonts w:hint="eastAsia" w:cs="STHeiti"/>
          <w:b w:val="0"/>
          <w:color w:val="142337"/>
          <w:sz w:val="22"/>
          <w:lang w:eastAsia="zh-CN"/>
        </w:rPr>
        <w:t>，</w:t>
      </w:r>
      <w:r>
        <w:rPr>
          <w:rFonts w:ascii="STHeiti" w:hAnsi="STHeiti" w:eastAsia="STHeiti" w:cs="STHeiti"/>
          <w:b w:val="0"/>
          <w:color w:val="142337"/>
          <w:sz w:val="22"/>
        </w:rPr>
        <w:t>可能原因、可能影响、处置建议</w:t>
      </w:r>
      <w:r>
        <w:rPr>
          <w:rFonts w:hint="eastAsia" w:cs="STHeiti"/>
          <w:b w:val="0"/>
          <w:color w:val="142337"/>
          <w:sz w:val="22"/>
          <w:lang w:val="en-US" w:eastAsia="zh-CN"/>
        </w:rPr>
        <w:t>均为模型输出，处置情况只有当业务状态为“已完成”时，处置情况由事件处置平台返回真实处置结果，其他业务状态均显示为无；</w:t>
      </w:r>
      <w:r>
        <w:rPr>
          <w:rFonts w:ascii="STHeiti" w:hAnsi="STHeiti" w:eastAsia="STHeiti" w:cs="STHeiti"/>
          <w:b w:val="0"/>
          <w:color w:val="142337"/>
          <w:sz w:val="22"/>
        </w:rPr>
        <w:t>智能研判结果</w:t>
      </w:r>
      <w:r>
        <w:rPr>
          <w:rFonts w:hint="eastAsia" w:cs="STHeiti"/>
          <w:b w:val="0"/>
          <w:color w:val="142337"/>
          <w:sz w:val="22"/>
          <w:lang w:val="en-US" w:eastAsia="zh-CN"/>
        </w:rPr>
        <w:t>由模型根据上述字段内容综合整理成该预警数据完整的描述</w:t>
      </w:r>
      <w:r>
        <w:rPr>
          <w:rFonts w:hint="eastAsia" w:cs="STHeiti"/>
          <w:b w:val="0"/>
          <w:color w:val="142337"/>
          <w:sz w:val="22"/>
          <w:lang w:eastAsia="zh-CN"/>
        </w:rPr>
        <w:t>，</w:t>
      </w:r>
    </w:p>
    <w:p w14:paraId="17AF66E9">
      <w:pPr>
        <w:pStyle w:val="16"/>
        <w:spacing w:after="80" w:line="276" w:lineRule="auto"/>
      </w:pPr>
      <w:r>
        <w:rPr>
          <w:rFonts w:hint="eastAsia"/>
          <w:lang w:val="en-US" w:eastAsia="zh-CN"/>
        </w:rPr>
        <w:t>模块下方需有‘可能原因、可能影响、处置建议均为</w:t>
      </w:r>
      <w:r>
        <w:rPr>
          <w:rFonts w:hint="default"/>
          <w:lang w:val="en-US" w:eastAsia="zh-CN"/>
        </w:rPr>
        <w:t>AI</w:t>
      </w:r>
      <w:r>
        <w:rPr>
          <w:rFonts w:hint="eastAsia"/>
          <w:lang w:val="en-US" w:eastAsia="zh-CN"/>
        </w:rPr>
        <w:t>输出，参考需慎重’</w:t>
      </w:r>
    </w:p>
    <w:p w14:paraId="212EB575">
      <w:pPr>
        <w:pStyle w:val="3"/>
        <w:spacing w:before="320" w:after="160" w:line="264" w:lineRule="auto"/>
      </w:pPr>
      <w:r>
        <w:rPr>
          <w:rFonts w:ascii="STHeiti" w:hAnsi="STHeiti" w:eastAsia="STHeiti" w:cs="STHeiti"/>
          <w:b/>
          <w:color w:val="2E74B5"/>
          <w:sz w:val="32"/>
        </w:rPr>
        <w:t>4. 风险识别与抽帧规则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5503FD24">
        <w:trPr>
          <w:jc w:val="center"/>
        </w:trPr>
        <w:tc>
          <w:tcPr>
            <w:tcW w:w="9144" w:type="dxa"/>
            <w:shd w:val="clear" w:color="auto" w:fill="EAF6FA"/>
            <w:tcMar>
              <w:top w:w="100" w:type="dxa"/>
              <w:left w:w="120" w:type="dxa"/>
              <w:bottom w:w="100" w:type="dxa"/>
              <w:right w:w="120" w:type="dxa"/>
            </w:tcMar>
            <w:vAlign w:val="center"/>
          </w:tcPr>
          <w:p w14:paraId="6E8804BA">
            <w:pPr>
              <w:spacing w:after="80"/>
            </w:pPr>
            <w:r>
              <w:rPr>
                <w:rFonts w:ascii="STHeiti" w:hAnsi="STHeiti" w:eastAsia="STHeiti" w:cs="STHeiti"/>
                <w:b/>
                <w:color w:val="1F4D78"/>
                <w:sz w:val="22"/>
              </w:rPr>
              <w:t>统一抽帧频率</w:t>
            </w:r>
          </w:p>
          <w:p w14:paraId="560E32C5">
            <w:pPr>
              <w:spacing w:after="0" w:line="269" w:lineRule="auto"/>
            </w:pPr>
            <w:r>
              <w:rPr>
                <w:rFonts w:ascii="STHeiti" w:hAnsi="STHeiti" w:eastAsia="STHeiti" w:cs="STHeiti"/>
                <w:b w:val="0"/>
                <w:color w:val="142337"/>
                <w:sz w:val="21"/>
              </w:rPr>
              <w:t>低风险、中风险、高风险统一按 5 分钟抽取 1 帧进行识别。若系统具备实时视频流分析能力，可在告警触发后额外进行短时高频复核，但本 PRD 的基础触发规则为 5 分钟/帧。</w:t>
            </w:r>
          </w:p>
        </w:tc>
      </w:tr>
    </w:tbl>
    <w:p w14:paraId="7CF1DDEC">
      <w:pPr>
        <w:spacing w:after="8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76E168D4">
        <w:trPr>
          <w:jc w:val="center"/>
        </w:trPr>
        <w:tc>
          <w:tcPr>
            <w:tcW w:w="1080" w:type="dxa"/>
            <w:shd w:val="clear" w:color="auto" w:fill="F2F4F7"/>
            <w:tcMar>
              <w:top w:w="100" w:type="dxa"/>
              <w:left w:w="120" w:type="dxa"/>
              <w:bottom w:w="100" w:type="dxa"/>
              <w:right w:w="120" w:type="dxa"/>
            </w:tcMar>
            <w:vAlign w:val="center"/>
          </w:tcPr>
          <w:p w14:paraId="55073A49">
            <w:pPr>
              <w:spacing w:after="0"/>
            </w:pPr>
            <w:r>
              <w:rPr>
                <w:rFonts w:ascii="STHeiti" w:hAnsi="STHeiti" w:eastAsia="STHeiti" w:cs="STHeiti"/>
                <w:b/>
                <w:color w:val="142337"/>
                <w:sz w:val="21"/>
              </w:rPr>
              <w:t>风险等级</w:t>
            </w:r>
          </w:p>
        </w:tc>
        <w:tc>
          <w:tcPr>
            <w:tcW w:w="1800" w:type="dxa"/>
            <w:shd w:val="clear" w:color="auto" w:fill="F2F4F7"/>
            <w:tcMar>
              <w:top w:w="100" w:type="dxa"/>
              <w:left w:w="120" w:type="dxa"/>
              <w:bottom w:w="100" w:type="dxa"/>
              <w:right w:w="120" w:type="dxa"/>
            </w:tcMar>
            <w:vAlign w:val="center"/>
          </w:tcPr>
          <w:p w14:paraId="3397619E">
            <w:pPr>
              <w:spacing w:after="0"/>
            </w:pPr>
            <w:r>
              <w:rPr>
                <w:rFonts w:ascii="STHeiti" w:hAnsi="STHeiti" w:eastAsia="STHeiti" w:cs="STHeiti"/>
                <w:b/>
                <w:color w:val="142337"/>
                <w:sz w:val="21"/>
              </w:rPr>
              <w:t>触发场景</w:t>
            </w:r>
          </w:p>
        </w:tc>
        <w:tc>
          <w:tcPr>
            <w:tcW w:w="1944" w:type="dxa"/>
            <w:shd w:val="clear" w:color="auto" w:fill="F2F4F7"/>
            <w:tcMar>
              <w:top w:w="100" w:type="dxa"/>
              <w:left w:w="120" w:type="dxa"/>
              <w:bottom w:w="100" w:type="dxa"/>
              <w:right w:w="120" w:type="dxa"/>
            </w:tcMar>
            <w:vAlign w:val="center"/>
          </w:tcPr>
          <w:p w14:paraId="42DFEC7C">
            <w:pPr>
              <w:spacing w:after="0"/>
            </w:pPr>
            <w:r>
              <w:rPr>
                <w:rFonts w:ascii="STHeiti" w:hAnsi="STHeiti" w:eastAsia="STHeiti" w:cs="STHeiti"/>
                <w:b/>
                <w:color w:val="142337"/>
                <w:sz w:val="21"/>
              </w:rPr>
              <w:t>识别对象</w:t>
            </w:r>
          </w:p>
        </w:tc>
        <w:tc>
          <w:tcPr>
            <w:tcW w:w="2664" w:type="dxa"/>
            <w:shd w:val="clear" w:color="auto" w:fill="F2F4F7"/>
            <w:tcMar>
              <w:top w:w="100" w:type="dxa"/>
              <w:left w:w="120" w:type="dxa"/>
              <w:bottom w:w="100" w:type="dxa"/>
              <w:right w:w="120" w:type="dxa"/>
            </w:tcMar>
            <w:vAlign w:val="center"/>
          </w:tcPr>
          <w:p w14:paraId="40C08821">
            <w:pPr>
              <w:spacing w:after="0"/>
            </w:pPr>
            <w:r>
              <w:rPr>
                <w:rFonts w:ascii="STHeiti" w:hAnsi="STHeiti" w:eastAsia="STHeiti" w:cs="STHeiti"/>
                <w:b/>
                <w:color w:val="142337"/>
                <w:sz w:val="21"/>
              </w:rPr>
              <w:t>触发条件</w:t>
            </w:r>
          </w:p>
        </w:tc>
        <w:tc>
          <w:tcPr>
            <w:tcW w:w="1656" w:type="dxa"/>
            <w:shd w:val="clear" w:color="auto" w:fill="F2F4F7"/>
            <w:tcMar>
              <w:top w:w="100" w:type="dxa"/>
              <w:left w:w="120" w:type="dxa"/>
              <w:bottom w:w="100" w:type="dxa"/>
              <w:right w:w="120" w:type="dxa"/>
            </w:tcMar>
            <w:vAlign w:val="center"/>
          </w:tcPr>
          <w:p w14:paraId="2510324F">
            <w:pPr>
              <w:spacing w:after="0"/>
              <w:rPr>
                <w:rFonts w:hint="eastAsia" w:eastAsia="STHeiti"/>
                <w:lang w:val="en-US" w:eastAsia="zh-CN"/>
              </w:rPr>
            </w:pPr>
            <w:r>
              <w:rPr>
                <w:rFonts w:ascii="STHeiti" w:hAnsi="STHeiti" w:eastAsia="STHeiti" w:cs="STHeiti"/>
                <w:b/>
                <w:color w:val="142337"/>
                <w:sz w:val="21"/>
              </w:rPr>
              <w:t>告警</w:t>
            </w:r>
            <w:r>
              <w:rPr>
                <w:rFonts w:hint="eastAsia" w:cs="STHeiti"/>
                <w:b/>
                <w:color w:val="142337"/>
                <w:sz w:val="21"/>
                <w:lang w:val="en-US" w:eastAsia="zh-CN"/>
              </w:rPr>
              <w:t>内容</w:t>
            </w:r>
          </w:p>
        </w:tc>
      </w:tr>
      <w:tr w14:paraId="26993D52">
        <w:trPr>
          <w:jc w:val="center"/>
        </w:trPr>
        <w:tc>
          <w:tcPr>
            <w:tcW w:w="1080" w:type="dxa"/>
            <w:tcMar>
              <w:top w:w="100" w:type="dxa"/>
              <w:left w:w="120" w:type="dxa"/>
              <w:bottom w:w="100" w:type="dxa"/>
              <w:right w:w="120" w:type="dxa"/>
            </w:tcMar>
            <w:vAlign w:val="center"/>
          </w:tcPr>
          <w:p w14:paraId="410E7E72">
            <w:pPr>
              <w:spacing w:after="0" w:line="259" w:lineRule="auto"/>
            </w:pPr>
            <w:r>
              <w:rPr>
                <w:rFonts w:ascii="STHeiti" w:hAnsi="STHeiti" w:eastAsia="STHeiti" w:cs="STHeiti"/>
                <w:b w:val="0"/>
                <w:color w:val="142337"/>
                <w:sz w:val="20"/>
              </w:rPr>
              <w:t>低风险</w:t>
            </w:r>
          </w:p>
        </w:tc>
        <w:tc>
          <w:tcPr>
            <w:tcW w:w="1800" w:type="dxa"/>
            <w:tcMar>
              <w:top w:w="100" w:type="dxa"/>
              <w:left w:w="120" w:type="dxa"/>
              <w:bottom w:w="100" w:type="dxa"/>
              <w:right w:w="120" w:type="dxa"/>
            </w:tcMar>
            <w:vAlign w:val="center"/>
          </w:tcPr>
          <w:p w14:paraId="37FBBEF0">
            <w:pPr>
              <w:spacing w:after="0" w:line="259" w:lineRule="auto"/>
            </w:pPr>
            <w:r>
              <w:rPr>
                <w:rFonts w:ascii="STHeiti" w:hAnsi="STHeiti" w:eastAsia="STHeiti" w:cs="STHeiti"/>
                <w:b w:val="0"/>
                <w:color w:val="142337"/>
                <w:sz w:val="20"/>
              </w:rPr>
              <w:t>人出现在监控画面</w:t>
            </w:r>
          </w:p>
        </w:tc>
        <w:tc>
          <w:tcPr>
            <w:tcW w:w="1944" w:type="dxa"/>
            <w:tcMar>
              <w:top w:w="100" w:type="dxa"/>
              <w:left w:w="120" w:type="dxa"/>
              <w:bottom w:w="100" w:type="dxa"/>
              <w:right w:w="120" w:type="dxa"/>
            </w:tcMar>
            <w:vAlign w:val="center"/>
          </w:tcPr>
          <w:p w14:paraId="3EA95DF9">
            <w:pPr>
              <w:spacing w:after="0" w:line="259" w:lineRule="auto"/>
            </w:pPr>
            <w:r>
              <w:rPr>
                <w:rFonts w:ascii="STHeiti" w:hAnsi="STHeiti" w:eastAsia="STHeiti" w:cs="STHeiti"/>
                <w:b w:val="0"/>
                <w:color w:val="142337"/>
                <w:sz w:val="20"/>
              </w:rPr>
              <w:t>任意人员，不局限于施工人员</w:t>
            </w:r>
          </w:p>
        </w:tc>
        <w:tc>
          <w:tcPr>
            <w:tcW w:w="2664" w:type="dxa"/>
            <w:tcMar>
              <w:top w:w="100" w:type="dxa"/>
              <w:left w:w="120" w:type="dxa"/>
              <w:bottom w:w="100" w:type="dxa"/>
              <w:right w:w="120" w:type="dxa"/>
            </w:tcMar>
            <w:vAlign w:val="center"/>
          </w:tcPr>
          <w:p w14:paraId="331C367B">
            <w:pPr>
              <w:spacing w:after="0" w:line="259" w:lineRule="auto"/>
            </w:pPr>
            <w:r>
              <w:rPr>
                <w:rFonts w:ascii="STHeiti" w:hAnsi="STHeiti" w:eastAsia="STHeiti" w:cs="STHeiti"/>
                <w:b w:val="0"/>
                <w:color w:val="142337"/>
                <w:sz w:val="20"/>
              </w:rPr>
              <w:t>抽帧画面中检测到 person 且置信度达到阈值，即触发低风险预警。</w:t>
            </w:r>
          </w:p>
        </w:tc>
        <w:tc>
          <w:tcPr>
            <w:tcW w:w="1656" w:type="dxa"/>
            <w:tcMar>
              <w:top w:w="100" w:type="dxa"/>
              <w:left w:w="120" w:type="dxa"/>
              <w:bottom w:w="100" w:type="dxa"/>
              <w:right w:w="120" w:type="dxa"/>
            </w:tcMar>
            <w:vAlign w:val="center"/>
          </w:tcPr>
          <w:p w14:paraId="38CBEF6D">
            <w:pPr>
              <w:spacing w:after="0" w:line="259" w:lineRule="auto"/>
            </w:pPr>
            <w:r>
              <w:rPr>
                <w:rFonts w:ascii="STHeiti" w:hAnsi="STHeiti" w:eastAsia="STHeiti" w:cs="STHeiti"/>
                <w:b w:val="0"/>
                <w:color w:val="142337"/>
                <w:sz w:val="20"/>
              </w:rPr>
              <w:t>提示监控区域出现人员活动，需要持续关注是否靠近管线或演变为施工行为。</w:t>
            </w:r>
          </w:p>
        </w:tc>
      </w:tr>
      <w:tr w14:paraId="40D720B2">
        <w:trPr>
          <w:jc w:val="center"/>
        </w:trPr>
        <w:tc>
          <w:tcPr>
            <w:tcW w:w="1080" w:type="dxa"/>
            <w:tcMar>
              <w:top w:w="100" w:type="dxa"/>
              <w:left w:w="120" w:type="dxa"/>
              <w:bottom w:w="100" w:type="dxa"/>
              <w:right w:w="120" w:type="dxa"/>
            </w:tcMar>
            <w:vAlign w:val="center"/>
          </w:tcPr>
          <w:p w14:paraId="106148AD">
            <w:pPr>
              <w:spacing w:after="0" w:line="259" w:lineRule="auto"/>
            </w:pPr>
            <w:r>
              <w:rPr>
                <w:rFonts w:ascii="STHeiti" w:hAnsi="STHeiti" w:eastAsia="STHeiti" w:cs="STHeiti"/>
                <w:b w:val="0"/>
                <w:color w:val="142337"/>
                <w:sz w:val="20"/>
              </w:rPr>
              <w:t>中风险</w:t>
            </w:r>
          </w:p>
        </w:tc>
        <w:tc>
          <w:tcPr>
            <w:tcW w:w="1800" w:type="dxa"/>
            <w:tcMar>
              <w:top w:w="100" w:type="dxa"/>
              <w:left w:w="120" w:type="dxa"/>
              <w:bottom w:w="100" w:type="dxa"/>
              <w:right w:w="120" w:type="dxa"/>
            </w:tcMar>
            <w:vAlign w:val="center"/>
          </w:tcPr>
          <w:p w14:paraId="2EC51B2B">
            <w:pPr>
              <w:spacing w:after="0" w:line="259" w:lineRule="auto"/>
            </w:pPr>
            <w:r>
              <w:rPr>
                <w:rFonts w:ascii="STHeiti" w:hAnsi="STHeiti" w:eastAsia="STHeiti" w:cs="STHeiti"/>
                <w:b w:val="0"/>
                <w:color w:val="142337"/>
                <w:sz w:val="20"/>
              </w:rPr>
              <w:t>工程运输车出现在监控画面</w:t>
            </w:r>
          </w:p>
        </w:tc>
        <w:tc>
          <w:tcPr>
            <w:tcW w:w="1944" w:type="dxa"/>
            <w:tcMar>
              <w:top w:w="100" w:type="dxa"/>
              <w:left w:w="120" w:type="dxa"/>
              <w:bottom w:w="100" w:type="dxa"/>
              <w:right w:w="120" w:type="dxa"/>
            </w:tcMar>
            <w:vAlign w:val="center"/>
          </w:tcPr>
          <w:p w14:paraId="6179D264">
            <w:pPr>
              <w:spacing w:after="0" w:line="259" w:lineRule="auto"/>
            </w:pPr>
            <w:r>
              <w:rPr>
                <w:rFonts w:ascii="STHeiti" w:hAnsi="STHeiti" w:eastAsia="STHeiti" w:cs="STHeiti"/>
                <w:b w:val="0"/>
                <w:color w:val="142337"/>
                <w:sz w:val="20"/>
              </w:rPr>
              <w:t>工程运输车</w:t>
            </w:r>
          </w:p>
        </w:tc>
        <w:tc>
          <w:tcPr>
            <w:tcW w:w="2664" w:type="dxa"/>
            <w:tcMar>
              <w:top w:w="100" w:type="dxa"/>
              <w:left w:w="120" w:type="dxa"/>
              <w:bottom w:w="100" w:type="dxa"/>
              <w:right w:w="120" w:type="dxa"/>
            </w:tcMar>
            <w:vAlign w:val="center"/>
          </w:tcPr>
          <w:p w14:paraId="216498C0">
            <w:pPr>
              <w:spacing w:after="0" w:line="259" w:lineRule="auto"/>
            </w:pPr>
            <w:r>
              <w:rPr>
                <w:rFonts w:ascii="STHeiti" w:hAnsi="STHeiti" w:eastAsia="STHeiti" w:cs="STHeiti"/>
                <w:b w:val="0"/>
                <w:color w:val="142337"/>
                <w:sz w:val="20"/>
              </w:rPr>
              <w:t>抽帧画面中检测到工程运输车辆且置信度达到阈值，即触发中风险预警。</w:t>
            </w:r>
          </w:p>
        </w:tc>
        <w:tc>
          <w:tcPr>
            <w:tcW w:w="1656" w:type="dxa"/>
            <w:tcMar>
              <w:top w:w="100" w:type="dxa"/>
              <w:left w:w="120" w:type="dxa"/>
              <w:bottom w:w="100" w:type="dxa"/>
              <w:right w:w="120" w:type="dxa"/>
            </w:tcMar>
            <w:vAlign w:val="center"/>
          </w:tcPr>
          <w:p w14:paraId="752D5275">
            <w:pPr>
              <w:spacing w:after="0" w:line="259" w:lineRule="auto"/>
            </w:pPr>
            <w:r>
              <w:rPr>
                <w:rFonts w:ascii="STHeiti" w:hAnsi="STHeiti" w:eastAsia="STHeiti" w:cs="STHeiti"/>
                <w:b w:val="0"/>
                <w:color w:val="142337"/>
                <w:sz w:val="20"/>
              </w:rPr>
              <w:t>提示</w:t>
            </w:r>
            <w:r>
              <w:rPr>
                <w:rFonts w:hint="eastAsia" w:cs="STHeiti"/>
                <w:b w:val="0"/>
                <w:color w:val="142337"/>
                <w:sz w:val="20"/>
                <w:lang w:val="en-US" w:eastAsia="zh-CN"/>
              </w:rPr>
              <w:t>监测到工程运输车出现在燃气管道监控区域，</w:t>
            </w:r>
            <w:r>
              <w:rPr>
                <w:rFonts w:ascii="STHeiti" w:hAnsi="STHeiti" w:eastAsia="STHeiti" w:cs="STHeiti"/>
                <w:b w:val="0"/>
                <w:color w:val="142337"/>
                <w:sz w:val="20"/>
              </w:rPr>
              <w:t>可能存在施工运输、材料进出场或工程作业准备</w:t>
            </w:r>
            <w:r>
              <w:rPr>
                <w:rFonts w:hint="eastAsia" w:cs="STHeiti"/>
                <w:b w:val="0"/>
                <w:color w:val="142337"/>
                <w:sz w:val="20"/>
                <w:lang w:val="en-US" w:eastAsia="zh-CN"/>
              </w:rPr>
              <w:t>的风险</w:t>
            </w:r>
            <w:r>
              <w:rPr>
                <w:rFonts w:ascii="STHeiti" w:hAnsi="STHeiti" w:eastAsia="STHeiti" w:cs="STHeiti"/>
                <w:b w:val="0"/>
                <w:color w:val="142337"/>
                <w:sz w:val="20"/>
              </w:rPr>
              <w:t>。</w:t>
            </w:r>
          </w:p>
        </w:tc>
      </w:tr>
      <w:tr w14:paraId="27DB7D54">
        <w:trPr>
          <w:jc w:val="center"/>
        </w:trPr>
        <w:tc>
          <w:tcPr>
            <w:tcW w:w="1080" w:type="dxa"/>
            <w:tcMar>
              <w:top w:w="100" w:type="dxa"/>
              <w:left w:w="120" w:type="dxa"/>
              <w:bottom w:w="100" w:type="dxa"/>
              <w:right w:w="120" w:type="dxa"/>
            </w:tcMar>
            <w:vAlign w:val="center"/>
          </w:tcPr>
          <w:p w14:paraId="502A607E">
            <w:pPr>
              <w:spacing w:after="0" w:line="259" w:lineRule="auto"/>
            </w:pPr>
            <w:r>
              <w:rPr>
                <w:rFonts w:ascii="STHeiti" w:hAnsi="STHeiti" w:eastAsia="STHeiti" w:cs="STHeiti"/>
                <w:b w:val="0"/>
                <w:color w:val="142337"/>
                <w:sz w:val="20"/>
              </w:rPr>
              <w:t>高风险</w:t>
            </w:r>
          </w:p>
        </w:tc>
        <w:tc>
          <w:tcPr>
            <w:tcW w:w="1800" w:type="dxa"/>
            <w:tcMar>
              <w:top w:w="100" w:type="dxa"/>
              <w:left w:w="120" w:type="dxa"/>
              <w:bottom w:w="100" w:type="dxa"/>
              <w:right w:w="120" w:type="dxa"/>
            </w:tcMar>
            <w:vAlign w:val="center"/>
          </w:tcPr>
          <w:p w14:paraId="4FA78815">
            <w:pPr>
              <w:spacing w:after="0" w:line="259" w:lineRule="auto"/>
            </w:pPr>
            <w:r>
              <w:rPr>
                <w:rFonts w:ascii="STHeiti" w:hAnsi="STHeiti" w:eastAsia="STHeiti" w:cs="STHeiti"/>
                <w:b w:val="0"/>
                <w:color w:val="142337"/>
                <w:sz w:val="20"/>
              </w:rPr>
              <w:t>挖掘机出现在监控画面</w:t>
            </w:r>
          </w:p>
        </w:tc>
        <w:tc>
          <w:tcPr>
            <w:tcW w:w="1944" w:type="dxa"/>
            <w:tcMar>
              <w:top w:w="100" w:type="dxa"/>
              <w:left w:w="120" w:type="dxa"/>
              <w:bottom w:w="100" w:type="dxa"/>
              <w:right w:w="120" w:type="dxa"/>
            </w:tcMar>
            <w:vAlign w:val="center"/>
          </w:tcPr>
          <w:p w14:paraId="0F7F6505">
            <w:pPr>
              <w:spacing w:after="0" w:line="259" w:lineRule="auto"/>
            </w:pPr>
            <w:r>
              <w:rPr>
                <w:rFonts w:ascii="STHeiti" w:hAnsi="STHeiti" w:eastAsia="STHeiti" w:cs="STHeiti"/>
                <w:b w:val="0"/>
                <w:color w:val="142337"/>
                <w:sz w:val="20"/>
              </w:rPr>
              <w:t>挖掘机</w:t>
            </w:r>
          </w:p>
        </w:tc>
        <w:tc>
          <w:tcPr>
            <w:tcW w:w="2664" w:type="dxa"/>
            <w:tcMar>
              <w:top w:w="100" w:type="dxa"/>
              <w:left w:w="120" w:type="dxa"/>
              <w:bottom w:w="100" w:type="dxa"/>
              <w:right w:w="120" w:type="dxa"/>
            </w:tcMar>
            <w:vAlign w:val="center"/>
          </w:tcPr>
          <w:p w14:paraId="24D89FDF">
            <w:pPr>
              <w:spacing w:after="0" w:line="259" w:lineRule="auto"/>
            </w:pPr>
            <w:r>
              <w:rPr>
                <w:rFonts w:ascii="STHeiti" w:hAnsi="STHeiti" w:eastAsia="STHeiti" w:cs="STHeiti"/>
                <w:b w:val="0"/>
                <w:color w:val="142337"/>
                <w:sz w:val="20"/>
              </w:rPr>
              <w:t>抽帧画面中检测到 excavator 且置信度达到阈值，即触发高风险预警。</w:t>
            </w:r>
          </w:p>
        </w:tc>
        <w:tc>
          <w:tcPr>
            <w:tcW w:w="1656" w:type="dxa"/>
            <w:tcMar>
              <w:top w:w="100" w:type="dxa"/>
              <w:left w:w="120" w:type="dxa"/>
              <w:bottom w:w="100" w:type="dxa"/>
              <w:right w:w="120" w:type="dxa"/>
            </w:tcMar>
            <w:vAlign w:val="center"/>
          </w:tcPr>
          <w:p w14:paraId="774A702A">
            <w:pPr>
              <w:spacing w:after="0" w:line="259" w:lineRule="auto"/>
            </w:pPr>
            <w:r>
              <w:rPr>
                <w:rFonts w:ascii="STHeiti" w:hAnsi="STHeiti" w:eastAsia="STHeiti" w:cs="STHeiti"/>
                <w:b w:val="0"/>
                <w:color w:val="142337"/>
                <w:sz w:val="20"/>
              </w:rPr>
              <w:t>提示</w:t>
            </w:r>
            <w:r>
              <w:rPr>
                <w:rFonts w:hint="eastAsia" w:cs="STHeiti"/>
                <w:b w:val="0"/>
                <w:color w:val="142337"/>
                <w:sz w:val="20"/>
                <w:lang w:val="en-US" w:eastAsia="zh-CN"/>
              </w:rPr>
              <w:t>监测到挖掘机出现在燃气管道监控区域，可能</w:t>
            </w:r>
            <w:r>
              <w:rPr>
                <w:rFonts w:ascii="STHeiti" w:hAnsi="STHeiti" w:eastAsia="STHeiti" w:cs="STHeiti"/>
                <w:b w:val="0"/>
                <w:color w:val="142337"/>
                <w:sz w:val="20"/>
              </w:rPr>
              <w:t>存在开挖、破土或机械施工风险，应优先核查并进入人工确认。</w:t>
            </w:r>
          </w:p>
        </w:tc>
      </w:tr>
    </w:tbl>
    <w:p w14:paraId="263D0856">
      <w:pPr>
        <w:spacing w:after="40"/>
      </w:pPr>
    </w:p>
    <w:p w14:paraId="6D3D98A8">
      <w:pPr>
        <w:pStyle w:val="4"/>
        <w:spacing w:before="240" w:after="120" w:line="264" w:lineRule="auto"/>
      </w:pPr>
      <w:r>
        <w:rPr>
          <w:rFonts w:ascii="STHeiti" w:hAnsi="STHeiti" w:eastAsia="STHeiti" w:cs="STHeiti"/>
          <w:b/>
          <w:color w:val="2E74B5"/>
          <w:sz w:val="26"/>
        </w:rPr>
        <w:t>4.1 推荐算法阈值</w:t>
      </w:r>
    </w:p>
    <w:p w14:paraId="38A12482">
      <w:pPr>
        <w:pStyle w:val="16"/>
        <w:spacing w:after="80" w:line="276" w:lineRule="auto"/>
      </w:pPr>
      <w:r>
        <w:rPr>
          <w:rFonts w:ascii="STHeiti" w:hAnsi="STHeiti" w:eastAsia="STHeiti" w:cs="STHeiti"/>
          <w:b w:val="0"/>
          <w:color w:val="142337"/>
          <w:sz w:val="22"/>
        </w:rPr>
        <w:t>目标检测置信度建议：person ≥ 0.60；工程运输车 ≥ 0.65；挖掘机 ≥ 0.70。</w:t>
      </w:r>
    </w:p>
    <w:p w14:paraId="750BB169">
      <w:pPr>
        <w:pStyle w:val="16"/>
        <w:spacing w:after="80" w:line="276" w:lineRule="auto"/>
      </w:pPr>
      <w:r>
        <w:rPr>
          <w:rFonts w:ascii="STHeiti" w:hAnsi="STHeiti" w:eastAsia="STHeiti" w:cs="STHeiti"/>
          <w:b w:val="0"/>
          <w:color w:val="142337"/>
          <w:sz w:val="22"/>
        </w:rPr>
        <w:t>同一摄像头同一风险等级去重窗口建议：15 分钟。窗口内重复识别更新最近识别时间，不重复新增卡片。</w:t>
      </w:r>
    </w:p>
    <w:p w14:paraId="62A818DC">
      <w:pPr>
        <w:pStyle w:val="16"/>
        <w:spacing w:after="80" w:line="276" w:lineRule="auto"/>
      </w:pPr>
      <w:r>
        <w:rPr>
          <w:rFonts w:ascii="STHeiti" w:hAnsi="STHeiti" w:eastAsia="STHeiti" w:cs="STHeiti"/>
          <w:b w:val="0"/>
          <w:color w:val="142337"/>
          <w:sz w:val="22"/>
        </w:rPr>
        <w:t>若同一帧同时识别多人、工程运输车、挖掘机</w:t>
      </w:r>
      <w:r>
        <w:rPr>
          <w:rFonts w:hint="eastAsia" w:cs="STHeiti"/>
          <w:b w:val="0"/>
          <w:color w:val="142337"/>
          <w:sz w:val="22"/>
          <w:lang w:val="en-US" w:eastAsia="zh-CN"/>
        </w:rPr>
        <w:t>等多个场景目标</w:t>
      </w:r>
      <w:r>
        <w:rPr>
          <w:rFonts w:ascii="STHeiti" w:hAnsi="STHeiti" w:eastAsia="STHeiti" w:cs="STHeiti"/>
          <w:b w:val="0"/>
          <w:color w:val="142337"/>
          <w:sz w:val="22"/>
        </w:rPr>
        <w:t>，按最高风险等级触发，即高风险优先于中风险，中风险优先于低风险</w:t>
      </w:r>
      <w:r>
        <w:rPr>
          <w:rFonts w:hint="eastAsia" w:cs="STHeiti"/>
          <w:b w:val="0"/>
          <w:color w:val="142337"/>
          <w:sz w:val="22"/>
          <w:lang w:eastAsia="zh-CN"/>
        </w:rPr>
        <w:t>。</w:t>
      </w:r>
    </w:p>
    <w:p w14:paraId="1FCBD41A">
      <w:pPr>
        <w:pStyle w:val="16"/>
        <w:spacing w:after="80" w:line="276" w:lineRule="auto"/>
      </w:pPr>
      <w:r>
        <w:rPr>
          <w:rFonts w:ascii="STHeiti" w:hAnsi="STHeiti" w:eastAsia="STHeiti" w:cs="STHeiti"/>
          <w:b w:val="0"/>
          <w:color w:val="142337"/>
          <w:sz w:val="22"/>
        </w:rPr>
        <w:t>低风险不要求判断人员身份，不要求判断是否为施工人员；只要有人出现在监控画面即可触发。</w:t>
      </w:r>
    </w:p>
    <w:p w14:paraId="019CDF9B">
      <w:pPr>
        <w:pStyle w:val="3"/>
        <w:spacing w:before="320" w:after="160" w:line="264" w:lineRule="auto"/>
      </w:pPr>
      <w:r>
        <w:rPr>
          <w:rFonts w:ascii="STHeiti" w:hAnsi="STHeiti" w:eastAsia="STHeiti" w:cs="STHeiti"/>
          <w:b/>
          <w:color w:val="2E74B5"/>
          <w:sz w:val="32"/>
        </w:rPr>
        <w:t>5. 计算规则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11FDFE00">
        <w:trPr>
          <w:jc w:val="center"/>
        </w:trPr>
        <w:tc>
          <w:tcPr>
            <w:tcW w:w="3120" w:type="dxa"/>
            <w:shd w:val="clear" w:color="auto" w:fill="F2F4F7"/>
            <w:tcMar>
              <w:top w:w="100" w:type="dxa"/>
              <w:left w:w="120" w:type="dxa"/>
              <w:bottom w:w="100" w:type="dxa"/>
              <w:right w:w="120" w:type="dxa"/>
            </w:tcMar>
            <w:vAlign w:val="center"/>
          </w:tcPr>
          <w:p w14:paraId="1AD2C064">
            <w:pPr>
              <w:spacing w:after="0"/>
            </w:pPr>
            <w:r>
              <w:rPr>
                <w:rFonts w:ascii="STHeiti" w:hAnsi="STHeiti" w:eastAsia="STHeiti" w:cs="STHeiti"/>
                <w:b/>
                <w:color w:val="142337"/>
                <w:sz w:val="21"/>
              </w:rPr>
              <w:t>指标</w:t>
            </w:r>
          </w:p>
        </w:tc>
        <w:tc>
          <w:tcPr>
            <w:tcW w:w="3120" w:type="dxa"/>
            <w:shd w:val="clear" w:color="auto" w:fill="F2F4F7"/>
            <w:tcMar>
              <w:top w:w="100" w:type="dxa"/>
              <w:left w:w="120" w:type="dxa"/>
              <w:bottom w:w="100" w:type="dxa"/>
              <w:right w:w="120" w:type="dxa"/>
            </w:tcMar>
            <w:vAlign w:val="center"/>
          </w:tcPr>
          <w:p w14:paraId="1B5E50F4">
            <w:pPr>
              <w:spacing w:after="0"/>
            </w:pPr>
            <w:r>
              <w:rPr>
                <w:rFonts w:ascii="STHeiti" w:hAnsi="STHeiti" w:eastAsia="STHeiti" w:cs="STHeiti"/>
                <w:b/>
                <w:color w:val="142337"/>
                <w:sz w:val="21"/>
              </w:rPr>
              <w:t>计算公式</w:t>
            </w:r>
          </w:p>
        </w:tc>
        <w:tc>
          <w:tcPr>
            <w:tcW w:w="3120" w:type="dxa"/>
            <w:shd w:val="clear" w:color="auto" w:fill="F2F4F7"/>
            <w:tcMar>
              <w:top w:w="100" w:type="dxa"/>
              <w:left w:w="120" w:type="dxa"/>
              <w:bottom w:w="100" w:type="dxa"/>
              <w:right w:w="120" w:type="dxa"/>
            </w:tcMar>
            <w:vAlign w:val="center"/>
          </w:tcPr>
          <w:p w14:paraId="1BB16B4C">
            <w:pPr>
              <w:spacing w:after="0"/>
            </w:pPr>
            <w:r>
              <w:rPr>
                <w:rFonts w:ascii="STHeiti" w:hAnsi="STHeiti" w:eastAsia="STHeiti" w:cs="STHeiti"/>
                <w:b/>
                <w:color w:val="142337"/>
                <w:sz w:val="21"/>
              </w:rPr>
              <w:t>说明</w:t>
            </w:r>
          </w:p>
        </w:tc>
      </w:tr>
      <w:tr w14:paraId="1E323692">
        <w:trPr>
          <w:jc w:val="center"/>
        </w:trPr>
        <w:tc>
          <w:tcPr>
            <w:tcW w:w="3120" w:type="dxa"/>
            <w:tcMar>
              <w:top w:w="100" w:type="dxa"/>
              <w:left w:w="120" w:type="dxa"/>
              <w:bottom w:w="100" w:type="dxa"/>
              <w:right w:w="120" w:type="dxa"/>
            </w:tcMar>
            <w:vAlign w:val="center"/>
          </w:tcPr>
          <w:p w14:paraId="2B7EAEE9">
            <w:pPr>
              <w:spacing w:after="0" w:line="259" w:lineRule="auto"/>
            </w:pPr>
            <w:r>
              <w:rPr>
                <w:rFonts w:ascii="STHeiti" w:hAnsi="STHeiti" w:eastAsia="STHeiti" w:cs="STHeiti"/>
                <w:b w:val="0"/>
                <w:color w:val="142337"/>
                <w:sz w:val="20"/>
              </w:rPr>
              <w:t>当前筛选数量</w:t>
            </w:r>
          </w:p>
        </w:tc>
        <w:tc>
          <w:tcPr>
            <w:tcW w:w="3120" w:type="dxa"/>
            <w:tcMar>
              <w:top w:w="100" w:type="dxa"/>
              <w:left w:w="120" w:type="dxa"/>
              <w:bottom w:w="100" w:type="dxa"/>
              <w:right w:w="120" w:type="dxa"/>
            </w:tcMar>
            <w:vAlign w:val="center"/>
          </w:tcPr>
          <w:p w14:paraId="39ACAE48">
            <w:pPr>
              <w:spacing w:after="0" w:line="259" w:lineRule="auto"/>
            </w:pPr>
            <w:r>
              <w:rPr>
                <w:rFonts w:ascii="STHeiti" w:hAnsi="STHeiti" w:eastAsia="STHeiti" w:cs="STHeiti"/>
                <w:b w:val="0"/>
                <w:color w:val="142337"/>
                <w:sz w:val="20"/>
              </w:rPr>
              <w:t>满足风险状态筛选且满足处置状态筛选的告警条数</w:t>
            </w:r>
          </w:p>
        </w:tc>
        <w:tc>
          <w:tcPr>
            <w:tcW w:w="3120" w:type="dxa"/>
            <w:tcMar>
              <w:top w:w="100" w:type="dxa"/>
              <w:left w:w="120" w:type="dxa"/>
              <w:bottom w:w="100" w:type="dxa"/>
              <w:right w:w="120" w:type="dxa"/>
            </w:tcMar>
            <w:vAlign w:val="center"/>
          </w:tcPr>
          <w:p w14:paraId="553B3B2F">
            <w:pPr>
              <w:spacing w:after="0" w:line="259" w:lineRule="auto"/>
            </w:pPr>
            <w:r>
              <w:rPr>
                <w:rFonts w:ascii="STHeiti" w:hAnsi="STHeiti" w:eastAsia="STHeiti" w:cs="STHeiti"/>
                <w:b w:val="0"/>
                <w:color w:val="142337"/>
                <w:sz w:val="20"/>
              </w:rPr>
              <w:t>用于筛选栏右侧展示。</w:t>
            </w:r>
          </w:p>
        </w:tc>
      </w:tr>
      <w:tr w14:paraId="03F4C98E">
        <w:trPr>
          <w:jc w:val="center"/>
        </w:trPr>
        <w:tc>
          <w:tcPr>
            <w:tcW w:w="3120" w:type="dxa"/>
            <w:tcMar>
              <w:top w:w="100" w:type="dxa"/>
              <w:left w:w="120" w:type="dxa"/>
              <w:bottom w:w="100" w:type="dxa"/>
              <w:right w:w="120" w:type="dxa"/>
            </w:tcMar>
            <w:vAlign w:val="center"/>
          </w:tcPr>
          <w:p w14:paraId="56349EA5">
            <w:pPr>
              <w:spacing w:after="0" w:line="259" w:lineRule="auto"/>
            </w:pPr>
            <w:r>
              <w:rPr>
                <w:rFonts w:ascii="STHeiti" w:hAnsi="STHeiti" w:eastAsia="STHeiti" w:cs="STHeiti"/>
                <w:b w:val="0"/>
                <w:color w:val="142337"/>
                <w:sz w:val="20"/>
              </w:rPr>
              <w:t>风险分布数量</w:t>
            </w:r>
          </w:p>
        </w:tc>
        <w:tc>
          <w:tcPr>
            <w:tcW w:w="3120" w:type="dxa"/>
            <w:tcMar>
              <w:top w:w="100" w:type="dxa"/>
              <w:left w:w="120" w:type="dxa"/>
              <w:bottom w:w="100" w:type="dxa"/>
              <w:right w:w="120" w:type="dxa"/>
            </w:tcMar>
            <w:vAlign w:val="center"/>
          </w:tcPr>
          <w:p w14:paraId="3822593B">
            <w:pPr>
              <w:spacing w:after="0" w:line="259" w:lineRule="auto"/>
            </w:pPr>
            <w:r>
              <w:rPr>
                <w:rFonts w:ascii="STHeiti" w:hAnsi="STHeiti" w:eastAsia="STHeiti" w:cs="STHeiti"/>
                <w:b w:val="0"/>
                <w:color w:val="142337"/>
                <w:sz w:val="20"/>
              </w:rPr>
              <w:t>按 level 分组计数</w:t>
            </w:r>
          </w:p>
        </w:tc>
        <w:tc>
          <w:tcPr>
            <w:tcW w:w="3120" w:type="dxa"/>
            <w:tcMar>
              <w:top w:w="100" w:type="dxa"/>
              <w:left w:w="120" w:type="dxa"/>
              <w:bottom w:w="100" w:type="dxa"/>
              <w:right w:w="120" w:type="dxa"/>
            </w:tcMar>
            <w:vAlign w:val="center"/>
          </w:tcPr>
          <w:p w14:paraId="5EFBABB7">
            <w:pPr>
              <w:spacing w:after="0" w:line="259" w:lineRule="auto"/>
            </w:pPr>
            <w:r>
              <w:rPr>
                <w:rFonts w:ascii="STHeiti" w:hAnsi="STHeiti" w:eastAsia="STHeiti" w:cs="STHeiti"/>
                <w:b w:val="0"/>
                <w:color w:val="142337"/>
                <w:sz w:val="20"/>
              </w:rPr>
              <w:t>低风险、中风险、高风险之和等于第三方施工预警总数。</w:t>
            </w:r>
          </w:p>
        </w:tc>
      </w:tr>
      <w:tr w14:paraId="59728D9F">
        <w:trPr>
          <w:jc w:val="center"/>
        </w:trPr>
        <w:tc>
          <w:tcPr>
            <w:tcW w:w="3120" w:type="dxa"/>
            <w:tcMar>
              <w:top w:w="100" w:type="dxa"/>
              <w:left w:w="120" w:type="dxa"/>
              <w:bottom w:w="100" w:type="dxa"/>
              <w:right w:w="120" w:type="dxa"/>
            </w:tcMar>
            <w:vAlign w:val="center"/>
          </w:tcPr>
          <w:p w14:paraId="232FFE87">
            <w:pPr>
              <w:spacing w:after="0" w:line="259" w:lineRule="auto"/>
            </w:pPr>
            <w:r>
              <w:rPr>
                <w:rFonts w:ascii="STHeiti" w:hAnsi="STHeiti" w:eastAsia="STHeiti" w:cs="STHeiti"/>
                <w:b w:val="0"/>
                <w:color w:val="142337"/>
                <w:sz w:val="20"/>
              </w:rPr>
              <w:t>业务状态数量</w:t>
            </w:r>
          </w:p>
        </w:tc>
        <w:tc>
          <w:tcPr>
            <w:tcW w:w="3120" w:type="dxa"/>
            <w:tcMar>
              <w:top w:w="100" w:type="dxa"/>
              <w:left w:w="120" w:type="dxa"/>
              <w:bottom w:w="100" w:type="dxa"/>
              <w:right w:w="120" w:type="dxa"/>
            </w:tcMar>
            <w:vAlign w:val="center"/>
          </w:tcPr>
          <w:p w14:paraId="20D17875">
            <w:pPr>
              <w:spacing w:after="0" w:line="259" w:lineRule="auto"/>
            </w:pPr>
            <w:r>
              <w:rPr>
                <w:rFonts w:ascii="STHeiti" w:hAnsi="STHeiti" w:eastAsia="STHeiti" w:cs="STHeiti"/>
                <w:b w:val="0"/>
                <w:color w:val="142337"/>
                <w:sz w:val="20"/>
              </w:rPr>
              <w:t>按 processStatus 分组计数</w:t>
            </w:r>
          </w:p>
        </w:tc>
        <w:tc>
          <w:tcPr>
            <w:tcW w:w="3120" w:type="dxa"/>
            <w:tcMar>
              <w:top w:w="100" w:type="dxa"/>
              <w:left w:w="120" w:type="dxa"/>
              <w:bottom w:w="100" w:type="dxa"/>
              <w:right w:w="120" w:type="dxa"/>
            </w:tcMar>
            <w:vAlign w:val="center"/>
          </w:tcPr>
          <w:p w14:paraId="397BBEF6">
            <w:pPr>
              <w:spacing w:after="0" w:line="259" w:lineRule="auto"/>
            </w:pPr>
            <w:r>
              <w:rPr>
                <w:rFonts w:ascii="STHeiti" w:hAnsi="STHeiti" w:eastAsia="STHeiti" w:cs="STHeiti"/>
                <w:b w:val="0"/>
                <w:color w:val="142337"/>
                <w:sz w:val="20"/>
              </w:rPr>
              <w:t>待确认、人工已确认、处置中、已完成。</w:t>
            </w:r>
          </w:p>
        </w:tc>
      </w:tr>
      <w:tr w14:paraId="59A3830C">
        <w:trPr>
          <w:jc w:val="center"/>
        </w:trPr>
        <w:tc>
          <w:tcPr>
            <w:tcW w:w="3120" w:type="dxa"/>
            <w:tcMar>
              <w:top w:w="100" w:type="dxa"/>
              <w:left w:w="120" w:type="dxa"/>
              <w:bottom w:w="100" w:type="dxa"/>
              <w:right w:w="120" w:type="dxa"/>
            </w:tcMar>
            <w:vAlign w:val="center"/>
          </w:tcPr>
          <w:p w14:paraId="40837CE2">
            <w:pPr>
              <w:spacing w:after="0" w:line="259" w:lineRule="auto"/>
            </w:pPr>
            <w:r>
              <w:rPr>
                <w:rFonts w:ascii="STHeiti" w:hAnsi="STHeiti" w:eastAsia="STHeiti" w:cs="STHeiti"/>
                <w:b w:val="0"/>
                <w:color w:val="142337"/>
                <w:sz w:val="20"/>
              </w:rPr>
              <w:t>闭环率</w:t>
            </w:r>
          </w:p>
        </w:tc>
        <w:tc>
          <w:tcPr>
            <w:tcW w:w="3120" w:type="dxa"/>
            <w:tcMar>
              <w:top w:w="100" w:type="dxa"/>
              <w:left w:w="120" w:type="dxa"/>
              <w:bottom w:w="100" w:type="dxa"/>
              <w:right w:w="120" w:type="dxa"/>
            </w:tcMar>
            <w:vAlign w:val="center"/>
          </w:tcPr>
          <w:p w14:paraId="26354F62">
            <w:pPr>
              <w:spacing w:after="0" w:line="259" w:lineRule="auto"/>
            </w:pPr>
            <w:r>
              <w:rPr>
                <w:rFonts w:ascii="STHeiti" w:hAnsi="STHeiti" w:eastAsia="STHeiti" w:cs="STHeiti"/>
                <w:b w:val="0"/>
                <w:color w:val="142337"/>
                <w:sz w:val="20"/>
              </w:rPr>
              <w:t>(人工已确认 + 已完成) / 总数 × 100%</w:t>
            </w:r>
          </w:p>
        </w:tc>
        <w:tc>
          <w:tcPr>
            <w:tcW w:w="3120" w:type="dxa"/>
            <w:tcMar>
              <w:top w:w="100" w:type="dxa"/>
              <w:left w:w="120" w:type="dxa"/>
              <w:bottom w:w="100" w:type="dxa"/>
              <w:right w:w="120" w:type="dxa"/>
            </w:tcMar>
            <w:vAlign w:val="center"/>
          </w:tcPr>
          <w:p w14:paraId="306B466F">
            <w:pPr>
              <w:spacing w:after="0" w:line="259" w:lineRule="auto"/>
            </w:pPr>
            <w:r>
              <w:rPr>
                <w:rFonts w:ascii="STHeiti" w:hAnsi="STHeiti" w:eastAsia="STHeiti" w:cs="STHeiti"/>
                <w:b w:val="0"/>
                <w:color w:val="142337"/>
                <w:sz w:val="20"/>
              </w:rPr>
              <w:t>四舍五入为整数；总数为 0 时显示 0%。</w:t>
            </w:r>
          </w:p>
        </w:tc>
      </w:tr>
      <w:tr w14:paraId="4EAAB1A3">
        <w:trPr>
          <w:jc w:val="center"/>
        </w:trPr>
        <w:tc>
          <w:tcPr>
            <w:tcW w:w="3120" w:type="dxa"/>
            <w:tcMar>
              <w:top w:w="100" w:type="dxa"/>
              <w:left w:w="120" w:type="dxa"/>
              <w:bottom w:w="100" w:type="dxa"/>
              <w:right w:w="120" w:type="dxa"/>
            </w:tcMar>
            <w:vAlign w:val="center"/>
          </w:tcPr>
          <w:p w14:paraId="3C302AB4">
            <w:pPr>
              <w:spacing w:after="0" w:line="259" w:lineRule="auto"/>
            </w:pPr>
            <w:r>
              <w:rPr>
                <w:rFonts w:ascii="STHeiti" w:hAnsi="STHeiti" w:eastAsia="STHeiti" w:cs="STHeiti"/>
                <w:b w:val="0"/>
                <w:color w:val="142337"/>
                <w:sz w:val="20"/>
              </w:rPr>
              <w:t>历史告警频次</w:t>
            </w:r>
          </w:p>
        </w:tc>
        <w:tc>
          <w:tcPr>
            <w:tcW w:w="3120" w:type="dxa"/>
            <w:tcMar>
              <w:top w:w="100" w:type="dxa"/>
              <w:left w:w="120" w:type="dxa"/>
              <w:bottom w:w="100" w:type="dxa"/>
              <w:right w:w="120" w:type="dxa"/>
            </w:tcMar>
            <w:vAlign w:val="center"/>
          </w:tcPr>
          <w:p w14:paraId="4D57FA97">
            <w:pPr>
              <w:spacing w:after="0" w:line="259" w:lineRule="auto"/>
            </w:pPr>
            <w:r>
              <w:rPr>
                <w:rFonts w:ascii="STHeiti" w:hAnsi="STHeiti" w:eastAsia="STHeiti" w:cs="STHeiti"/>
                <w:b w:val="0"/>
                <w:color w:val="142337"/>
                <w:sz w:val="20"/>
              </w:rPr>
              <w:t>选中告警对象在历史窗口内的低/中/高风险次数</w:t>
            </w:r>
          </w:p>
        </w:tc>
        <w:tc>
          <w:tcPr>
            <w:tcW w:w="3120" w:type="dxa"/>
            <w:tcMar>
              <w:top w:w="100" w:type="dxa"/>
              <w:left w:w="120" w:type="dxa"/>
              <w:bottom w:w="100" w:type="dxa"/>
              <w:right w:w="120" w:type="dxa"/>
            </w:tcMar>
            <w:vAlign w:val="center"/>
          </w:tcPr>
          <w:p w14:paraId="73495499">
            <w:pPr>
              <w:spacing w:after="0" w:line="259" w:lineRule="auto"/>
            </w:pPr>
          </w:p>
        </w:tc>
      </w:tr>
    </w:tbl>
    <w:p w14:paraId="3593C845">
      <w:pPr>
        <w:spacing w:after="40"/>
      </w:pPr>
    </w:p>
    <w:p w14:paraId="4631CADC">
      <w:pPr>
        <w:pStyle w:val="3"/>
        <w:spacing w:before="320" w:after="160" w:line="264" w:lineRule="auto"/>
      </w:pPr>
      <w:r>
        <w:rPr>
          <w:rFonts w:ascii="STHeiti" w:hAnsi="STHeiti" w:eastAsia="STHeiti" w:cs="STHeiti"/>
          <w:b/>
          <w:color w:val="2E74B5"/>
          <w:sz w:val="32"/>
        </w:rPr>
        <w:t>6. 排序规则</w:t>
      </w:r>
    </w:p>
    <w:p w14:paraId="6A88492C">
      <w:pPr>
        <w:pStyle w:val="14"/>
        <w:spacing w:after="80" w:line="276" w:lineRule="auto"/>
      </w:pPr>
      <w:r>
        <w:rPr>
          <w:rFonts w:ascii="STHeiti" w:hAnsi="STHeiti" w:eastAsia="STHeiti" w:cs="STHeiti"/>
          <w:b w:val="0"/>
          <w:color w:val="142337"/>
          <w:sz w:val="22"/>
        </w:rPr>
        <w:t>风险等级优先：高风险 &gt; 中风险 &gt; 低风险。</w:t>
      </w:r>
    </w:p>
    <w:p w14:paraId="06402823">
      <w:pPr>
        <w:pStyle w:val="14"/>
        <w:spacing w:after="80" w:line="276" w:lineRule="auto"/>
      </w:pPr>
      <w:r>
        <w:rPr>
          <w:rFonts w:ascii="STHeiti" w:hAnsi="STHeiti" w:eastAsia="STHeiti" w:cs="STHeiti"/>
          <w:b w:val="0"/>
          <w:color w:val="142337"/>
          <w:sz w:val="22"/>
        </w:rPr>
        <w:t>处置状态优先：待确认 &gt; 处置中 &gt; 已完成 &gt; 人工已确认。</w:t>
      </w:r>
    </w:p>
    <w:p w14:paraId="61664430">
      <w:pPr>
        <w:pStyle w:val="14"/>
        <w:spacing w:after="80" w:line="276" w:lineRule="auto"/>
      </w:pPr>
      <w:r>
        <w:rPr>
          <w:rFonts w:ascii="STHeiti" w:hAnsi="STHeiti" w:eastAsia="STHeiti" w:cs="STHeiti"/>
          <w:b w:val="0"/>
          <w:color w:val="142337"/>
          <w:sz w:val="22"/>
        </w:rPr>
        <w:t>时间优先：同风险等级、同处置状态下，按预警时间倒序排列，最新在前。</w:t>
      </w:r>
    </w:p>
    <w:p w14:paraId="35612289">
      <w:pPr>
        <w:pStyle w:val="14"/>
        <w:spacing w:after="80" w:line="276" w:lineRule="auto"/>
      </w:pPr>
      <w:r>
        <w:rPr>
          <w:rFonts w:ascii="STHeiti" w:hAnsi="STHeiti" w:eastAsia="STHeiti" w:cs="STHeiti"/>
          <w:b w:val="0"/>
          <w:color w:val="142337"/>
          <w:sz w:val="22"/>
        </w:rPr>
        <w:t>筛选后默认选中：筛选结果中的第一条告警；若结果为空，研判区展示空状态。</w:t>
      </w:r>
    </w:p>
    <w:p w14:paraId="3691EB2F">
      <w:pPr>
        <w:pStyle w:val="14"/>
        <w:spacing w:after="80" w:line="276" w:lineRule="auto"/>
      </w:pPr>
      <w:r>
        <w:rPr>
          <w:rFonts w:ascii="STHeiti" w:hAnsi="STHeiti" w:eastAsia="STHeiti" w:cs="STHeiti"/>
          <w:b w:val="0"/>
          <w:color w:val="142337"/>
          <w:sz w:val="22"/>
        </w:rPr>
        <w:t>分页规则：每页 8 条；翻页后默认选中当前页第一条告警。</w:t>
      </w:r>
    </w:p>
    <w:p w14:paraId="2F2D6F5F">
      <w:pPr>
        <w:pStyle w:val="3"/>
        <w:spacing w:before="320" w:after="160" w:line="264" w:lineRule="auto"/>
      </w:pPr>
      <w:r>
        <w:rPr>
          <w:rFonts w:ascii="STHeiti" w:hAnsi="STHeiti" w:eastAsia="STHeiti" w:cs="STHeiti"/>
          <w:b/>
          <w:color w:val="2E74B5"/>
          <w:sz w:val="32"/>
        </w:rPr>
        <w:t>7. 状态变化与业务闭环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267A726A">
        <w:trPr>
          <w:jc w:val="center"/>
        </w:trPr>
        <w:tc>
          <w:tcPr>
            <w:tcW w:w="1440" w:type="dxa"/>
            <w:shd w:val="clear" w:color="auto" w:fill="F2F4F7"/>
            <w:tcMar>
              <w:top w:w="100" w:type="dxa"/>
              <w:left w:w="120" w:type="dxa"/>
              <w:bottom w:w="100" w:type="dxa"/>
              <w:right w:w="120" w:type="dxa"/>
            </w:tcMar>
            <w:vAlign w:val="center"/>
          </w:tcPr>
          <w:p w14:paraId="79E92A76">
            <w:pPr>
              <w:spacing w:after="0"/>
            </w:pPr>
            <w:r>
              <w:rPr>
                <w:rFonts w:ascii="STHeiti" w:hAnsi="STHeiti" w:eastAsia="STHeiti" w:cs="STHeiti"/>
                <w:b/>
                <w:color w:val="142337"/>
                <w:sz w:val="21"/>
              </w:rPr>
              <w:t>状态</w:t>
            </w:r>
          </w:p>
        </w:tc>
        <w:tc>
          <w:tcPr>
            <w:tcW w:w="2880" w:type="dxa"/>
            <w:shd w:val="clear" w:color="auto" w:fill="F2F4F7"/>
            <w:tcMar>
              <w:top w:w="100" w:type="dxa"/>
              <w:left w:w="120" w:type="dxa"/>
              <w:bottom w:w="100" w:type="dxa"/>
              <w:right w:w="120" w:type="dxa"/>
            </w:tcMar>
            <w:vAlign w:val="center"/>
          </w:tcPr>
          <w:p w14:paraId="0FFAE5F4">
            <w:pPr>
              <w:spacing w:after="0"/>
            </w:pPr>
            <w:r>
              <w:rPr>
                <w:rFonts w:ascii="STHeiti" w:hAnsi="STHeiti" w:eastAsia="STHeiti" w:cs="STHeiti"/>
                <w:b/>
                <w:color w:val="142337"/>
                <w:sz w:val="21"/>
              </w:rPr>
              <w:t>进入条件</w:t>
            </w:r>
          </w:p>
        </w:tc>
        <w:tc>
          <w:tcPr>
            <w:tcW w:w="2520" w:type="dxa"/>
            <w:shd w:val="clear" w:color="auto" w:fill="F2F4F7"/>
            <w:tcMar>
              <w:top w:w="100" w:type="dxa"/>
              <w:left w:w="120" w:type="dxa"/>
              <w:bottom w:w="100" w:type="dxa"/>
              <w:right w:w="120" w:type="dxa"/>
            </w:tcMar>
            <w:vAlign w:val="center"/>
          </w:tcPr>
          <w:p w14:paraId="1B80D520">
            <w:pPr>
              <w:spacing w:after="0"/>
            </w:pPr>
            <w:r>
              <w:rPr>
                <w:rFonts w:ascii="STHeiti" w:hAnsi="STHeiti" w:eastAsia="STHeiti" w:cs="STHeiti"/>
                <w:b/>
                <w:color w:val="142337"/>
                <w:sz w:val="21"/>
              </w:rPr>
              <w:t>允许动作</w:t>
            </w:r>
          </w:p>
        </w:tc>
        <w:tc>
          <w:tcPr>
            <w:tcW w:w="2304" w:type="dxa"/>
            <w:shd w:val="clear" w:color="auto" w:fill="F2F4F7"/>
            <w:tcMar>
              <w:top w:w="100" w:type="dxa"/>
              <w:left w:w="120" w:type="dxa"/>
              <w:bottom w:w="100" w:type="dxa"/>
              <w:right w:w="120" w:type="dxa"/>
            </w:tcMar>
            <w:vAlign w:val="center"/>
          </w:tcPr>
          <w:p w14:paraId="5F89A94B">
            <w:pPr>
              <w:spacing w:after="0"/>
            </w:pPr>
            <w:r>
              <w:rPr>
                <w:rFonts w:ascii="STHeiti" w:hAnsi="STHeiti" w:eastAsia="STHeiti" w:cs="STHeiti"/>
                <w:b/>
                <w:color w:val="142337"/>
                <w:sz w:val="21"/>
              </w:rPr>
              <w:t>下一状态</w:t>
            </w:r>
          </w:p>
        </w:tc>
      </w:tr>
      <w:tr w14:paraId="2EB245A7">
        <w:trPr>
          <w:jc w:val="center"/>
        </w:trPr>
        <w:tc>
          <w:tcPr>
            <w:tcW w:w="1440" w:type="dxa"/>
            <w:tcMar>
              <w:top w:w="100" w:type="dxa"/>
              <w:left w:w="120" w:type="dxa"/>
              <w:bottom w:w="100" w:type="dxa"/>
              <w:right w:w="120" w:type="dxa"/>
            </w:tcMar>
            <w:vAlign w:val="center"/>
          </w:tcPr>
          <w:p w14:paraId="10B1F288">
            <w:pPr>
              <w:spacing w:after="0" w:line="259" w:lineRule="auto"/>
            </w:pPr>
            <w:r>
              <w:rPr>
                <w:rFonts w:ascii="STHeiti" w:hAnsi="STHeiti" w:eastAsia="STHeiti" w:cs="STHeiti"/>
                <w:b w:val="0"/>
                <w:color w:val="142337"/>
                <w:sz w:val="20"/>
              </w:rPr>
              <w:t>待确认</w:t>
            </w:r>
          </w:p>
        </w:tc>
        <w:tc>
          <w:tcPr>
            <w:tcW w:w="2880" w:type="dxa"/>
            <w:tcMar>
              <w:top w:w="100" w:type="dxa"/>
              <w:left w:w="120" w:type="dxa"/>
              <w:bottom w:w="100" w:type="dxa"/>
              <w:right w:w="120" w:type="dxa"/>
            </w:tcMar>
            <w:vAlign w:val="center"/>
          </w:tcPr>
          <w:p w14:paraId="79BB1061">
            <w:pPr>
              <w:spacing w:after="0" w:line="259" w:lineRule="auto"/>
            </w:pPr>
            <w:r>
              <w:rPr>
                <w:rFonts w:ascii="STHeiti" w:hAnsi="STHeiti" w:eastAsia="STHeiti" w:cs="STHeiti"/>
                <w:b w:val="0"/>
                <w:color w:val="142337"/>
                <w:sz w:val="20"/>
              </w:rPr>
              <w:t>模型识别触发预警后自动进入。</w:t>
            </w:r>
          </w:p>
        </w:tc>
        <w:tc>
          <w:tcPr>
            <w:tcW w:w="2520" w:type="dxa"/>
            <w:tcMar>
              <w:top w:w="100" w:type="dxa"/>
              <w:left w:w="120" w:type="dxa"/>
              <w:bottom w:w="100" w:type="dxa"/>
              <w:right w:w="120" w:type="dxa"/>
            </w:tcMar>
            <w:vAlign w:val="center"/>
          </w:tcPr>
          <w:p w14:paraId="053D2B01">
            <w:pPr>
              <w:spacing w:after="0" w:line="259" w:lineRule="auto"/>
            </w:pPr>
            <w:r>
              <w:rPr>
                <w:rFonts w:ascii="STHeiti" w:hAnsi="STHeiti" w:eastAsia="STHeiti" w:cs="STHeiti"/>
                <w:b w:val="0"/>
                <w:color w:val="142337"/>
                <w:sz w:val="20"/>
              </w:rPr>
              <w:t>人工复核、打开视频、查看研判。</w:t>
            </w:r>
          </w:p>
        </w:tc>
        <w:tc>
          <w:tcPr>
            <w:tcW w:w="2304" w:type="dxa"/>
            <w:tcMar>
              <w:top w:w="100" w:type="dxa"/>
              <w:left w:w="120" w:type="dxa"/>
              <w:bottom w:w="100" w:type="dxa"/>
              <w:right w:w="120" w:type="dxa"/>
            </w:tcMar>
            <w:vAlign w:val="center"/>
          </w:tcPr>
          <w:p w14:paraId="55E2CA5B">
            <w:pPr>
              <w:spacing w:after="0" w:line="259" w:lineRule="auto"/>
            </w:pPr>
            <w:r>
              <w:rPr>
                <w:rFonts w:ascii="STHeiti" w:hAnsi="STHeiti" w:eastAsia="STHeiti" w:cs="STHeiti"/>
                <w:b w:val="0"/>
                <w:color w:val="142337"/>
                <w:sz w:val="20"/>
              </w:rPr>
              <w:t>人工已确认、处置中</w:t>
            </w:r>
          </w:p>
        </w:tc>
      </w:tr>
      <w:tr w14:paraId="598CC12B">
        <w:trPr>
          <w:jc w:val="center"/>
        </w:trPr>
        <w:tc>
          <w:tcPr>
            <w:tcW w:w="1440" w:type="dxa"/>
            <w:tcMar>
              <w:top w:w="100" w:type="dxa"/>
              <w:left w:w="120" w:type="dxa"/>
              <w:bottom w:w="100" w:type="dxa"/>
              <w:right w:w="120" w:type="dxa"/>
            </w:tcMar>
            <w:vAlign w:val="center"/>
          </w:tcPr>
          <w:p w14:paraId="38647C2D">
            <w:pPr>
              <w:spacing w:after="0" w:line="259" w:lineRule="auto"/>
            </w:pPr>
            <w:r>
              <w:rPr>
                <w:rFonts w:ascii="STHeiti" w:hAnsi="STHeiti" w:eastAsia="STHeiti" w:cs="STHeiti"/>
                <w:b w:val="0"/>
                <w:color w:val="142337"/>
                <w:sz w:val="20"/>
              </w:rPr>
              <w:t>人工已确认</w:t>
            </w:r>
          </w:p>
        </w:tc>
        <w:tc>
          <w:tcPr>
            <w:tcW w:w="2880" w:type="dxa"/>
            <w:tcMar>
              <w:top w:w="100" w:type="dxa"/>
              <w:left w:w="120" w:type="dxa"/>
              <w:bottom w:w="100" w:type="dxa"/>
              <w:right w:w="120" w:type="dxa"/>
            </w:tcMar>
            <w:vAlign w:val="center"/>
          </w:tcPr>
          <w:p w14:paraId="5E30FF45">
            <w:pPr>
              <w:spacing w:after="0" w:line="259" w:lineRule="auto"/>
            </w:pPr>
            <w:r>
              <w:rPr>
                <w:rFonts w:ascii="STHeiti" w:hAnsi="STHeiti" w:eastAsia="STHeiti" w:cs="STHeiti"/>
                <w:b w:val="0"/>
                <w:color w:val="142337"/>
                <w:sz w:val="20"/>
              </w:rPr>
              <w:t>人工复核认为非风险或仅保留关注记录。</w:t>
            </w:r>
          </w:p>
        </w:tc>
        <w:tc>
          <w:tcPr>
            <w:tcW w:w="2520" w:type="dxa"/>
            <w:tcMar>
              <w:top w:w="100" w:type="dxa"/>
              <w:left w:w="120" w:type="dxa"/>
              <w:bottom w:w="100" w:type="dxa"/>
              <w:right w:w="120" w:type="dxa"/>
            </w:tcMar>
            <w:vAlign w:val="center"/>
          </w:tcPr>
          <w:p w14:paraId="79F10E8D">
            <w:pPr>
              <w:spacing w:after="0" w:line="259" w:lineRule="auto"/>
            </w:pPr>
            <w:r>
              <w:rPr>
                <w:rFonts w:ascii="STHeiti" w:hAnsi="STHeiti" w:eastAsia="STHeiti" w:cs="STHeiti"/>
                <w:b w:val="0"/>
                <w:color w:val="142337"/>
                <w:sz w:val="20"/>
              </w:rPr>
              <w:t>归档、继续观察、重新触发后再建预警。</w:t>
            </w:r>
          </w:p>
        </w:tc>
        <w:tc>
          <w:tcPr>
            <w:tcW w:w="2304" w:type="dxa"/>
            <w:tcMar>
              <w:top w:w="100" w:type="dxa"/>
              <w:left w:w="120" w:type="dxa"/>
              <w:bottom w:w="100" w:type="dxa"/>
              <w:right w:w="120" w:type="dxa"/>
            </w:tcMar>
            <w:vAlign w:val="center"/>
          </w:tcPr>
          <w:p w14:paraId="433FCAEF">
            <w:pPr>
              <w:spacing w:after="0" w:line="259" w:lineRule="auto"/>
            </w:pPr>
            <w:r>
              <w:rPr>
                <w:rFonts w:ascii="STHeiti" w:hAnsi="STHeiti" w:eastAsia="STHeiti" w:cs="STHeiti"/>
                <w:b w:val="0"/>
                <w:color w:val="142337"/>
                <w:sz w:val="20"/>
              </w:rPr>
              <w:t>待确认（新预警）、处置中（复核后升级）</w:t>
            </w:r>
          </w:p>
        </w:tc>
      </w:tr>
      <w:tr w14:paraId="20562D95">
        <w:trPr>
          <w:jc w:val="center"/>
        </w:trPr>
        <w:tc>
          <w:tcPr>
            <w:tcW w:w="1440" w:type="dxa"/>
            <w:tcMar>
              <w:top w:w="100" w:type="dxa"/>
              <w:left w:w="120" w:type="dxa"/>
              <w:bottom w:w="100" w:type="dxa"/>
              <w:right w:w="120" w:type="dxa"/>
            </w:tcMar>
            <w:vAlign w:val="center"/>
          </w:tcPr>
          <w:p w14:paraId="3EAC414D">
            <w:pPr>
              <w:spacing w:after="0" w:line="259" w:lineRule="auto"/>
            </w:pPr>
            <w:r>
              <w:rPr>
                <w:rFonts w:ascii="STHeiti" w:hAnsi="STHeiti" w:eastAsia="STHeiti" w:cs="STHeiti"/>
                <w:b w:val="0"/>
                <w:color w:val="142337"/>
                <w:sz w:val="20"/>
              </w:rPr>
              <w:t>处置中</w:t>
            </w:r>
          </w:p>
        </w:tc>
        <w:tc>
          <w:tcPr>
            <w:tcW w:w="2880" w:type="dxa"/>
            <w:tcMar>
              <w:top w:w="100" w:type="dxa"/>
              <w:left w:w="120" w:type="dxa"/>
              <w:bottom w:w="100" w:type="dxa"/>
              <w:right w:w="120" w:type="dxa"/>
            </w:tcMar>
            <w:vAlign w:val="center"/>
          </w:tcPr>
          <w:p w14:paraId="40B1E81E">
            <w:pPr>
              <w:spacing w:after="0" w:line="259" w:lineRule="auto"/>
            </w:pPr>
            <w:r>
              <w:rPr>
                <w:rFonts w:ascii="STHeiti" w:hAnsi="STHeiti" w:eastAsia="STHeiti" w:cs="STHeiti"/>
                <w:b w:val="0"/>
                <w:color w:val="142337"/>
                <w:sz w:val="20"/>
              </w:rPr>
              <w:t>人工确认存在风险并生成事件下发治理中心。</w:t>
            </w:r>
          </w:p>
        </w:tc>
        <w:tc>
          <w:tcPr>
            <w:tcW w:w="2520" w:type="dxa"/>
            <w:tcMar>
              <w:top w:w="100" w:type="dxa"/>
              <w:left w:w="120" w:type="dxa"/>
              <w:bottom w:w="100" w:type="dxa"/>
              <w:right w:w="120" w:type="dxa"/>
            </w:tcMar>
            <w:vAlign w:val="center"/>
          </w:tcPr>
          <w:p w14:paraId="2353EDD3">
            <w:pPr>
              <w:spacing w:after="0" w:line="259" w:lineRule="auto"/>
            </w:pPr>
            <w:r>
              <w:rPr>
                <w:rFonts w:ascii="STHeiti" w:hAnsi="STHeiti" w:eastAsia="STHeiti" w:cs="STHeiti"/>
                <w:b w:val="0"/>
                <w:color w:val="142337"/>
                <w:sz w:val="20"/>
              </w:rPr>
              <w:t>查看事件处置进展、现场核查、视频跟踪。</w:t>
            </w:r>
          </w:p>
        </w:tc>
        <w:tc>
          <w:tcPr>
            <w:tcW w:w="2304" w:type="dxa"/>
            <w:tcMar>
              <w:top w:w="100" w:type="dxa"/>
              <w:left w:w="120" w:type="dxa"/>
              <w:bottom w:w="100" w:type="dxa"/>
              <w:right w:w="120" w:type="dxa"/>
            </w:tcMar>
            <w:vAlign w:val="center"/>
          </w:tcPr>
          <w:p w14:paraId="13675DDD">
            <w:pPr>
              <w:spacing w:after="0" w:line="259" w:lineRule="auto"/>
            </w:pPr>
            <w:r>
              <w:rPr>
                <w:rFonts w:ascii="STHeiti" w:hAnsi="STHeiti" w:eastAsia="STHeiti" w:cs="STHeiti"/>
                <w:b w:val="0"/>
                <w:color w:val="142337"/>
                <w:sz w:val="20"/>
              </w:rPr>
              <w:t>已完成</w:t>
            </w:r>
          </w:p>
        </w:tc>
      </w:tr>
      <w:tr w14:paraId="7CCCC962">
        <w:trPr>
          <w:jc w:val="center"/>
        </w:trPr>
        <w:tc>
          <w:tcPr>
            <w:tcW w:w="1440" w:type="dxa"/>
            <w:tcMar>
              <w:top w:w="100" w:type="dxa"/>
              <w:left w:w="120" w:type="dxa"/>
              <w:bottom w:w="100" w:type="dxa"/>
              <w:right w:w="120" w:type="dxa"/>
            </w:tcMar>
            <w:vAlign w:val="center"/>
          </w:tcPr>
          <w:p w14:paraId="0EB08386">
            <w:pPr>
              <w:spacing w:after="0" w:line="259" w:lineRule="auto"/>
            </w:pPr>
            <w:r>
              <w:rPr>
                <w:rFonts w:ascii="STHeiti" w:hAnsi="STHeiti" w:eastAsia="STHeiti" w:cs="STHeiti"/>
                <w:b w:val="0"/>
                <w:color w:val="142337"/>
                <w:sz w:val="20"/>
              </w:rPr>
              <w:t>已完成</w:t>
            </w:r>
          </w:p>
        </w:tc>
        <w:tc>
          <w:tcPr>
            <w:tcW w:w="2880" w:type="dxa"/>
            <w:tcMar>
              <w:top w:w="100" w:type="dxa"/>
              <w:left w:w="120" w:type="dxa"/>
              <w:bottom w:w="100" w:type="dxa"/>
              <w:right w:w="120" w:type="dxa"/>
            </w:tcMar>
            <w:vAlign w:val="center"/>
          </w:tcPr>
          <w:p w14:paraId="553E1211">
            <w:pPr>
              <w:spacing w:after="0" w:line="259" w:lineRule="auto"/>
            </w:pPr>
            <w:r>
              <w:rPr>
                <w:rFonts w:ascii="STHeiti" w:hAnsi="STHeiti" w:eastAsia="STHeiti" w:cs="STHeiti"/>
                <w:b w:val="0"/>
                <w:color w:val="142337"/>
                <w:sz w:val="20"/>
              </w:rPr>
              <w:t>治理中心反馈处置完成并闭环。</w:t>
            </w:r>
          </w:p>
        </w:tc>
        <w:tc>
          <w:tcPr>
            <w:tcW w:w="2520" w:type="dxa"/>
            <w:tcMar>
              <w:top w:w="100" w:type="dxa"/>
              <w:left w:w="120" w:type="dxa"/>
              <w:bottom w:w="100" w:type="dxa"/>
              <w:right w:w="120" w:type="dxa"/>
            </w:tcMar>
            <w:vAlign w:val="center"/>
          </w:tcPr>
          <w:p w14:paraId="0F74FF08">
            <w:pPr>
              <w:spacing w:after="0" w:line="259" w:lineRule="auto"/>
            </w:pPr>
            <w:r>
              <w:rPr>
                <w:rFonts w:ascii="STHeiti" w:hAnsi="STHeiti" w:eastAsia="STHeiti" w:cs="STHeiti"/>
                <w:b w:val="0"/>
                <w:color w:val="142337"/>
                <w:sz w:val="20"/>
              </w:rPr>
              <w:t>归档、查看历史、复盘统计。</w:t>
            </w:r>
          </w:p>
        </w:tc>
        <w:tc>
          <w:tcPr>
            <w:tcW w:w="2304" w:type="dxa"/>
            <w:tcMar>
              <w:top w:w="100" w:type="dxa"/>
              <w:left w:w="120" w:type="dxa"/>
              <w:bottom w:w="100" w:type="dxa"/>
              <w:right w:w="120" w:type="dxa"/>
            </w:tcMar>
            <w:vAlign w:val="center"/>
          </w:tcPr>
          <w:p w14:paraId="42DA7E7F">
            <w:pPr>
              <w:spacing w:after="0" w:line="259" w:lineRule="auto"/>
            </w:pPr>
            <w:r>
              <w:rPr>
                <w:rFonts w:ascii="STHeiti" w:hAnsi="STHeiti" w:eastAsia="STHeiti" w:cs="STHeiti"/>
                <w:b w:val="0"/>
                <w:color w:val="142337"/>
                <w:sz w:val="20"/>
              </w:rPr>
              <w:t>无；若再次识别则生成新预警</w:t>
            </w:r>
          </w:p>
        </w:tc>
      </w:tr>
    </w:tbl>
    <w:p w14:paraId="52277FE6">
      <w:pPr>
        <w:spacing w:after="40"/>
      </w:pPr>
    </w:p>
    <w:p w14:paraId="4A36F79B">
      <w:pPr>
        <w:pStyle w:val="4"/>
        <w:spacing w:before="240" w:after="120" w:line="264" w:lineRule="auto"/>
      </w:pPr>
      <w:r>
        <w:rPr>
          <w:rFonts w:ascii="STHeiti" w:hAnsi="STHeiti" w:eastAsia="STHeiti" w:cs="STHeiti"/>
          <w:b/>
          <w:color w:val="2E74B5"/>
          <w:sz w:val="26"/>
        </w:rPr>
        <w:t>7.1 状态变化触发细则</w:t>
      </w:r>
    </w:p>
    <w:p w14:paraId="2D1E7249">
      <w:pPr>
        <w:pStyle w:val="16"/>
        <w:spacing w:after="80" w:line="276" w:lineRule="auto"/>
      </w:pPr>
      <w:r>
        <w:rPr>
          <w:rFonts w:ascii="STHeiti" w:hAnsi="STHeiti" w:eastAsia="STHeiti" w:cs="STHeiti"/>
          <w:b w:val="0"/>
          <w:color w:val="142337"/>
          <w:sz w:val="22"/>
        </w:rPr>
        <w:t>模型识别到低/中/高风险对象后，自动创建待确认预警。</w:t>
      </w:r>
    </w:p>
    <w:p w14:paraId="171377DB">
      <w:pPr>
        <w:pStyle w:val="16"/>
        <w:spacing w:after="80" w:line="276" w:lineRule="auto"/>
      </w:pPr>
      <w:r>
        <w:rPr>
          <w:rFonts w:ascii="STHeiti" w:hAnsi="STHeiti" w:eastAsia="STHeiti" w:cs="STHeiti"/>
          <w:b w:val="0"/>
          <w:color w:val="142337"/>
          <w:sz w:val="22"/>
        </w:rPr>
        <w:t>人工复核为非风险时，状态变为人工已确认，不进入事件处置流程。</w:t>
      </w:r>
    </w:p>
    <w:p w14:paraId="014B1199">
      <w:pPr>
        <w:pStyle w:val="16"/>
        <w:spacing w:after="80" w:line="276" w:lineRule="auto"/>
      </w:pPr>
      <w:r>
        <w:rPr>
          <w:rFonts w:ascii="STHeiti" w:hAnsi="STHeiti" w:eastAsia="STHeiti" w:cs="STHeiti"/>
          <w:b w:val="0"/>
          <w:color w:val="142337"/>
          <w:sz w:val="22"/>
        </w:rPr>
        <w:t>人工复核为存在风险时，系统生成事件并下发治理中心，状态变为处置中。</w:t>
      </w:r>
    </w:p>
    <w:p w14:paraId="351AAEC5">
      <w:pPr>
        <w:pStyle w:val="16"/>
        <w:spacing w:after="80" w:line="276" w:lineRule="auto"/>
      </w:pPr>
      <w:r>
        <w:rPr>
          <w:rFonts w:ascii="STHeiti" w:hAnsi="STHeiti" w:eastAsia="STHeiti" w:cs="STHeiti"/>
          <w:b w:val="0"/>
          <w:color w:val="142337"/>
          <w:sz w:val="22"/>
        </w:rPr>
        <w:t>治理中心反馈施工方撤离、现场复核完成、隐患消除后，状态变为已完成。</w:t>
      </w:r>
    </w:p>
    <w:p w14:paraId="14D2395C">
      <w:pPr>
        <w:pStyle w:val="16"/>
        <w:spacing w:after="80" w:line="276" w:lineRule="auto"/>
      </w:pPr>
      <w:r>
        <w:rPr>
          <w:rFonts w:ascii="STHeiti" w:hAnsi="STHeiti" w:eastAsia="STHeiti" w:cs="STHeiti"/>
          <w:b w:val="0"/>
          <w:color w:val="142337"/>
          <w:sz w:val="22"/>
        </w:rPr>
        <w:t>处置中或已完成状态应保留事件单编号</w:t>
      </w:r>
      <w:r>
        <w:rPr>
          <w:rFonts w:hint="eastAsia" w:cs="STHeiti"/>
          <w:b w:val="0"/>
          <w:color w:val="142337"/>
          <w:sz w:val="22"/>
          <w:lang w:eastAsia="zh-CN"/>
        </w:rPr>
        <w:t>。</w:t>
      </w:r>
    </w:p>
    <w:p w14:paraId="778E7E68">
      <w:pPr>
        <w:pStyle w:val="4"/>
        <w:spacing w:before="240" w:after="120" w:line="264" w:lineRule="auto"/>
        <w:rPr>
          <w:rFonts w:hint="default" w:eastAsia="STHeiti"/>
          <w:lang w:val="en-US" w:eastAsia="zh-CN"/>
        </w:rPr>
      </w:pPr>
      <w:r>
        <w:rPr>
          <w:rFonts w:ascii="STHeiti" w:hAnsi="STHeiti" w:eastAsia="STHeiti" w:cs="STHeiti"/>
          <w:b/>
          <w:color w:val="2E74B5"/>
          <w:sz w:val="26"/>
        </w:rPr>
        <w:t>7.</w:t>
      </w:r>
      <w:r>
        <w:rPr>
          <w:rFonts w:hint="eastAsia" w:ascii="STHeiti" w:hAnsi="STHeiti" w:eastAsia="STHeiti" w:cs="STHeiti"/>
          <w:b/>
          <w:color w:val="2E74B5"/>
          <w:sz w:val="26"/>
          <w:lang w:val="en-US" w:eastAsia="zh-CN"/>
        </w:rPr>
        <w:t>2</w:t>
      </w:r>
      <w:r>
        <w:rPr>
          <w:rFonts w:ascii="STHeiti" w:hAnsi="STHeiti" w:eastAsia="STHeiti" w:cs="STHeiti"/>
          <w:b/>
          <w:color w:val="2E74B5"/>
          <w:sz w:val="26"/>
        </w:rPr>
        <w:t xml:space="preserve"> </w:t>
      </w:r>
      <w:r>
        <w:rPr>
          <w:rFonts w:hint="eastAsia" w:ascii="STHeiti" w:hAnsi="STHeiti" w:eastAsia="STHeiti" w:cs="STHeiti"/>
          <w:b/>
          <w:color w:val="2E74B5"/>
          <w:sz w:val="26"/>
          <w:lang w:val="en-US" w:eastAsia="zh-CN"/>
        </w:rPr>
        <w:t>接口字段</w:t>
      </w:r>
    </w:p>
    <w:p w14:paraId="3172BF4C">
      <w:pPr>
        <w:pStyle w:val="16"/>
        <w:spacing w:after="80" w:line="276" w:lineRule="auto"/>
      </w:pPr>
      <w:r>
        <w:rPr>
          <w:rFonts w:hint="eastAsia"/>
          <w:lang w:val="en-US" w:eastAsia="zh-CN"/>
        </w:rPr>
        <w:t>预警数据下发给人工确认平台：预警等级、预警时间、预警地点、预警区域、历史告警频次、可能原因、可能影响、处置建议、智能研判结果描述</w:t>
      </w:r>
    </w:p>
    <w:p w14:paraId="45D9FD0C">
      <w:pPr>
        <w:pStyle w:val="16"/>
        <w:spacing w:after="80" w:line="276" w:lineRule="auto"/>
      </w:pPr>
      <w:r>
        <w:rPr>
          <w:rFonts w:hint="eastAsia"/>
          <w:lang w:val="en-US" w:eastAsia="zh-CN"/>
        </w:rPr>
        <w:t>如果该预警由人工确认平台确认风险并下发事件处置平台，事件平台需返回业务状态（已结束）、处置结果。（处置过程是否返回，待定）</w:t>
      </w:r>
    </w:p>
    <w:p w14:paraId="0456D48B">
      <w:pPr>
        <w:pStyle w:val="16"/>
        <w:spacing w:after="80" w:line="276" w:lineRule="auto"/>
      </w:pPr>
      <w:r>
        <w:rPr>
          <w:rFonts w:hint="eastAsia"/>
          <w:lang w:val="en-US" w:eastAsia="zh-CN"/>
        </w:rPr>
        <w:t>综上，人工平台返回：业务状态、确认备注（如果有）、处置过程（待定）、处置结果。</w:t>
      </w:r>
    </w:p>
    <w:p w14:paraId="680E6C7D">
      <w:pPr>
        <w:pStyle w:val="3"/>
        <w:spacing w:before="320" w:after="160" w:line="264" w:lineRule="auto"/>
      </w:pPr>
      <w:r>
        <w:rPr>
          <w:rFonts w:ascii="STHeiti" w:hAnsi="STHeiti" w:eastAsia="STHeiti" w:cs="STHeiti"/>
          <w:b/>
          <w:color w:val="2E74B5"/>
          <w:sz w:val="32"/>
        </w:rPr>
        <w:t>8. 数据字段建议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69197780">
        <w:trPr>
          <w:jc w:val="center"/>
        </w:trPr>
        <w:tc>
          <w:tcPr>
            <w:tcW w:w="1584" w:type="dxa"/>
            <w:shd w:val="clear" w:color="auto" w:fill="F2F4F7"/>
            <w:tcMar>
              <w:top w:w="100" w:type="dxa"/>
              <w:left w:w="120" w:type="dxa"/>
              <w:bottom w:w="100" w:type="dxa"/>
              <w:right w:w="120" w:type="dxa"/>
            </w:tcMar>
            <w:vAlign w:val="center"/>
          </w:tcPr>
          <w:p w14:paraId="330356C9">
            <w:pPr>
              <w:spacing w:after="0"/>
            </w:pPr>
            <w:r>
              <w:rPr>
                <w:rFonts w:ascii="STHeiti" w:hAnsi="STHeiti" w:eastAsia="STHeiti" w:cs="STHeiti"/>
                <w:b/>
                <w:color w:val="142337"/>
                <w:sz w:val="21"/>
              </w:rPr>
              <w:t>字段</w:t>
            </w:r>
          </w:p>
        </w:tc>
        <w:tc>
          <w:tcPr>
            <w:tcW w:w="1080" w:type="dxa"/>
            <w:shd w:val="clear" w:color="auto" w:fill="F2F4F7"/>
            <w:tcMar>
              <w:top w:w="100" w:type="dxa"/>
              <w:left w:w="120" w:type="dxa"/>
              <w:bottom w:w="100" w:type="dxa"/>
              <w:right w:w="120" w:type="dxa"/>
            </w:tcMar>
            <w:vAlign w:val="center"/>
          </w:tcPr>
          <w:p w14:paraId="581070EF">
            <w:pPr>
              <w:spacing w:after="0"/>
            </w:pPr>
            <w:r>
              <w:rPr>
                <w:rFonts w:ascii="STHeiti" w:hAnsi="STHeiti" w:eastAsia="STHeiti" w:cs="STHeiti"/>
                <w:b/>
                <w:color w:val="142337"/>
                <w:sz w:val="21"/>
              </w:rPr>
              <w:t>类型</w:t>
            </w:r>
          </w:p>
        </w:tc>
        <w:tc>
          <w:tcPr>
            <w:tcW w:w="3600" w:type="dxa"/>
            <w:shd w:val="clear" w:color="auto" w:fill="F2F4F7"/>
            <w:tcMar>
              <w:top w:w="100" w:type="dxa"/>
              <w:left w:w="120" w:type="dxa"/>
              <w:bottom w:w="100" w:type="dxa"/>
              <w:right w:w="120" w:type="dxa"/>
            </w:tcMar>
            <w:vAlign w:val="center"/>
          </w:tcPr>
          <w:p w14:paraId="6CD62A33">
            <w:pPr>
              <w:spacing w:after="0"/>
            </w:pPr>
            <w:r>
              <w:rPr>
                <w:rFonts w:ascii="STHeiti" w:hAnsi="STHeiti" w:eastAsia="STHeiti" w:cs="STHeiti"/>
                <w:b/>
                <w:color w:val="142337"/>
                <w:sz w:val="21"/>
              </w:rPr>
              <w:t>含义</w:t>
            </w:r>
          </w:p>
        </w:tc>
        <w:tc>
          <w:tcPr>
            <w:tcW w:w="2880" w:type="dxa"/>
            <w:shd w:val="clear" w:color="auto" w:fill="F2F4F7"/>
            <w:tcMar>
              <w:top w:w="100" w:type="dxa"/>
              <w:left w:w="120" w:type="dxa"/>
              <w:bottom w:w="100" w:type="dxa"/>
              <w:right w:w="120" w:type="dxa"/>
            </w:tcMar>
            <w:vAlign w:val="center"/>
          </w:tcPr>
          <w:p w14:paraId="268A3513">
            <w:pPr>
              <w:spacing w:after="0"/>
            </w:pPr>
            <w:r>
              <w:rPr>
                <w:rFonts w:ascii="STHeiti" w:hAnsi="STHeiti" w:eastAsia="STHeiti" w:cs="STHeiti"/>
                <w:b/>
                <w:color w:val="142337"/>
                <w:sz w:val="21"/>
              </w:rPr>
              <w:t>展示位置</w:t>
            </w:r>
          </w:p>
        </w:tc>
      </w:tr>
      <w:tr w14:paraId="31F084E0">
        <w:trPr>
          <w:jc w:val="center"/>
        </w:trPr>
        <w:tc>
          <w:tcPr>
            <w:tcW w:w="1584" w:type="dxa"/>
            <w:tcMar>
              <w:top w:w="100" w:type="dxa"/>
              <w:left w:w="120" w:type="dxa"/>
              <w:bottom w:w="100" w:type="dxa"/>
              <w:right w:w="120" w:type="dxa"/>
            </w:tcMar>
            <w:vAlign w:val="center"/>
          </w:tcPr>
          <w:p w14:paraId="452AC7F1">
            <w:pPr>
              <w:spacing w:after="0" w:line="259" w:lineRule="auto"/>
            </w:pPr>
            <w:r>
              <w:rPr>
                <w:rFonts w:ascii="STHeiti" w:hAnsi="STHeiti" w:eastAsia="STHeiti" w:cs="STHeiti"/>
                <w:b w:val="0"/>
                <w:color w:val="142337"/>
                <w:sz w:val="20"/>
              </w:rPr>
              <w:t>title</w:t>
            </w:r>
          </w:p>
        </w:tc>
        <w:tc>
          <w:tcPr>
            <w:tcW w:w="1080" w:type="dxa"/>
            <w:tcMar>
              <w:top w:w="100" w:type="dxa"/>
              <w:left w:w="120" w:type="dxa"/>
              <w:bottom w:w="100" w:type="dxa"/>
              <w:right w:w="120" w:type="dxa"/>
            </w:tcMar>
            <w:vAlign w:val="center"/>
          </w:tcPr>
          <w:p w14:paraId="598BFF4E">
            <w:pPr>
              <w:spacing w:after="0" w:line="259" w:lineRule="auto"/>
            </w:pPr>
            <w:r>
              <w:rPr>
                <w:rFonts w:ascii="STHeiti" w:hAnsi="STHeiti" w:eastAsia="STHeiti" w:cs="STHeiti"/>
                <w:b w:val="0"/>
                <w:color w:val="142337"/>
                <w:sz w:val="20"/>
              </w:rPr>
              <w:t>string</w:t>
            </w:r>
          </w:p>
        </w:tc>
        <w:tc>
          <w:tcPr>
            <w:tcW w:w="3600" w:type="dxa"/>
            <w:tcMar>
              <w:top w:w="100" w:type="dxa"/>
              <w:left w:w="120" w:type="dxa"/>
              <w:bottom w:w="100" w:type="dxa"/>
              <w:right w:w="120" w:type="dxa"/>
            </w:tcMar>
            <w:vAlign w:val="center"/>
          </w:tcPr>
          <w:p w14:paraId="4ED604A2">
            <w:pPr>
              <w:spacing w:after="0" w:line="259" w:lineRule="auto"/>
            </w:pPr>
            <w:r>
              <w:rPr>
                <w:rFonts w:ascii="STHeiti" w:hAnsi="STHeiti" w:eastAsia="STHeiti" w:cs="STHeiti"/>
                <w:b w:val="0"/>
                <w:color w:val="142337"/>
                <w:sz w:val="20"/>
              </w:rPr>
              <w:t>预警标题，如“挖掘机进入红区高风险视频预警”。</w:t>
            </w:r>
          </w:p>
        </w:tc>
        <w:tc>
          <w:tcPr>
            <w:tcW w:w="2880" w:type="dxa"/>
            <w:tcMar>
              <w:top w:w="100" w:type="dxa"/>
              <w:left w:w="120" w:type="dxa"/>
              <w:bottom w:w="100" w:type="dxa"/>
              <w:right w:w="120" w:type="dxa"/>
            </w:tcMar>
            <w:vAlign w:val="center"/>
          </w:tcPr>
          <w:p w14:paraId="5902506F">
            <w:pPr>
              <w:spacing w:after="0" w:line="259" w:lineRule="auto"/>
            </w:pPr>
            <w:r>
              <w:rPr>
                <w:rFonts w:ascii="STHeiti" w:hAnsi="STHeiti" w:eastAsia="STHeiti" w:cs="STHeiti"/>
                <w:b w:val="0"/>
                <w:color w:val="142337"/>
                <w:sz w:val="20"/>
              </w:rPr>
              <w:t>卡片标题、研判目标描述</w:t>
            </w:r>
          </w:p>
        </w:tc>
      </w:tr>
      <w:tr w14:paraId="3EEF0E00">
        <w:trPr>
          <w:jc w:val="center"/>
        </w:trPr>
        <w:tc>
          <w:tcPr>
            <w:tcW w:w="1584" w:type="dxa"/>
            <w:tcMar>
              <w:top w:w="100" w:type="dxa"/>
              <w:left w:w="120" w:type="dxa"/>
              <w:bottom w:w="100" w:type="dxa"/>
              <w:right w:w="120" w:type="dxa"/>
            </w:tcMar>
            <w:vAlign w:val="center"/>
          </w:tcPr>
          <w:p w14:paraId="450F5A74">
            <w:pPr>
              <w:spacing w:after="0" w:line="259" w:lineRule="auto"/>
            </w:pPr>
            <w:r>
              <w:rPr>
                <w:rFonts w:ascii="STHeiti" w:hAnsi="STHeiti" w:eastAsia="STHeiti" w:cs="STHeiti"/>
                <w:b w:val="0"/>
                <w:color w:val="142337"/>
                <w:sz w:val="20"/>
              </w:rPr>
              <w:t>time</w:t>
            </w:r>
          </w:p>
        </w:tc>
        <w:tc>
          <w:tcPr>
            <w:tcW w:w="1080" w:type="dxa"/>
            <w:tcMar>
              <w:top w:w="100" w:type="dxa"/>
              <w:left w:w="120" w:type="dxa"/>
              <w:bottom w:w="100" w:type="dxa"/>
              <w:right w:w="120" w:type="dxa"/>
            </w:tcMar>
            <w:vAlign w:val="center"/>
          </w:tcPr>
          <w:p w14:paraId="46A5B187">
            <w:pPr>
              <w:spacing w:after="0" w:line="259" w:lineRule="auto"/>
            </w:pPr>
            <w:r>
              <w:rPr>
                <w:rFonts w:ascii="STHeiti" w:hAnsi="STHeiti" w:eastAsia="STHeiti" w:cs="STHeiti"/>
                <w:b w:val="0"/>
                <w:color w:val="142337"/>
                <w:sz w:val="20"/>
              </w:rPr>
              <w:t>datetime</w:t>
            </w:r>
          </w:p>
        </w:tc>
        <w:tc>
          <w:tcPr>
            <w:tcW w:w="3600" w:type="dxa"/>
            <w:tcMar>
              <w:top w:w="100" w:type="dxa"/>
              <w:left w:w="120" w:type="dxa"/>
              <w:bottom w:w="100" w:type="dxa"/>
              <w:right w:w="120" w:type="dxa"/>
            </w:tcMar>
            <w:vAlign w:val="center"/>
          </w:tcPr>
          <w:p w14:paraId="291380CB">
            <w:pPr>
              <w:spacing w:after="0" w:line="259" w:lineRule="auto"/>
            </w:pPr>
            <w:r>
              <w:rPr>
                <w:rFonts w:ascii="STHeiti" w:hAnsi="STHeiti" w:eastAsia="STHeiti" w:cs="STHeiti"/>
                <w:b w:val="0"/>
                <w:color w:val="142337"/>
                <w:sz w:val="20"/>
              </w:rPr>
              <w:t>预警触发时间。</w:t>
            </w:r>
          </w:p>
        </w:tc>
        <w:tc>
          <w:tcPr>
            <w:tcW w:w="2880" w:type="dxa"/>
            <w:tcMar>
              <w:top w:w="100" w:type="dxa"/>
              <w:left w:w="120" w:type="dxa"/>
              <w:bottom w:w="100" w:type="dxa"/>
              <w:right w:w="120" w:type="dxa"/>
            </w:tcMar>
            <w:vAlign w:val="center"/>
          </w:tcPr>
          <w:p w14:paraId="3D2847F6">
            <w:pPr>
              <w:spacing w:after="0" w:line="259" w:lineRule="auto"/>
            </w:pPr>
            <w:r>
              <w:rPr>
                <w:rFonts w:ascii="STHeiti" w:hAnsi="STHeiti" w:eastAsia="STHeiti" w:cs="STHeiti"/>
                <w:b w:val="0"/>
                <w:color w:val="142337"/>
                <w:sz w:val="20"/>
              </w:rPr>
              <w:t>卡片、研判摘要</w:t>
            </w:r>
          </w:p>
        </w:tc>
      </w:tr>
      <w:tr w14:paraId="1CE48A94">
        <w:trPr>
          <w:jc w:val="center"/>
        </w:trPr>
        <w:tc>
          <w:tcPr>
            <w:tcW w:w="1584" w:type="dxa"/>
            <w:tcMar>
              <w:top w:w="100" w:type="dxa"/>
              <w:left w:w="120" w:type="dxa"/>
              <w:bottom w:w="100" w:type="dxa"/>
              <w:right w:w="120" w:type="dxa"/>
            </w:tcMar>
            <w:vAlign w:val="center"/>
          </w:tcPr>
          <w:p w14:paraId="4843ED22">
            <w:pPr>
              <w:spacing w:after="0" w:line="259" w:lineRule="auto"/>
            </w:pPr>
            <w:r>
              <w:rPr>
                <w:rFonts w:ascii="STHeiti" w:hAnsi="STHeiti" w:eastAsia="STHeiti" w:cs="STHeiti"/>
                <w:b w:val="0"/>
                <w:color w:val="142337"/>
                <w:sz w:val="20"/>
              </w:rPr>
              <w:t>camera</w:t>
            </w:r>
          </w:p>
        </w:tc>
        <w:tc>
          <w:tcPr>
            <w:tcW w:w="1080" w:type="dxa"/>
            <w:tcMar>
              <w:top w:w="100" w:type="dxa"/>
              <w:left w:w="120" w:type="dxa"/>
              <w:bottom w:w="100" w:type="dxa"/>
              <w:right w:w="120" w:type="dxa"/>
            </w:tcMar>
            <w:vAlign w:val="center"/>
          </w:tcPr>
          <w:p w14:paraId="58A9EE2E">
            <w:pPr>
              <w:spacing w:after="0" w:line="259" w:lineRule="auto"/>
            </w:pPr>
            <w:r>
              <w:rPr>
                <w:rFonts w:ascii="STHeiti" w:hAnsi="STHeiti" w:eastAsia="STHeiti" w:cs="STHeiti"/>
                <w:b w:val="0"/>
                <w:color w:val="142337"/>
                <w:sz w:val="20"/>
              </w:rPr>
              <w:t>string</w:t>
            </w:r>
          </w:p>
        </w:tc>
        <w:tc>
          <w:tcPr>
            <w:tcW w:w="3600" w:type="dxa"/>
            <w:tcMar>
              <w:top w:w="100" w:type="dxa"/>
              <w:left w:w="120" w:type="dxa"/>
              <w:bottom w:w="100" w:type="dxa"/>
              <w:right w:w="120" w:type="dxa"/>
            </w:tcMar>
            <w:vAlign w:val="center"/>
          </w:tcPr>
          <w:p w14:paraId="3434F0EC">
            <w:pPr>
              <w:spacing w:after="0" w:line="259" w:lineRule="auto"/>
            </w:pPr>
            <w:r>
              <w:rPr>
                <w:rFonts w:ascii="STHeiti" w:hAnsi="STHeiti" w:eastAsia="STHeiti" w:cs="STHeiti"/>
                <w:b w:val="0"/>
                <w:color w:val="142337"/>
                <w:sz w:val="20"/>
              </w:rPr>
              <w:t>监控点编号。</w:t>
            </w:r>
          </w:p>
        </w:tc>
        <w:tc>
          <w:tcPr>
            <w:tcW w:w="2880" w:type="dxa"/>
            <w:tcMar>
              <w:top w:w="100" w:type="dxa"/>
              <w:left w:w="120" w:type="dxa"/>
              <w:bottom w:w="100" w:type="dxa"/>
              <w:right w:w="120" w:type="dxa"/>
            </w:tcMar>
            <w:vAlign w:val="center"/>
          </w:tcPr>
          <w:p w14:paraId="5E432985">
            <w:pPr>
              <w:spacing w:after="0" w:line="259" w:lineRule="auto"/>
            </w:pPr>
            <w:r>
              <w:rPr>
                <w:rFonts w:ascii="STHeiti" w:hAnsi="STHeiti" w:eastAsia="STHeiti" w:cs="STHeiti"/>
                <w:b w:val="0"/>
                <w:color w:val="142337"/>
                <w:sz w:val="20"/>
              </w:rPr>
              <w:t>卡片、研判摘要</w:t>
            </w:r>
          </w:p>
        </w:tc>
      </w:tr>
      <w:tr w14:paraId="1C4D4C41">
        <w:trPr>
          <w:jc w:val="center"/>
        </w:trPr>
        <w:tc>
          <w:tcPr>
            <w:tcW w:w="1584" w:type="dxa"/>
            <w:tcMar>
              <w:top w:w="100" w:type="dxa"/>
              <w:left w:w="120" w:type="dxa"/>
              <w:bottom w:w="100" w:type="dxa"/>
              <w:right w:w="120" w:type="dxa"/>
            </w:tcMar>
            <w:vAlign w:val="center"/>
          </w:tcPr>
          <w:p w14:paraId="32DFAF7F">
            <w:pPr>
              <w:spacing w:after="0" w:line="259" w:lineRule="auto"/>
            </w:pPr>
            <w:r>
              <w:rPr>
                <w:rFonts w:ascii="STHeiti" w:hAnsi="STHeiti" w:eastAsia="STHeiti" w:cs="STHeiti"/>
                <w:b w:val="0"/>
                <w:color w:val="142337"/>
                <w:sz w:val="20"/>
              </w:rPr>
              <w:t>station</w:t>
            </w:r>
          </w:p>
        </w:tc>
        <w:tc>
          <w:tcPr>
            <w:tcW w:w="1080" w:type="dxa"/>
            <w:tcMar>
              <w:top w:w="100" w:type="dxa"/>
              <w:left w:w="120" w:type="dxa"/>
              <w:bottom w:w="100" w:type="dxa"/>
              <w:right w:w="120" w:type="dxa"/>
            </w:tcMar>
            <w:vAlign w:val="center"/>
          </w:tcPr>
          <w:p w14:paraId="12A75A21">
            <w:pPr>
              <w:spacing w:after="0" w:line="259" w:lineRule="auto"/>
            </w:pPr>
            <w:r>
              <w:rPr>
                <w:rFonts w:ascii="STHeiti" w:hAnsi="STHeiti" w:eastAsia="STHeiti" w:cs="STHeiti"/>
                <w:b w:val="0"/>
                <w:color w:val="142337"/>
                <w:sz w:val="20"/>
              </w:rPr>
              <w:t>string</w:t>
            </w:r>
          </w:p>
        </w:tc>
        <w:tc>
          <w:tcPr>
            <w:tcW w:w="3600" w:type="dxa"/>
            <w:tcMar>
              <w:top w:w="100" w:type="dxa"/>
              <w:left w:w="120" w:type="dxa"/>
              <w:bottom w:w="100" w:type="dxa"/>
              <w:right w:w="120" w:type="dxa"/>
            </w:tcMar>
            <w:vAlign w:val="center"/>
          </w:tcPr>
          <w:p w14:paraId="33E70638">
            <w:pPr>
              <w:spacing w:after="0" w:line="259" w:lineRule="auto"/>
            </w:pPr>
            <w:r>
              <w:rPr>
                <w:rFonts w:ascii="STHeiti" w:hAnsi="STHeiti" w:eastAsia="STHeiti" w:cs="STHeiti"/>
                <w:b w:val="0"/>
                <w:color w:val="142337"/>
                <w:sz w:val="20"/>
              </w:rPr>
              <w:t>站点或属地区域。</w:t>
            </w:r>
          </w:p>
        </w:tc>
        <w:tc>
          <w:tcPr>
            <w:tcW w:w="2880" w:type="dxa"/>
            <w:tcMar>
              <w:top w:w="100" w:type="dxa"/>
              <w:left w:w="120" w:type="dxa"/>
              <w:bottom w:w="100" w:type="dxa"/>
              <w:right w:w="120" w:type="dxa"/>
            </w:tcMar>
            <w:vAlign w:val="center"/>
          </w:tcPr>
          <w:p w14:paraId="11805C58">
            <w:pPr>
              <w:spacing w:after="0" w:line="259" w:lineRule="auto"/>
            </w:pPr>
            <w:r>
              <w:rPr>
                <w:rFonts w:ascii="STHeiti" w:hAnsi="STHeiti" w:eastAsia="STHeiti" w:cs="STHeiti"/>
                <w:b w:val="0"/>
                <w:color w:val="142337"/>
                <w:sz w:val="20"/>
              </w:rPr>
              <w:t>卡片、研判摘要</w:t>
            </w:r>
          </w:p>
        </w:tc>
      </w:tr>
      <w:tr w14:paraId="357AD721">
        <w:trPr>
          <w:jc w:val="center"/>
        </w:trPr>
        <w:tc>
          <w:tcPr>
            <w:tcW w:w="1584" w:type="dxa"/>
            <w:tcMar>
              <w:top w:w="100" w:type="dxa"/>
              <w:left w:w="120" w:type="dxa"/>
              <w:bottom w:w="100" w:type="dxa"/>
              <w:right w:w="120" w:type="dxa"/>
            </w:tcMar>
            <w:vAlign w:val="center"/>
          </w:tcPr>
          <w:p w14:paraId="3F48240B">
            <w:pPr>
              <w:spacing w:after="0" w:line="259" w:lineRule="auto"/>
            </w:pPr>
            <w:r>
              <w:rPr>
                <w:rFonts w:ascii="STHeiti" w:hAnsi="STHeiti" w:eastAsia="STHeiti" w:cs="STHeiti"/>
                <w:b w:val="0"/>
                <w:color w:val="142337"/>
                <w:sz w:val="20"/>
              </w:rPr>
              <w:t>level</w:t>
            </w:r>
          </w:p>
        </w:tc>
        <w:tc>
          <w:tcPr>
            <w:tcW w:w="1080" w:type="dxa"/>
            <w:tcMar>
              <w:top w:w="100" w:type="dxa"/>
              <w:left w:w="120" w:type="dxa"/>
              <w:bottom w:w="100" w:type="dxa"/>
              <w:right w:w="120" w:type="dxa"/>
            </w:tcMar>
            <w:vAlign w:val="center"/>
          </w:tcPr>
          <w:p w14:paraId="460FE61F">
            <w:pPr>
              <w:spacing w:after="0" w:line="259" w:lineRule="auto"/>
            </w:pPr>
            <w:r>
              <w:rPr>
                <w:rFonts w:ascii="STHeiti" w:hAnsi="STHeiti" w:eastAsia="STHeiti" w:cs="STHeiti"/>
                <w:b w:val="0"/>
                <w:color w:val="142337"/>
                <w:sz w:val="20"/>
              </w:rPr>
              <w:t>enum</w:t>
            </w:r>
          </w:p>
        </w:tc>
        <w:tc>
          <w:tcPr>
            <w:tcW w:w="3600" w:type="dxa"/>
            <w:tcMar>
              <w:top w:w="100" w:type="dxa"/>
              <w:left w:w="120" w:type="dxa"/>
              <w:bottom w:w="100" w:type="dxa"/>
              <w:right w:w="120" w:type="dxa"/>
            </w:tcMar>
            <w:vAlign w:val="center"/>
          </w:tcPr>
          <w:p w14:paraId="0659313A">
            <w:pPr>
              <w:spacing w:after="0" w:line="259" w:lineRule="auto"/>
            </w:pPr>
            <w:r>
              <w:rPr>
                <w:rFonts w:ascii="STHeiti" w:hAnsi="STHeiti" w:eastAsia="STHeiti" w:cs="STHeiti"/>
                <w:b w:val="0"/>
                <w:color w:val="142337"/>
                <w:sz w:val="20"/>
              </w:rPr>
              <w:t>低风险/中风险/高风险。</w:t>
            </w:r>
          </w:p>
        </w:tc>
        <w:tc>
          <w:tcPr>
            <w:tcW w:w="2880" w:type="dxa"/>
            <w:tcMar>
              <w:top w:w="100" w:type="dxa"/>
              <w:left w:w="120" w:type="dxa"/>
              <w:bottom w:w="100" w:type="dxa"/>
              <w:right w:w="120" w:type="dxa"/>
            </w:tcMar>
            <w:vAlign w:val="center"/>
          </w:tcPr>
          <w:p w14:paraId="10140B0D">
            <w:pPr>
              <w:spacing w:after="0" w:line="259" w:lineRule="auto"/>
            </w:pPr>
            <w:r>
              <w:rPr>
                <w:rFonts w:ascii="STHeiti" w:hAnsi="STHeiti" w:eastAsia="STHeiti" w:cs="STHeiti"/>
                <w:b w:val="0"/>
                <w:color w:val="142337"/>
                <w:sz w:val="20"/>
              </w:rPr>
              <w:t>卡片角标、统计、筛选、研判摘要</w:t>
            </w:r>
          </w:p>
        </w:tc>
      </w:tr>
      <w:tr w14:paraId="1E662C23">
        <w:trPr>
          <w:jc w:val="center"/>
        </w:trPr>
        <w:tc>
          <w:tcPr>
            <w:tcW w:w="1584" w:type="dxa"/>
            <w:tcMar>
              <w:top w:w="100" w:type="dxa"/>
              <w:left w:w="120" w:type="dxa"/>
              <w:bottom w:w="100" w:type="dxa"/>
              <w:right w:w="120" w:type="dxa"/>
            </w:tcMar>
            <w:vAlign w:val="center"/>
          </w:tcPr>
          <w:p w14:paraId="7A5EA5B1">
            <w:pPr>
              <w:spacing w:after="0" w:line="259" w:lineRule="auto"/>
            </w:pPr>
            <w:r>
              <w:rPr>
                <w:rFonts w:ascii="STHeiti" w:hAnsi="STHeiti" w:eastAsia="STHeiti" w:cs="STHeiti"/>
                <w:b w:val="0"/>
                <w:color w:val="142337"/>
                <w:sz w:val="20"/>
              </w:rPr>
              <w:t>processStatus</w:t>
            </w:r>
          </w:p>
        </w:tc>
        <w:tc>
          <w:tcPr>
            <w:tcW w:w="1080" w:type="dxa"/>
            <w:tcMar>
              <w:top w:w="100" w:type="dxa"/>
              <w:left w:w="120" w:type="dxa"/>
              <w:bottom w:w="100" w:type="dxa"/>
              <w:right w:w="120" w:type="dxa"/>
            </w:tcMar>
            <w:vAlign w:val="center"/>
          </w:tcPr>
          <w:p w14:paraId="6D3ACBBC">
            <w:pPr>
              <w:spacing w:after="0" w:line="259" w:lineRule="auto"/>
            </w:pPr>
            <w:r>
              <w:rPr>
                <w:rFonts w:ascii="STHeiti" w:hAnsi="STHeiti" w:eastAsia="STHeiti" w:cs="STHeiti"/>
                <w:b w:val="0"/>
                <w:color w:val="142337"/>
                <w:sz w:val="20"/>
              </w:rPr>
              <w:t>enum</w:t>
            </w:r>
          </w:p>
        </w:tc>
        <w:tc>
          <w:tcPr>
            <w:tcW w:w="3600" w:type="dxa"/>
            <w:tcMar>
              <w:top w:w="100" w:type="dxa"/>
              <w:left w:w="120" w:type="dxa"/>
              <w:bottom w:w="100" w:type="dxa"/>
              <w:right w:w="120" w:type="dxa"/>
            </w:tcMar>
            <w:vAlign w:val="center"/>
          </w:tcPr>
          <w:p w14:paraId="1A3BAB11">
            <w:pPr>
              <w:spacing w:after="0" w:line="259" w:lineRule="auto"/>
            </w:pPr>
            <w:r>
              <w:rPr>
                <w:rFonts w:ascii="STHeiti" w:hAnsi="STHeiti" w:eastAsia="STHeiti" w:cs="STHeiti"/>
                <w:b w:val="0"/>
                <w:color w:val="142337"/>
                <w:sz w:val="20"/>
              </w:rPr>
              <w:t>待确认/人工已确认/处置中/已完成。</w:t>
            </w:r>
          </w:p>
        </w:tc>
        <w:tc>
          <w:tcPr>
            <w:tcW w:w="2880" w:type="dxa"/>
            <w:tcMar>
              <w:top w:w="100" w:type="dxa"/>
              <w:left w:w="120" w:type="dxa"/>
              <w:bottom w:w="100" w:type="dxa"/>
              <w:right w:w="120" w:type="dxa"/>
            </w:tcMar>
            <w:vAlign w:val="center"/>
          </w:tcPr>
          <w:p w14:paraId="62BF74B4">
            <w:pPr>
              <w:spacing w:after="0" w:line="259" w:lineRule="auto"/>
            </w:pPr>
            <w:r>
              <w:rPr>
                <w:rFonts w:ascii="STHeiti" w:hAnsi="STHeiti" w:eastAsia="STHeiti" w:cs="STHeiti"/>
                <w:b w:val="0"/>
                <w:color w:val="142337"/>
                <w:sz w:val="20"/>
              </w:rPr>
              <w:t>卡片角标、筛选、统计、状态标签</w:t>
            </w:r>
          </w:p>
        </w:tc>
      </w:tr>
      <w:tr w14:paraId="6E4560AC">
        <w:trPr>
          <w:jc w:val="center"/>
        </w:trPr>
        <w:tc>
          <w:tcPr>
            <w:tcW w:w="1584" w:type="dxa"/>
            <w:tcMar>
              <w:top w:w="100" w:type="dxa"/>
              <w:left w:w="120" w:type="dxa"/>
              <w:bottom w:w="100" w:type="dxa"/>
              <w:right w:w="120" w:type="dxa"/>
            </w:tcMar>
            <w:vAlign w:val="center"/>
          </w:tcPr>
          <w:p w14:paraId="2BA98BF9">
            <w:pPr>
              <w:spacing w:after="0" w:line="259" w:lineRule="auto"/>
            </w:pPr>
            <w:r>
              <w:rPr>
                <w:rFonts w:ascii="STHeiti" w:hAnsi="STHeiti" w:eastAsia="STHeiti" w:cs="STHeiti"/>
                <w:b w:val="0"/>
                <w:color w:val="142337"/>
                <w:sz w:val="20"/>
              </w:rPr>
              <w:t>distance</w:t>
            </w:r>
          </w:p>
        </w:tc>
        <w:tc>
          <w:tcPr>
            <w:tcW w:w="1080" w:type="dxa"/>
            <w:tcMar>
              <w:top w:w="100" w:type="dxa"/>
              <w:left w:w="120" w:type="dxa"/>
              <w:bottom w:w="100" w:type="dxa"/>
              <w:right w:w="120" w:type="dxa"/>
            </w:tcMar>
            <w:vAlign w:val="center"/>
          </w:tcPr>
          <w:p w14:paraId="1DC461DB">
            <w:pPr>
              <w:spacing w:after="0" w:line="259" w:lineRule="auto"/>
            </w:pPr>
            <w:r>
              <w:rPr>
                <w:rFonts w:ascii="STHeiti" w:hAnsi="STHeiti" w:eastAsia="STHeiti" w:cs="STHeiti"/>
                <w:b w:val="0"/>
                <w:color w:val="142337"/>
                <w:sz w:val="20"/>
              </w:rPr>
              <w:t>string</w:t>
            </w:r>
          </w:p>
        </w:tc>
        <w:tc>
          <w:tcPr>
            <w:tcW w:w="3600" w:type="dxa"/>
            <w:tcMar>
              <w:top w:w="100" w:type="dxa"/>
              <w:left w:w="120" w:type="dxa"/>
              <w:bottom w:w="100" w:type="dxa"/>
              <w:right w:w="120" w:type="dxa"/>
            </w:tcMar>
            <w:vAlign w:val="center"/>
          </w:tcPr>
          <w:p w14:paraId="6DF913CA">
            <w:pPr>
              <w:spacing w:after="0" w:line="259" w:lineRule="auto"/>
            </w:pPr>
            <w:r>
              <w:rPr>
                <w:rFonts w:ascii="STHeiti" w:hAnsi="STHeiti" w:eastAsia="STHeiti" w:cs="STHeiti"/>
                <w:b w:val="0"/>
                <w:color w:val="142337"/>
                <w:sz w:val="20"/>
              </w:rPr>
              <w:t>风险区域或距离描述。</w:t>
            </w:r>
          </w:p>
        </w:tc>
        <w:tc>
          <w:tcPr>
            <w:tcW w:w="2880" w:type="dxa"/>
            <w:tcMar>
              <w:top w:w="100" w:type="dxa"/>
              <w:left w:w="120" w:type="dxa"/>
              <w:bottom w:w="100" w:type="dxa"/>
              <w:right w:w="120" w:type="dxa"/>
            </w:tcMar>
            <w:vAlign w:val="center"/>
          </w:tcPr>
          <w:p w14:paraId="2DFE2B5F">
            <w:pPr>
              <w:spacing w:after="0" w:line="259" w:lineRule="auto"/>
            </w:pPr>
            <w:r>
              <w:rPr>
                <w:rFonts w:ascii="STHeiti" w:hAnsi="STHeiti" w:eastAsia="STHeiti" w:cs="STHeiti"/>
                <w:b w:val="0"/>
                <w:color w:val="142337"/>
                <w:sz w:val="20"/>
              </w:rPr>
              <w:t>研判摘要；不在卡片列表展示</w:t>
            </w:r>
          </w:p>
        </w:tc>
      </w:tr>
      <w:tr w14:paraId="5275C996">
        <w:trPr>
          <w:jc w:val="center"/>
        </w:trPr>
        <w:tc>
          <w:tcPr>
            <w:tcW w:w="1584" w:type="dxa"/>
            <w:tcMar>
              <w:top w:w="100" w:type="dxa"/>
              <w:left w:w="120" w:type="dxa"/>
              <w:bottom w:w="100" w:type="dxa"/>
              <w:right w:w="120" w:type="dxa"/>
            </w:tcMar>
            <w:vAlign w:val="center"/>
          </w:tcPr>
          <w:p w14:paraId="41CCD990">
            <w:pPr>
              <w:spacing w:after="0" w:line="259" w:lineRule="auto"/>
            </w:pPr>
            <w:r>
              <w:rPr>
                <w:rFonts w:ascii="STHeiti" w:hAnsi="STHeiti" w:eastAsia="STHeiti" w:cs="STHeiti"/>
                <w:b w:val="0"/>
                <w:color w:val="142337"/>
                <w:sz w:val="20"/>
              </w:rPr>
              <w:t>confirmResult</w:t>
            </w:r>
          </w:p>
        </w:tc>
        <w:tc>
          <w:tcPr>
            <w:tcW w:w="1080" w:type="dxa"/>
            <w:tcMar>
              <w:top w:w="100" w:type="dxa"/>
              <w:left w:w="120" w:type="dxa"/>
              <w:bottom w:w="100" w:type="dxa"/>
              <w:right w:w="120" w:type="dxa"/>
            </w:tcMar>
            <w:vAlign w:val="center"/>
          </w:tcPr>
          <w:p w14:paraId="41CAE4C8">
            <w:pPr>
              <w:spacing w:after="0" w:line="259" w:lineRule="auto"/>
            </w:pPr>
            <w:r>
              <w:rPr>
                <w:rFonts w:ascii="STHeiti" w:hAnsi="STHeiti" w:eastAsia="STHeiti" w:cs="STHeiti"/>
                <w:b w:val="0"/>
                <w:color w:val="142337"/>
                <w:sz w:val="20"/>
              </w:rPr>
              <w:t>string</w:t>
            </w:r>
          </w:p>
        </w:tc>
        <w:tc>
          <w:tcPr>
            <w:tcW w:w="3600" w:type="dxa"/>
            <w:tcMar>
              <w:top w:w="100" w:type="dxa"/>
              <w:left w:w="120" w:type="dxa"/>
              <w:bottom w:w="100" w:type="dxa"/>
              <w:right w:w="120" w:type="dxa"/>
            </w:tcMar>
            <w:vAlign w:val="center"/>
          </w:tcPr>
          <w:p w14:paraId="64DC94AD">
            <w:pPr>
              <w:spacing w:after="0" w:line="259" w:lineRule="auto"/>
            </w:pPr>
            <w:r>
              <w:rPr>
                <w:rFonts w:ascii="STHeiti" w:hAnsi="STHeiti" w:eastAsia="STHeiti" w:cs="STHeiti"/>
                <w:b w:val="0"/>
                <w:color w:val="142337"/>
                <w:sz w:val="20"/>
              </w:rPr>
              <w:t>业务系统或人工确认说明。</w:t>
            </w:r>
          </w:p>
        </w:tc>
        <w:tc>
          <w:tcPr>
            <w:tcW w:w="2880" w:type="dxa"/>
            <w:tcMar>
              <w:top w:w="100" w:type="dxa"/>
              <w:left w:w="120" w:type="dxa"/>
              <w:bottom w:w="100" w:type="dxa"/>
              <w:right w:w="120" w:type="dxa"/>
            </w:tcMar>
            <w:vAlign w:val="center"/>
          </w:tcPr>
          <w:p w14:paraId="50E5E8A8">
            <w:pPr>
              <w:spacing w:after="0" w:line="259" w:lineRule="auto"/>
            </w:pPr>
            <w:r>
              <w:rPr>
                <w:rFonts w:ascii="STHeiti" w:hAnsi="STHeiti" w:eastAsia="STHeiti" w:cs="STHeiti"/>
                <w:b w:val="0"/>
                <w:color w:val="142337"/>
                <w:sz w:val="20"/>
              </w:rPr>
              <w:t>卡片底部、处置情况</w:t>
            </w:r>
          </w:p>
        </w:tc>
      </w:tr>
      <w:tr w14:paraId="45C57C4E">
        <w:trPr>
          <w:jc w:val="center"/>
        </w:trPr>
        <w:tc>
          <w:tcPr>
            <w:tcW w:w="1584" w:type="dxa"/>
            <w:tcMar>
              <w:top w:w="100" w:type="dxa"/>
              <w:left w:w="120" w:type="dxa"/>
              <w:bottom w:w="100" w:type="dxa"/>
              <w:right w:w="120" w:type="dxa"/>
            </w:tcMar>
            <w:vAlign w:val="center"/>
          </w:tcPr>
          <w:p w14:paraId="0686D872">
            <w:pPr>
              <w:spacing w:after="0" w:line="259" w:lineRule="auto"/>
            </w:pPr>
            <w:r>
              <w:rPr>
                <w:rFonts w:ascii="STHeiti" w:hAnsi="STHeiti" w:eastAsia="STHeiti" w:cs="STHeiti"/>
                <w:b w:val="0"/>
                <w:color w:val="142337"/>
                <w:sz w:val="20"/>
              </w:rPr>
              <w:t>eventCode</w:t>
            </w:r>
          </w:p>
        </w:tc>
        <w:tc>
          <w:tcPr>
            <w:tcW w:w="1080" w:type="dxa"/>
            <w:tcMar>
              <w:top w:w="100" w:type="dxa"/>
              <w:left w:w="120" w:type="dxa"/>
              <w:bottom w:w="100" w:type="dxa"/>
              <w:right w:w="120" w:type="dxa"/>
            </w:tcMar>
            <w:vAlign w:val="center"/>
          </w:tcPr>
          <w:p w14:paraId="347B3814">
            <w:pPr>
              <w:spacing w:after="0" w:line="259" w:lineRule="auto"/>
            </w:pPr>
            <w:r>
              <w:rPr>
                <w:rFonts w:ascii="STHeiti" w:hAnsi="STHeiti" w:eastAsia="STHeiti" w:cs="STHeiti"/>
                <w:b w:val="0"/>
                <w:color w:val="142337"/>
                <w:sz w:val="20"/>
              </w:rPr>
              <w:t>string</w:t>
            </w:r>
          </w:p>
        </w:tc>
        <w:tc>
          <w:tcPr>
            <w:tcW w:w="3600" w:type="dxa"/>
            <w:tcMar>
              <w:top w:w="100" w:type="dxa"/>
              <w:left w:w="120" w:type="dxa"/>
              <w:bottom w:w="100" w:type="dxa"/>
              <w:right w:w="120" w:type="dxa"/>
            </w:tcMar>
            <w:vAlign w:val="center"/>
          </w:tcPr>
          <w:p w14:paraId="567B4BD7">
            <w:pPr>
              <w:spacing w:after="0" w:line="259" w:lineRule="auto"/>
            </w:pPr>
            <w:r>
              <w:rPr>
                <w:rFonts w:ascii="STHeiti" w:hAnsi="STHeiti" w:eastAsia="STHeiti" w:cs="STHeiti"/>
                <w:b w:val="0"/>
                <w:color w:val="142337"/>
                <w:sz w:val="20"/>
              </w:rPr>
              <w:t>事件单编号。</w:t>
            </w:r>
          </w:p>
        </w:tc>
        <w:tc>
          <w:tcPr>
            <w:tcW w:w="2880" w:type="dxa"/>
            <w:tcMar>
              <w:top w:w="100" w:type="dxa"/>
              <w:left w:w="120" w:type="dxa"/>
              <w:bottom w:w="100" w:type="dxa"/>
              <w:right w:w="120" w:type="dxa"/>
            </w:tcMar>
            <w:vAlign w:val="center"/>
          </w:tcPr>
          <w:p w14:paraId="21B33DB8">
            <w:pPr>
              <w:spacing w:after="0" w:line="259" w:lineRule="auto"/>
            </w:pPr>
            <w:r>
              <w:rPr>
                <w:rFonts w:ascii="STHeiti" w:hAnsi="STHeiti" w:eastAsia="STHeiti" w:cs="STHeiti"/>
                <w:b w:val="0"/>
                <w:color w:val="142337"/>
                <w:sz w:val="20"/>
              </w:rPr>
              <w:t>详情或治理中心</w:t>
            </w:r>
          </w:p>
        </w:tc>
      </w:tr>
      <w:tr w14:paraId="4D84D795">
        <w:trPr>
          <w:jc w:val="center"/>
        </w:trPr>
        <w:tc>
          <w:tcPr>
            <w:tcW w:w="1584" w:type="dxa"/>
            <w:tcMar>
              <w:top w:w="100" w:type="dxa"/>
              <w:left w:w="120" w:type="dxa"/>
              <w:bottom w:w="100" w:type="dxa"/>
              <w:right w:w="120" w:type="dxa"/>
            </w:tcMar>
            <w:vAlign w:val="center"/>
          </w:tcPr>
          <w:p w14:paraId="7BDF443B">
            <w:pPr>
              <w:spacing w:after="0" w:line="259" w:lineRule="auto"/>
            </w:pPr>
            <w:r>
              <w:rPr>
                <w:rFonts w:ascii="STHeiti" w:hAnsi="STHeiti" w:eastAsia="STHeiti" w:cs="STHeiti"/>
                <w:b w:val="0"/>
                <w:color w:val="142337"/>
                <w:sz w:val="20"/>
              </w:rPr>
              <w:t>analysisResult</w:t>
            </w:r>
          </w:p>
        </w:tc>
        <w:tc>
          <w:tcPr>
            <w:tcW w:w="1080" w:type="dxa"/>
            <w:tcMar>
              <w:top w:w="100" w:type="dxa"/>
              <w:left w:w="120" w:type="dxa"/>
              <w:bottom w:w="100" w:type="dxa"/>
              <w:right w:w="120" w:type="dxa"/>
            </w:tcMar>
            <w:vAlign w:val="center"/>
          </w:tcPr>
          <w:p w14:paraId="3F4541F8">
            <w:pPr>
              <w:spacing w:after="0" w:line="259" w:lineRule="auto"/>
            </w:pPr>
            <w:r>
              <w:rPr>
                <w:rFonts w:ascii="STHeiti" w:hAnsi="STHeiti" w:eastAsia="STHeiti" w:cs="STHeiti"/>
                <w:b w:val="0"/>
                <w:color w:val="142337"/>
                <w:sz w:val="20"/>
              </w:rPr>
              <w:t>string</w:t>
            </w:r>
          </w:p>
        </w:tc>
        <w:tc>
          <w:tcPr>
            <w:tcW w:w="3600" w:type="dxa"/>
            <w:tcMar>
              <w:top w:w="100" w:type="dxa"/>
              <w:left w:w="120" w:type="dxa"/>
              <w:bottom w:w="100" w:type="dxa"/>
              <w:right w:w="120" w:type="dxa"/>
            </w:tcMar>
            <w:vAlign w:val="center"/>
          </w:tcPr>
          <w:p w14:paraId="17853829">
            <w:pPr>
              <w:spacing w:after="0" w:line="259" w:lineRule="auto"/>
            </w:pPr>
            <w:r>
              <w:rPr>
                <w:rFonts w:ascii="STHeiti" w:hAnsi="STHeiti" w:eastAsia="STHeiti" w:cs="STHeiti"/>
                <w:b w:val="0"/>
                <w:color w:val="142337"/>
                <w:sz w:val="20"/>
              </w:rPr>
              <w:t>模型综合研判描述。</w:t>
            </w:r>
          </w:p>
        </w:tc>
        <w:tc>
          <w:tcPr>
            <w:tcW w:w="2880" w:type="dxa"/>
            <w:tcMar>
              <w:top w:w="100" w:type="dxa"/>
              <w:left w:w="120" w:type="dxa"/>
              <w:bottom w:w="100" w:type="dxa"/>
              <w:right w:w="120" w:type="dxa"/>
            </w:tcMar>
            <w:vAlign w:val="center"/>
          </w:tcPr>
          <w:p w14:paraId="5FDE8318">
            <w:pPr>
              <w:spacing w:after="0" w:line="259" w:lineRule="auto"/>
            </w:pPr>
            <w:r>
              <w:rPr>
                <w:rFonts w:ascii="STHeiti" w:hAnsi="STHeiti" w:eastAsia="STHeiti" w:cs="STHeiti"/>
                <w:b w:val="0"/>
                <w:color w:val="142337"/>
                <w:sz w:val="20"/>
              </w:rPr>
              <w:t>研判正文</w:t>
            </w:r>
          </w:p>
        </w:tc>
      </w:tr>
      <w:tr w14:paraId="798E8704">
        <w:trPr>
          <w:jc w:val="center"/>
        </w:trPr>
        <w:tc>
          <w:tcPr>
            <w:tcW w:w="1584" w:type="dxa"/>
            <w:tcMar>
              <w:top w:w="100" w:type="dxa"/>
              <w:left w:w="120" w:type="dxa"/>
              <w:bottom w:w="100" w:type="dxa"/>
              <w:right w:w="120" w:type="dxa"/>
            </w:tcMar>
            <w:vAlign w:val="center"/>
          </w:tcPr>
          <w:p w14:paraId="332D0D68">
            <w:pPr>
              <w:spacing w:after="0" w:line="259" w:lineRule="auto"/>
            </w:pPr>
            <w:r>
              <w:rPr>
                <w:rFonts w:ascii="STHeiti" w:hAnsi="STHeiti" w:eastAsia="STHeiti" w:cs="STHeiti"/>
                <w:b w:val="0"/>
                <w:color w:val="142337"/>
                <w:sz w:val="20"/>
              </w:rPr>
              <w:t>videoUrl</w:t>
            </w:r>
          </w:p>
        </w:tc>
        <w:tc>
          <w:tcPr>
            <w:tcW w:w="1080" w:type="dxa"/>
            <w:tcMar>
              <w:top w:w="100" w:type="dxa"/>
              <w:left w:w="120" w:type="dxa"/>
              <w:bottom w:w="100" w:type="dxa"/>
              <w:right w:w="120" w:type="dxa"/>
            </w:tcMar>
            <w:vAlign w:val="center"/>
          </w:tcPr>
          <w:p w14:paraId="53180206">
            <w:pPr>
              <w:spacing w:after="0" w:line="259" w:lineRule="auto"/>
            </w:pPr>
            <w:r>
              <w:rPr>
                <w:rFonts w:ascii="STHeiti" w:hAnsi="STHeiti" w:eastAsia="STHeiti" w:cs="STHeiti"/>
                <w:b w:val="0"/>
                <w:color w:val="142337"/>
                <w:sz w:val="20"/>
              </w:rPr>
              <w:t>string</w:t>
            </w:r>
          </w:p>
        </w:tc>
        <w:tc>
          <w:tcPr>
            <w:tcW w:w="3600" w:type="dxa"/>
            <w:tcMar>
              <w:top w:w="100" w:type="dxa"/>
              <w:left w:w="120" w:type="dxa"/>
              <w:bottom w:w="100" w:type="dxa"/>
              <w:right w:w="120" w:type="dxa"/>
            </w:tcMar>
            <w:vAlign w:val="center"/>
          </w:tcPr>
          <w:p w14:paraId="540314E2">
            <w:pPr>
              <w:spacing w:after="0" w:line="259" w:lineRule="auto"/>
            </w:pPr>
            <w:r>
              <w:rPr>
                <w:rFonts w:ascii="STHeiti" w:hAnsi="STHeiti" w:eastAsia="STHeiti" w:cs="STHeiti"/>
                <w:b w:val="0"/>
                <w:color w:val="142337"/>
                <w:sz w:val="20"/>
              </w:rPr>
              <w:t>视频片段或实时监控地址。</w:t>
            </w:r>
          </w:p>
        </w:tc>
        <w:tc>
          <w:tcPr>
            <w:tcW w:w="2880" w:type="dxa"/>
            <w:tcMar>
              <w:top w:w="100" w:type="dxa"/>
              <w:left w:w="120" w:type="dxa"/>
              <w:bottom w:w="100" w:type="dxa"/>
              <w:right w:w="120" w:type="dxa"/>
            </w:tcMar>
            <w:vAlign w:val="center"/>
          </w:tcPr>
          <w:p w14:paraId="36BAF5F7">
            <w:pPr>
              <w:spacing w:after="0" w:line="259" w:lineRule="auto"/>
            </w:pPr>
            <w:r>
              <w:rPr>
                <w:rFonts w:ascii="STHeiti" w:hAnsi="STHeiti" w:eastAsia="STHeiti" w:cs="STHeiti"/>
                <w:b w:val="0"/>
                <w:color w:val="142337"/>
                <w:sz w:val="20"/>
              </w:rPr>
              <w:t>视频弹窗</w:t>
            </w:r>
          </w:p>
        </w:tc>
      </w:tr>
    </w:tbl>
    <w:p w14:paraId="0EBCBF0D">
      <w:pPr>
        <w:spacing w:after="40"/>
      </w:pPr>
    </w:p>
    <w:p w14:paraId="12F74AAF">
      <w:pPr>
        <w:pStyle w:val="3"/>
        <w:spacing w:before="320" w:after="160" w:line="264" w:lineRule="auto"/>
      </w:pPr>
      <w:r>
        <w:rPr>
          <w:rFonts w:ascii="STHeiti" w:hAnsi="STHeiti" w:eastAsia="STHeiti" w:cs="STHeiti"/>
          <w:b/>
          <w:color w:val="2E74B5"/>
          <w:sz w:val="32"/>
        </w:rPr>
        <w:t>9. 风险识别 Prompt</w:t>
      </w:r>
    </w:p>
    <w:p w14:paraId="54EB4930">
      <w:pPr>
        <w:spacing w:before="0" w:after="120" w:line="264" w:lineRule="auto"/>
      </w:pPr>
      <w:r>
        <w:rPr>
          <w:rFonts w:ascii="STHeiti" w:hAnsi="STHeiti" w:eastAsia="STHeiti" w:cs="STHeiti"/>
          <w:b w:val="0"/>
          <w:color w:val="142337"/>
          <w:sz w:val="22"/>
        </w:rPr>
        <w:t>以下 Prompt 用于视频抽帧后的图像识别/多模态模型判断。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5F506A36">
        <w:trPr>
          <w:jc w:val="center"/>
        </w:trPr>
        <w:tc>
          <w:tcPr>
            <w:tcW w:w="1800" w:type="dxa"/>
            <w:shd w:val="clear" w:color="auto" w:fill="F2F4F7"/>
            <w:tcMar>
              <w:top w:w="100" w:type="dxa"/>
              <w:left w:w="120" w:type="dxa"/>
              <w:bottom w:w="100" w:type="dxa"/>
              <w:right w:w="120" w:type="dxa"/>
            </w:tcMar>
            <w:vAlign w:val="center"/>
          </w:tcPr>
          <w:p w14:paraId="239EC5A3">
            <w:pPr>
              <w:spacing w:after="0"/>
            </w:pPr>
            <w:r>
              <w:rPr>
                <w:rFonts w:ascii="STHeiti" w:hAnsi="STHeiti" w:eastAsia="STHeiti" w:cs="STHeiti"/>
                <w:b/>
                <w:color w:val="142337"/>
                <w:sz w:val="21"/>
              </w:rPr>
              <w:t>风险</w:t>
            </w:r>
          </w:p>
        </w:tc>
        <w:tc>
          <w:tcPr>
            <w:tcW w:w="7344" w:type="dxa"/>
            <w:shd w:val="clear" w:color="auto" w:fill="F2F4F7"/>
            <w:tcMar>
              <w:top w:w="100" w:type="dxa"/>
              <w:left w:w="120" w:type="dxa"/>
              <w:bottom w:w="100" w:type="dxa"/>
              <w:right w:w="120" w:type="dxa"/>
            </w:tcMar>
            <w:vAlign w:val="center"/>
          </w:tcPr>
          <w:p w14:paraId="442AC403">
            <w:pPr>
              <w:spacing w:after="0"/>
            </w:pPr>
            <w:r>
              <w:rPr>
                <w:rFonts w:ascii="STHeiti" w:hAnsi="STHeiti" w:eastAsia="STHeiti" w:cs="STHeiti"/>
                <w:b/>
                <w:color w:val="142337"/>
                <w:sz w:val="21"/>
              </w:rPr>
              <w:t>Prompt</w:t>
            </w:r>
          </w:p>
        </w:tc>
      </w:tr>
      <w:tr w14:paraId="75DF0F8F">
        <w:trPr>
          <w:jc w:val="center"/>
        </w:trPr>
        <w:tc>
          <w:tcPr>
            <w:tcW w:w="1800" w:type="dxa"/>
            <w:tcMar>
              <w:top w:w="100" w:type="dxa"/>
              <w:left w:w="120" w:type="dxa"/>
              <w:bottom w:w="100" w:type="dxa"/>
              <w:right w:w="120" w:type="dxa"/>
            </w:tcMar>
            <w:vAlign w:val="center"/>
          </w:tcPr>
          <w:p w14:paraId="07237492">
            <w:pPr>
              <w:spacing w:after="0" w:line="259" w:lineRule="auto"/>
            </w:pPr>
            <w:r>
              <w:rPr>
                <w:rFonts w:ascii="STHeiti" w:hAnsi="STHeiti" w:eastAsia="STHeiti" w:cs="STHeiti"/>
                <w:b w:val="0"/>
                <w:color w:val="142337"/>
                <w:sz w:val="20"/>
              </w:rPr>
              <w:t>低风险 Prompt</w:t>
            </w:r>
          </w:p>
        </w:tc>
        <w:tc>
          <w:tcPr>
            <w:tcW w:w="7344" w:type="dxa"/>
            <w:tcMar>
              <w:top w:w="100" w:type="dxa"/>
              <w:left w:w="120" w:type="dxa"/>
              <w:bottom w:w="100" w:type="dxa"/>
              <w:right w:w="120" w:type="dxa"/>
            </w:tcMar>
            <w:vAlign w:val="center"/>
          </w:tcPr>
          <w:p w14:paraId="526A1011">
            <w:pPr>
              <w:spacing w:after="0" w:line="259" w:lineRule="auto"/>
            </w:pPr>
            <w:r>
              <w:rPr>
                <w:rFonts w:ascii="STHeiti" w:hAnsi="STHeiti" w:eastAsia="STHeiti" w:cs="STHeiti"/>
                <w:b w:val="0"/>
                <w:color w:val="142337"/>
                <w:sz w:val="20"/>
              </w:rPr>
              <w:t>你是燃气管道安全视频识别模型。请判断当前监控抽帧画面中是否出现任何人员。人员不要求是施工人员，只要画面中存在可见人体、行人、巡检人员、路人或作业人员，即判定为低风险。请忽略静态标识牌、车辆、树木、阴影和画面噪声。若存在人员，输出 risk_level=低风险，event_type=person_present，并给出人员数量、位置描述、置信度和一句中文预警原因；若不存在人员，输出 risk_level=无风险。返回 JSON：{risk_level,event_type,object_count,object_location,confidence,reason,need_alarm}。</w:t>
            </w:r>
          </w:p>
        </w:tc>
      </w:tr>
      <w:tr w14:paraId="0AE9BDA9">
        <w:trPr>
          <w:jc w:val="center"/>
        </w:trPr>
        <w:tc>
          <w:tcPr>
            <w:tcW w:w="1800" w:type="dxa"/>
            <w:tcMar>
              <w:top w:w="100" w:type="dxa"/>
              <w:left w:w="120" w:type="dxa"/>
              <w:bottom w:w="100" w:type="dxa"/>
              <w:right w:w="120" w:type="dxa"/>
            </w:tcMar>
            <w:vAlign w:val="center"/>
          </w:tcPr>
          <w:p w14:paraId="3BFEF018">
            <w:pPr>
              <w:spacing w:after="0" w:line="259" w:lineRule="auto"/>
            </w:pPr>
            <w:r>
              <w:rPr>
                <w:rFonts w:ascii="STHeiti" w:hAnsi="STHeiti" w:eastAsia="STHeiti" w:cs="STHeiti"/>
                <w:b w:val="0"/>
                <w:color w:val="142337"/>
                <w:sz w:val="20"/>
              </w:rPr>
              <w:t>中风险 Prompt</w:t>
            </w:r>
          </w:p>
        </w:tc>
        <w:tc>
          <w:tcPr>
            <w:tcW w:w="7344" w:type="dxa"/>
            <w:tcMar>
              <w:top w:w="100" w:type="dxa"/>
              <w:left w:w="120" w:type="dxa"/>
              <w:bottom w:w="100" w:type="dxa"/>
              <w:right w:w="120" w:type="dxa"/>
            </w:tcMar>
            <w:vAlign w:val="center"/>
          </w:tcPr>
          <w:p w14:paraId="7A039188">
            <w:pPr>
              <w:spacing w:after="0" w:line="259" w:lineRule="auto"/>
            </w:pPr>
            <w:r>
              <w:rPr>
                <w:rFonts w:ascii="STHeiti" w:hAnsi="STHeiti" w:eastAsia="STHeiti" w:cs="STHeiti"/>
                <w:b w:val="0"/>
                <w:color w:val="142337"/>
                <w:sz w:val="20"/>
              </w:rPr>
              <w:t>你是燃气管道安全视频识别模型。请判断当前监控抽帧画面中是否出现工程运输车。若画面中出现工程运输车，即判定为中风险并预警；不要求车辆正在施工或靠近管道红线。请区分普通小轿车、非工程用途客车和背景车辆。若存在工程运输车，输出 risk_level=中风险，event_type=engineering_transport_vehicle_present，并给出车辆数量、置信度和中文预警原因；否则输出无风险。返回 JSON：{risk_level,event_type,vehicle_type,object_count,object_location,confidence,reason,need_alarm}。</w:t>
            </w:r>
          </w:p>
        </w:tc>
      </w:tr>
      <w:tr w14:paraId="4009AE81">
        <w:trPr>
          <w:jc w:val="center"/>
        </w:trPr>
        <w:tc>
          <w:tcPr>
            <w:tcW w:w="1800" w:type="dxa"/>
            <w:tcMar>
              <w:top w:w="100" w:type="dxa"/>
              <w:left w:w="120" w:type="dxa"/>
              <w:bottom w:w="100" w:type="dxa"/>
              <w:right w:w="120" w:type="dxa"/>
            </w:tcMar>
            <w:vAlign w:val="center"/>
          </w:tcPr>
          <w:p w14:paraId="7A5D7DAF">
            <w:pPr>
              <w:spacing w:after="0" w:line="259" w:lineRule="auto"/>
            </w:pPr>
            <w:r>
              <w:rPr>
                <w:rFonts w:ascii="STHeiti" w:hAnsi="STHeiti" w:eastAsia="STHeiti" w:cs="STHeiti"/>
                <w:b w:val="0"/>
                <w:color w:val="142337"/>
                <w:sz w:val="20"/>
              </w:rPr>
              <w:t>高风险 Prompt</w:t>
            </w:r>
          </w:p>
        </w:tc>
        <w:tc>
          <w:tcPr>
            <w:tcW w:w="7344" w:type="dxa"/>
            <w:tcMar>
              <w:top w:w="100" w:type="dxa"/>
              <w:left w:w="120" w:type="dxa"/>
              <w:bottom w:w="100" w:type="dxa"/>
              <w:right w:w="120" w:type="dxa"/>
            </w:tcMar>
            <w:vAlign w:val="center"/>
          </w:tcPr>
          <w:p w14:paraId="0DAF998F">
            <w:pPr>
              <w:spacing w:after="0" w:line="259" w:lineRule="auto"/>
            </w:pPr>
            <w:r>
              <w:rPr>
                <w:rFonts w:ascii="STHeiti" w:hAnsi="STHeiti" w:eastAsia="STHeiti" w:cs="STHeiti"/>
                <w:b w:val="0"/>
                <w:color w:val="142337"/>
                <w:sz w:val="20"/>
              </w:rPr>
              <w:t>你是燃气管道安全视频识别模型。请判断当前监控抽帧画面中是否出现挖掘机或带铲斗的开挖工程机械。只要画面中出现挖掘机，不论是否正在开挖、均判定为高风险并预警。请区分普通车辆、吊车、叉车、人员和静态广告图案。若存在挖掘机，输出 risk_level=高风险，event_type=excavator_present，并给出机械数量、置信度和中文预警原因；否则输出无风险。返回 JSON：{risk_level,event_type,object_count,object_location,machine_action,confidence,reason,need_alarm}。</w:t>
            </w:r>
          </w:p>
        </w:tc>
      </w:tr>
    </w:tbl>
    <w:p w14:paraId="7E9B367A">
      <w:pPr>
        <w:spacing w:after="40"/>
      </w:pPr>
    </w:p>
    <w:p w14:paraId="2E6EEFD8">
      <w:pPr>
        <w:pStyle w:val="3"/>
        <w:spacing w:before="320" w:after="160" w:line="264" w:lineRule="auto"/>
      </w:pPr>
      <w:r>
        <w:rPr>
          <w:rFonts w:ascii="STHeiti" w:hAnsi="STHeiti" w:eastAsia="STHeiti" w:cs="STHeiti"/>
          <w:b/>
          <w:color w:val="2E74B5"/>
          <w:sz w:val="32"/>
        </w:rPr>
        <w:t>10. 验收标准</w:t>
      </w:r>
    </w:p>
    <w:p w14:paraId="79FC5C88">
      <w:pPr>
        <w:pStyle w:val="16"/>
        <w:spacing w:after="80" w:line="276" w:lineRule="auto"/>
      </w:pPr>
      <w:bookmarkStart w:id="0" w:name="_GoBack"/>
      <w:bookmarkEnd w:id="0"/>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STHeiti">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603CB">
    <w:pPr>
      <w:pStyle w:val="24"/>
      <w:jc w:val="right"/>
    </w:pPr>
    <w:r>
      <w:rPr>
        <w:rFonts w:ascii="STHeiti" w:hAnsi="STHeiti" w:eastAsia="STHeiti" w:cs="STHeiti"/>
        <w:b w:val="0"/>
        <w:color w:val="5C6978"/>
        <w:sz w:val="18"/>
      </w:rPr>
      <w:t>内部设计说明</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FD5A4">
    <w:pPr>
      <w:pStyle w:val="25"/>
      <w:jc w:val="left"/>
    </w:pPr>
    <w:r>
      <w:rPr>
        <w:rFonts w:ascii="STHeiti" w:hAnsi="STHeiti" w:eastAsia="STHeiti" w:cs="STHeiti"/>
        <w:b w:val="0"/>
        <w:color w:val="5C6978"/>
        <w:sz w:val="18"/>
      </w:rPr>
      <w:t>天然气全链条安全智管智能体 | 第三方施工板块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1MDU0ZjkzZTJjYzNmMDg1YmY1ODZlMWU0NWY0YjEifQ=="/>
  </w:docVars>
  <w:rsids>
    <w:rsidRoot w:val="00B47730"/>
    <w:rsid w:val="00034616"/>
    <w:rsid w:val="0006063C"/>
    <w:rsid w:val="0015074B"/>
    <w:rsid w:val="0029639D"/>
    <w:rsid w:val="00326F90"/>
    <w:rsid w:val="00AA1D8D"/>
    <w:rsid w:val="00B47730"/>
    <w:rsid w:val="00CB0664"/>
    <w:rsid w:val="00FC693F"/>
    <w:rsid w:val="346D7E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STHeiti" w:hAnsi="STHeiti" w:eastAsia="STHeiti" w:cs="STHeit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111</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瑶瑶呀~</cp:lastModifiedBy>
  <dcterms:modified xsi:type="dcterms:W3CDTF">2026-08-28T16:53:42Z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BE837827E5C35F85964C916AE397C2B5_42</vt:lpwstr>
  </property>
</Properties>
</file>