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D3D12">
      <w:pPr>
        <w:snapToGrid w:val="0"/>
        <w:jc w:val="center"/>
        <w:rPr>
          <w:rFonts w:hint="eastAsia" w:eastAsia="楷体_GB2312"/>
          <w:sz w:val="52"/>
          <w:szCs w:val="52"/>
          <w:lang w:eastAsia="zh-CN"/>
        </w:rPr>
      </w:pPr>
    </w:p>
    <w:p w14:paraId="663DB72C">
      <w:pPr>
        <w:snapToGrid w:val="0"/>
        <w:jc w:val="center"/>
        <w:rPr>
          <w:rFonts w:hint="eastAsia" w:eastAsia="楷体_GB2312"/>
          <w:sz w:val="52"/>
          <w:szCs w:val="52"/>
          <w:lang w:eastAsia="zh-CN"/>
        </w:rPr>
      </w:pPr>
    </w:p>
    <w:p w14:paraId="2BD41A60">
      <w:pPr>
        <w:snapToGrid w:val="0"/>
        <w:jc w:val="center"/>
        <w:rPr>
          <w:rFonts w:hint="eastAsia" w:eastAsia="楷体_GB2312"/>
          <w:sz w:val="52"/>
          <w:szCs w:val="52"/>
          <w:lang w:eastAsia="zh-CN"/>
        </w:rPr>
      </w:pPr>
    </w:p>
    <w:p w14:paraId="46C1B43E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hint="eastAsia" w:eastAsia="楷体_GB2312"/>
          <w:sz w:val="52"/>
          <w:szCs w:val="52"/>
          <w:lang w:eastAsia="zh-CN"/>
        </w:rPr>
        <w:t>HIS医院门诊管理系统原型设计说明书</w:t>
      </w:r>
    </w:p>
    <w:p w14:paraId="6B90BCC7">
      <w:pPr>
        <w:snapToGrid w:val="0"/>
        <w:jc w:val="center"/>
        <w:rPr>
          <w:rFonts w:eastAsia="楷体_GB2312"/>
          <w:sz w:val="52"/>
          <w:szCs w:val="52"/>
        </w:rPr>
      </w:pPr>
    </w:p>
    <w:p w14:paraId="46BC10FB">
      <w:pPr>
        <w:snapToGrid w:val="0"/>
        <w:jc w:val="center"/>
        <w:rPr>
          <w:rFonts w:ascii="楷体_GB2312" w:hAnsi="楷体_GB2312" w:eastAsia="楷体_GB2312"/>
          <w:b/>
          <w:sz w:val="28"/>
        </w:rPr>
      </w:pPr>
    </w:p>
    <w:p w14:paraId="3B69C2E4"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hAnsi="楷体_GB2312" w:eastAsia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hint="eastAsia" w:eastAsia="楷体_GB2312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 w14:paraId="5F06C16A"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hint="eastAsia" w:eastAsia="楷体_GB2312"/>
          <w:szCs w:val="24"/>
          <w:lang w:eastAsia="zh-CN"/>
        </w:rPr>
        <w:t>202</w:t>
      </w:r>
      <w:r>
        <w:rPr>
          <w:rFonts w:hint="eastAsia" w:eastAsia="楷体_GB2312"/>
          <w:szCs w:val="24"/>
          <w:lang w:val="en-US" w:eastAsia="zh-CN"/>
        </w:rPr>
        <w:t>5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val="en-US" w:eastAsia="zh-CN"/>
        </w:rPr>
        <w:t>8</w:t>
      </w:r>
      <w:r>
        <w:rPr>
          <w:rFonts w:eastAsia="楷体_GB2312"/>
          <w:szCs w:val="24"/>
        </w:rPr>
        <w:t>-</w:t>
      </w:r>
      <w:r>
        <w:rPr>
          <w:rFonts w:hint="eastAsia" w:eastAsia="楷体_GB2312"/>
          <w:szCs w:val="24"/>
          <w:lang w:eastAsia="zh-CN"/>
        </w:rPr>
        <w:t>30</w:t>
      </w:r>
    </w:p>
    <w:p w14:paraId="3CAAAE07">
      <w:pPr>
        <w:snapToGrid w:val="0"/>
        <w:rPr>
          <w:sz w:val="28"/>
        </w:rPr>
      </w:pPr>
    </w:p>
    <w:p w14:paraId="518F1B1B">
      <w:pPr>
        <w:snapToGrid w:val="0"/>
        <w:rPr>
          <w:sz w:val="28"/>
        </w:rPr>
      </w:pPr>
    </w:p>
    <w:p w14:paraId="1591D364">
      <w:pPr>
        <w:snapToGrid w:val="0"/>
        <w:rPr>
          <w:sz w:val="28"/>
        </w:rPr>
      </w:pPr>
    </w:p>
    <w:p w14:paraId="2D536BA8">
      <w:pPr>
        <w:snapToGrid w:val="0"/>
        <w:rPr>
          <w:sz w:val="28"/>
        </w:rPr>
      </w:pPr>
    </w:p>
    <w:p w14:paraId="227AABAF">
      <w:pPr>
        <w:snapToGrid w:val="0"/>
        <w:rPr>
          <w:sz w:val="28"/>
        </w:rPr>
      </w:pPr>
    </w:p>
    <w:p w14:paraId="25FFFB0C">
      <w:pPr>
        <w:snapToGrid w:val="0"/>
        <w:rPr>
          <w:sz w:val="28"/>
        </w:rPr>
      </w:pPr>
    </w:p>
    <w:p w14:paraId="7BB33768">
      <w:pPr>
        <w:widowControl/>
        <w:suppressAutoHyphens w:val="0"/>
        <w:autoSpaceDE w:val="0"/>
        <w:spacing w:line="240" w:lineRule="auto"/>
        <w:jc w:val="center"/>
        <w:rPr>
          <w:rFonts w:ascii="楷体_GB2312" w:hAnsi="楷体_GB2312" w:eastAsia="楷体_GB2312"/>
          <w:kern w:val="0"/>
          <w:sz w:val="28"/>
          <w:szCs w:val="28"/>
          <w:lang w:eastAsia="zh-CN"/>
        </w:rPr>
      </w:pPr>
      <w:r>
        <w:rPr>
          <w:rFonts w:ascii="楷体_GB2312" w:hAnsi="楷体_GB2312" w:eastAsia="楷体_GB2312"/>
          <w:kern w:val="0"/>
          <w:sz w:val="28"/>
          <w:szCs w:val="28"/>
          <w:lang w:eastAsia="zh-CN"/>
        </w:rPr>
        <w:t>东软</w:t>
      </w:r>
      <w:r>
        <w:rPr>
          <w:rFonts w:hint="eastAsia" w:ascii="楷体_GB2312" w:hAnsi="楷体_GB2312" w:eastAsia="楷体_GB2312"/>
          <w:kern w:val="0"/>
          <w:sz w:val="28"/>
          <w:szCs w:val="28"/>
          <w:lang w:eastAsia="zh-CN"/>
        </w:rPr>
        <w:t>教育</w:t>
      </w:r>
    </w:p>
    <w:p w14:paraId="6F9C5A22">
      <w:pPr>
        <w:widowControl/>
        <w:suppressAutoHyphens w:val="0"/>
        <w:snapToGrid w:val="0"/>
        <w:spacing w:line="240" w:lineRule="auto"/>
        <w:jc w:val="center"/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</w:pPr>
      <w:r>
        <w:rPr>
          <w:rFonts w:ascii="黑体" w:hAnsi="黑体" w:eastAsia="黑体"/>
          <w:b/>
          <w:bCs/>
          <w:kern w:val="0"/>
          <w:sz w:val="28"/>
          <w:szCs w:val="28"/>
          <w:lang w:eastAsia="zh-CN"/>
        </w:rPr>
        <w:t>(版权所有，翻版必究)</w:t>
      </w:r>
    </w:p>
    <w:p w14:paraId="45A33358"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>Copyright © Neusoft Educational Information Technology Co., Ltd</w:t>
      </w:r>
    </w:p>
    <w:p w14:paraId="2548657A"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 w14:paraId="06F9D1AE"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t>文件修改控制</w:t>
      </w:r>
    </w:p>
    <w:tbl>
      <w:tblPr>
        <w:tblStyle w:val="2"/>
        <w:tblW w:w="8118" w:type="dxa"/>
        <w:tblInd w:w="27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747"/>
        <w:gridCol w:w="1992"/>
        <w:gridCol w:w="3961"/>
        <w:gridCol w:w="1418"/>
      </w:tblGrid>
      <w:tr w14:paraId="755101B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43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CF9E845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A11F3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B871274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DFAA4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 w14:paraId="48713BE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06DCA49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F08B1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ascii="楷体_GB2312" w:hAnsi="Arial" w:eastAsia="楷体_GB2312" w:cs="Arial"/>
                <w:lang w:eastAsia="zh-CN"/>
              </w:rPr>
              <w:t>1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</w:t>
            </w:r>
            <w:r>
              <w:rPr>
                <w:rFonts w:ascii="楷体_GB2312" w:hAnsi="Arial" w:eastAsia="楷体_GB2312" w:cs="Arial"/>
                <w:lang w:eastAsia="zh-CN"/>
              </w:rPr>
              <w:t>0</w:t>
            </w:r>
            <w:r>
              <w:rPr>
                <w:rFonts w:hint="eastAsia" w:ascii="楷体_GB2312" w:hAnsi="Arial" w:eastAsia="楷体_GB2312" w:cs="Arial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5BCA063">
            <w:pPr>
              <w:jc w:val="left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C5AEA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  <w:r>
              <w:rPr>
                <w:rFonts w:hint="eastAsia" w:ascii="楷体_GB2312" w:hAnsi="Arial" w:eastAsia="楷体_GB2312" w:cs="Arial"/>
                <w:lang w:eastAsia="zh-CN"/>
              </w:rPr>
              <w:t>XXXX-XX-XX</w:t>
            </w:r>
          </w:p>
        </w:tc>
      </w:tr>
      <w:tr w14:paraId="658C2F1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41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1F159A2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05E7B5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BA3944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7B08E"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C6D095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93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CC1683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156723C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9D5CF98">
            <w:pPr>
              <w:autoSpaceDE w:val="0"/>
              <w:snapToGrid w:val="0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4D6CD">
            <w:pPr>
              <w:autoSpaceDE w:val="0"/>
              <w:snapToGrid w:val="0"/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1E42753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974392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66C604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AFE2A88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01A6D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7AF64F7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D76A5D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5752D4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E256471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4DD49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EABFF9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13A191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747192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8D9CF3B"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1036"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 w14:paraId="5DBC7A4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9B591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24CE9F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5D729E0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3201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85A83F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C156851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24E91E8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6D46EA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813EF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0A2553B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E63781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686C1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7725A7D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10FD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7FA5FC1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5801E6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DEE373A">
            <w:pPr>
              <w:jc w:val="center"/>
              <w:rPr>
                <w:rFonts w:ascii="楷体_GB2312" w:hAnsi="Arial" w:eastAsia="楷体_GB2312" w:cs="Arial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821D42E">
            <w:pPr>
              <w:rPr>
                <w:rFonts w:ascii="楷体_GB2312" w:hAnsi="Arial" w:eastAsia="楷体_GB2312" w:cs="Arial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58764">
            <w:pPr>
              <w:jc w:val="center"/>
              <w:rPr>
                <w:rFonts w:ascii="楷体_GB2312" w:hAnsi="Arial" w:eastAsia="楷体_GB2312" w:cs="Arial"/>
              </w:rPr>
            </w:pPr>
          </w:p>
        </w:tc>
      </w:tr>
      <w:tr w14:paraId="7CD6081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E471BB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20FFB15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6653AA15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01D7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65155B9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6FFED0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EC7A5A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3886F1A7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04A7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2CEF895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55017216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0959E07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163A9C9D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753D0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5351EED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146" w:hRule="atLeast"/>
        </w:trPr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098B8206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8FB59CA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DFFA534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20D53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  <w:tr w14:paraId="2B9053A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77" w:hRule="atLeast"/>
        </w:trPr>
        <w:tc>
          <w:tcPr>
            <w:tcW w:w="747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990383E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B9B44E4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36D1504">
            <w:pPr>
              <w:rPr>
                <w:rFonts w:ascii="楷体_GB2312" w:hAnsi="Arial" w:eastAsia="楷体_GB2312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AF35B">
            <w:pPr>
              <w:jc w:val="center"/>
              <w:rPr>
                <w:rFonts w:ascii="楷体_GB2312" w:hAnsi="Arial" w:eastAsia="楷体_GB2312" w:cs="Arial"/>
                <w:lang w:eastAsia="zh-CN"/>
              </w:rPr>
            </w:pPr>
          </w:p>
        </w:tc>
      </w:tr>
    </w:tbl>
    <w:p w14:paraId="2585B36D">
      <w:pPr>
        <w:widowControl/>
        <w:spacing w:before="390" w:after="150" w:line="540" w:lineRule="atLeast"/>
        <w:jc w:val="center"/>
        <w:outlineLvl w:val="0"/>
        <w:rPr>
          <w:rFonts w:hint="eastAsia" w:ascii="宋体" w:hAnsi="宋体" w:eastAsia="宋体" w:cs="宋体"/>
          <w:b/>
          <w:bCs/>
          <w:kern w:val="36"/>
          <w:sz w:val="42"/>
          <w:szCs w:val="42"/>
          <w:lang w:val="en-US" w:eastAsia="zh-CN"/>
        </w:rPr>
      </w:pPr>
    </w:p>
    <w:p w14:paraId="00492943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</w:p>
    <w:p w14:paraId="75FD394C">
      <w:pP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br w:type="page"/>
      </w:r>
    </w:p>
    <w:p w14:paraId="695E44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经过对HIS系统的分析，本项目共设计了六个用户角色，</w:t>
      </w:r>
      <w:r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  <w:t>实现功能如下表所示，</w:t>
      </w:r>
    </w:p>
    <w:tbl>
      <w:tblPr>
        <w:tblStyle w:val="2"/>
        <w:tblW w:w="8284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6945"/>
      </w:tblGrid>
      <w:tr w14:paraId="5BDE2B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1F1F1" w:themeFill="background1" w:themeFillShade="F2"/>
            <w:vAlign w:val="center"/>
          </w:tcPr>
          <w:p w14:paraId="3262CFB5"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角色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1F1F1" w:themeFill="background1" w:themeFillShade="F2"/>
            <w:vAlign w:val="center"/>
          </w:tcPr>
          <w:p w14:paraId="13C73237">
            <w:pPr>
              <w:widowControl/>
              <w:jc w:val="center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备注</w:t>
            </w:r>
          </w:p>
        </w:tc>
      </w:tr>
      <w:tr w14:paraId="78FFF7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52BCE04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挂号窗口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C8B59C7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使用者是窗口挂号人员，主要包含的功能有现场挂号与退号、收费与退费、患者收费信息的查询与管理。</w:t>
            </w:r>
          </w:p>
        </w:tc>
      </w:tr>
      <w:tr w14:paraId="14F3770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EC85795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门诊医生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6D498B7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使用者为门诊医生，涉及患者诊疗、开立检查检验项目，开立处方药治疗、开立处置治疗等</w:t>
            </w:r>
          </w:p>
        </w:tc>
      </w:tr>
      <w:tr w14:paraId="2F4A5F8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B2B0E01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检查医生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DC525DD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使用者为检查科医师，涉及检查申请记录查看、检查详情查看、检查结果录入等（医生给患者根据病历要求患者进行的检查项：一般无比对标准，如B超）。</w:t>
            </w:r>
          </w:p>
        </w:tc>
      </w:tr>
      <w:tr w14:paraId="63FA2F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33FD2DA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检验医生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288C4FE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使用者为检验科医师，涉及检验申请记录查看、检验详情查看、检验结果录入等。（医生给患者根据病历要求患者进行的检验项：一般有比对标准，如血常规）</w:t>
            </w:r>
          </w:p>
        </w:tc>
      </w:tr>
      <w:tr w14:paraId="52C138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FF45298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处置医生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B11539B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使用者为处置科室医师，涉及处置申请记录查看、处置详情查看、处置结果录入等。（医生给患者根据病历要求患者进行的处置项：一般有治疗作用，如洗胃）</w:t>
            </w:r>
          </w:p>
        </w:tc>
      </w:tr>
      <w:tr w14:paraId="02586C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3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9A536DF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药房管理</w:t>
            </w:r>
          </w:p>
        </w:tc>
        <w:tc>
          <w:tcPr>
            <w:tcW w:w="694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236FB6E">
            <w:pPr>
              <w:widowControl/>
              <w:jc w:val="left"/>
              <w:rPr>
                <w:rFonts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</w:rPr>
              <w:t>使用者为药师，涉及药库信息管理、发药管理、退药管理、发退药信息查看。</w:t>
            </w:r>
          </w:p>
        </w:tc>
      </w:tr>
    </w:tbl>
    <w:p w14:paraId="3C4E4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</w:pPr>
    </w:p>
    <w:p w14:paraId="3FAA1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color w:val="000000" w:themeColor="text1"/>
          <w:kern w:val="0"/>
          <w:lang w:val="en-US" w:eastAsia="zh-CN"/>
          <w14:textFill>
            <w14:solidFill>
              <w14:schemeClr w14:val="tx1"/>
            </w14:solidFill>
          </w14:textFill>
        </w:rPr>
        <w:t>根据功能</w:t>
      </w:r>
      <w:r>
        <w:rPr>
          <w:rFonts w:hint="eastAsia"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为其对应规划了完整的功能菜单</w:t>
      </w:r>
      <w:r>
        <w:rPr>
          <w:rFonts w:ascii="宋体" w:hAnsi="宋体" w:eastAsia="宋体" w:cs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：</w:t>
      </w:r>
    </w:p>
    <w:p w14:paraId="7D54BA5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"https://cdn.nlark.com/yuque/0/2022/png/955151/1652607833390-aaa45094-05cc-42be-b381-30d2a6a558c1.png"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1760220" cy="3073400"/>
            <wp:effectExtent l="0" t="0" r="1905" b="317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8417" cy="308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67C83CD">
      <w:pPr>
        <w:widowControl/>
        <w:jc w:val="left"/>
        <w:rPr>
          <w:rFonts w:ascii="宋体" w:hAnsi="宋体" w:eastAsia="宋体" w:cs="宋体"/>
          <w:kern w:val="0"/>
        </w:rPr>
      </w:pPr>
    </w:p>
    <w:p w14:paraId="5F860CAF">
      <w:pPr>
        <w:widowControl/>
        <w:ind w:firstLine="480" w:firstLineChars="200"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根据权限，有6个不同的角色，32个业务功能，不同角色对应不同的业务功能菜单如下：</w:t>
      </w:r>
    </w:p>
    <w:tbl>
      <w:tblPr>
        <w:tblStyle w:val="2"/>
        <w:tblW w:w="5000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7238"/>
      </w:tblGrid>
      <w:tr w14:paraId="521DF4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4EEFC"/>
            <w:vAlign w:val="center"/>
          </w:tcPr>
          <w:p w14:paraId="34A18A2A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角色名称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4EEFC"/>
            <w:vAlign w:val="center"/>
          </w:tcPr>
          <w:p w14:paraId="343E3903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</w:rPr>
              <w:t>功能菜单</w:t>
            </w:r>
          </w:p>
        </w:tc>
      </w:tr>
      <w:tr w14:paraId="3F493F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229110E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挂号收费员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C8040F8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"https://cdn.nlark.com/yuque/0/2022/png/955151/1652945785845-98fda00d-c330-44e0-b04b-d05fad5082da.png"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2019300" cy="2707005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929" cy="2713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8F9BB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81F00BC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门诊医生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86C2CA6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"https://cdn.nlark.com/yuque/0/2022/png/955151/1652945806315-916ce11f-4da4-4dd9-8e68-bfab6ae28d2f.png"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59915" cy="4826000"/>
                  <wp:effectExtent l="0" t="0" r="6985" b="317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778" cy="4842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371A22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FADB107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检查医生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56D2466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"https://cdn.nlark.com/yuque/0/2022/png/955151/1652945819503-9c902d43-037c-43d5-905d-9a4121089d71.png"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16100" cy="1997710"/>
                  <wp:effectExtent l="0" t="0" r="3175" b="254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971" cy="1998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DBF6D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09C84B1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检验医生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F9B23F7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"https://cdn.nlark.com/yuque/0/2022/png/955151/1652945992025-6de69471-7471-4a56-bd49-3e65ad4c3397.png"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771650" cy="1960245"/>
                  <wp:effectExtent l="0" t="0" r="0" b="1905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431" cy="1970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CB898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3E844F2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药房管理员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0A9CA09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"https://cdn.nlark.com/yuque/0/2022/png/955151/1652946003463-862bb068-e7f1-444e-a96f-c29eef98d794.png"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85950" cy="2033905"/>
                  <wp:effectExtent l="0" t="0" r="0" b="444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824" cy="2046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  <w:tr w14:paraId="44468D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jc w:val="center"/>
        </w:trPr>
        <w:tc>
          <w:tcPr>
            <w:tcW w:w="13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0B01FAB">
            <w:pPr>
              <w:widowControl/>
              <w:tabs>
                <w:tab w:val="left" w:pos="720"/>
              </w:tabs>
              <w:spacing w:before="100" w:beforeAutospacing="1" w:after="100" w:afterAutospacing="1"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t>处置医生</w:t>
            </w:r>
          </w:p>
        </w:tc>
        <w:tc>
          <w:tcPr>
            <w:tcW w:w="869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FBBD77C">
            <w:pPr>
              <w:widowControl/>
              <w:jc w:val="center"/>
              <w:rPr>
                <w:rFonts w:ascii="宋体" w:hAnsi="宋体" w:eastAsia="宋体" w:cs="宋体"/>
                <w:kern w:val="0"/>
              </w:rPr>
            </w:pPr>
            <w:r>
              <w:rPr>
                <w:rFonts w:ascii="宋体" w:hAnsi="宋体" w:eastAsia="宋体" w:cs="宋体"/>
                <w:kern w:val="0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</w:rPr>
              <w:instrText xml:space="preserve"> INCLUDEPICTURE "https://cdn.nlark.com/yuque/0/2022/png/955151/1652946014465-f27a6b8e-2365-4f96-b2c7-7049f7b99b02.png" \* MERGEFORMATINET </w:instrText>
            </w:r>
            <w:r>
              <w:rPr>
                <w:rFonts w:ascii="宋体" w:hAnsi="宋体" w:eastAsia="宋体" w:cs="宋体"/>
                <w:kern w:val="0"/>
              </w:rPr>
              <w:fldChar w:fldCharType="separate"/>
            </w:r>
            <w:r>
              <w:rPr>
                <w:rFonts w:ascii="宋体" w:hAnsi="宋体" w:eastAsia="宋体" w:cs="宋体"/>
                <w:kern w:val="0"/>
              </w:rPr>
              <w:drawing>
                <wp:inline distT="0" distB="0" distL="0" distR="0">
                  <wp:extent cx="1866900" cy="1994535"/>
                  <wp:effectExtent l="0" t="0" r="0" b="571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638" cy="200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kern w:val="0"/>
              </w:rPr>
              <w:fldChar w:fldCharType="end"/>
            </w:r>
          </w:p>
        </w:tc>
      </w:tr>
    </w:tbl>
    <w:p w14:paraId="36C1042F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1 原型设计：主线流程</w:t>
      </w:r>
    </w:p>
    <w:p w14:paraId="25CA5E2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本部分使用原型工具进行页面绘制，配合文档说明，确认每个界面功能。</w:t>
      </w:r>
    </w:p>
    <w:p w14:paraId="5F8B11A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"https://cdn.nlark.com/yuque/0/2022/jpeg/955151/1652930790160-cceeaff1-b619-4ba6-9991-50fca66dbb83.jpeg"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53012F2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 挂号收费：窗口挂号</w:t>
      </w:r>
    </w:p>
    <w:p w14:paraId="5053B65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"https://cdn.nlark.com/yuque/0/2022/jpeg/955151/1652922854268-548c1ed7-b9e0-4181-a260-762bc9befa16.jpeg"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687EFB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"https://cdn.nlark.com/yuque/0/2022/png/955151/1652861035273-64000800-e5c1-4aa8-a1fa-04c1e2428a2b.png"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90420"/>
            <wp:effectExtent l="0" t="0" r="6350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180428D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挂号收费员点击“窗口挂号”菜单；</w:t>
      </w:r>
    </w:p>
    <w:p w14:paraId="729F35B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2.. 系统进入现场挂号页面，自动生成“病历号”；</w:t>
      </w:r>
    </w:p>
    <w:p w14:paraId="60DB979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系统默认显示“看诊日期”为当前日期，午别为当前午别，该信息不可修改；</w:t>
      </w:r>
    </w:p>
    <w:p w14:paraId="6354A42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挂号收费员询问患者挂号级别、挂号科室；</w:t>
      </w:r>
    </w:p>
    <w:p w14:paraId="412B1E0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挂号收费员根据患者要求，选择对应的“挂号级别”、“挂号科室”；</w:t>
      </w:r>
    </w:p>
    <w:p w14:paraId="2E2BB78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 系统根据挂号级别显示挂号费；</w:t>
      </w:r>
    </w:p>
    <w:p w14:paraId="5E2D813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7. 系统根据挂号级别、挂号科室，读取相应科室、相应挂号级别、当前日期、当前午别的出诊医生；</w:t>
      </w:r>
    </w:p>
    <w:p w14:paraId="12C3623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8. 挂号收费员询问患者是否选择挂号医生；</w:t>
      </w:r>
    </w:p>
    <w:p w14:paraId="6C9BB12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9. 挂号收费员根据患者要求，选择对应的“医生”；</w:t>
      </w:r>
    </w:p>
    <w:p w14:paraId="2BE7B82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10. 挂号收费员录入患者基本信息，包括：患者姓名、性别、出生日期、年龄、结算类别、身份证号、家庭住址、是否要病历本；</w:t>
      </w:r>
    </w:p>
    <w:p w14:paraId="738F7BD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11. 挂号收费员在录入信息完毕后，单击“挂号”按钮，完成患者挂号；</w:t>
      </w:r>
    </w:p>
    <w:p w14:paraId="628DD2B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1.2 门诊医生：患者查看</w:t>
      </w:r>
    </w:p>
    <w:p w14:paraId="75DAD0B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"https://cdn.nlark.com/yuque/0/2022/jpeg/955151/1652922862209-02c7b092-7ddf-4421-bcfa-88b79a22a7d9.jpeg"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6685C27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"https://cdn.nlark.com/yuque/0/2022/png/955151/1652861322100-1ef87a9b-cc36-4d4d-86e9-c6c1473672ed.png"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701800"/>
            <wp:effectExtent l="0" t="0" r="6350" b="317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34821BE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门诊医生登录后，点击导航栏的“患者查看”；</w:t>
      </w:r>
    </w:p>
    <w:p w14:paraId="7E747FF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系统进入患者查看页面，顶部显示已经看诊人数和排队人数；</w:t>
      </w:r>
    </w:p>
    <w:p w14:paraId="565E494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3.显示登录医生对应挂号的患者列表，根据挂号时间排序分页显示；</w:t>
      </w:r>
    </w:p>
    <w:p w14:paraId="7A2CF55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门诊医生可以输入患者的病历号或姓名，进行“查询”；</w:t>
      </w:r>
    </w:p>
    <w:p w14:paraId="29CCE35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系统显示符合条件的患者列表；</w:t>
      </w:r>
    </w:p>
    <w:p w14:paraId="34399D0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门诊医生点击患者姓名后面的“创建病例“，开始看诊；</w:t>
      </w:r>
    </w:p>
    <w:p w14:paraId="2149E006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1.3 门诊医生：病例首页</w:t>
      </w:r>
    </w:p>
    <w:p w14:paraId="2A240EC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"https://cdn.nlark.com/yuque/0/2022/jpeg/955151/1652922874950-7515a275-d8d1-4a0a-af69-8f1bf8c00a0a.jpeg"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44580F3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"https://cdn.nlark.com/yuque/0/2022/png/955151/1652861742190-3e4a67f6-af59-4945-bd5f-80c04164d165.png"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982595"/>
            <wp:effectExtent l="0" t="0" r="6350" b="825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014D3EF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门诊医生点击导航栏的“病例首页”，对”患者查看“页面选择的患者病例进行填写。页面顶部会显示医生选择的患者基本信息。</w:t>
      </w:r>
    </w:p>
    <w:p w14:paraId="0B74B51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2.门诊医生根据询问患者，在病历首页中填写：主诉、现病史、现病治疗情况、既往史、过敏史、体格检查；</w:t>
      </w:r>
    </w:p>
    <w:p w14:paraId="1752F6E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门诊医生进行初步诊断，选择患者疾病；</w:t>
      </w:r>
    </w:p>
    <w:p w14:paraId="64D734A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4.门诊医生填写检查\检验建议；</w:t>
      </w:r>
    </w:p>
    <w:p w14:paraId="2F0BD15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5.门诊医生填写完成后，点击保存完成患者病例首页的填写；</w:t>
      </w:r>
    </w:p>
    <w:p w14:paraId="736B7AC1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1.4 门诊医生：检查申请</w:t>
      </w:r>
    </w:p>
    <w:p w14:paraId="7D51312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"https://cdn.nlark.com/yuque/0/2022/jpeg/955151/1652922884337-1b3e40e9-68df-4816-8f14-5d4b47f6b783.jpeg"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ED691E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"https://cdn.nlark.com/yuque/0/2022/png/955151/1652862319132-e1f09939-7e10-433f-befe-382e0b92d1fa.png"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336165"/>
            <wp:effectExtent l="0" t="0" r="6350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8A95AA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门诊医生点击“检查申请”</w:t>
      </w:r>
    </w:p>
    <w:p w14:paraId="1407E14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系统进入检查申请页面，在病历首页页面部分，显示该患者基本信息；</w:t>
      </w:r>
    </w:p>
    <w:p w14:paraId="0D596F2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门诊医生点击新增项目；</w:t>
      </w:r>
    </w:p>
    <w:p w14:paraId="3B0909C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系统弹出新增检查项目页面列表，页面包括检查编码、检查名称、检查规格、单价，门诊医生可以按检查编码和检查名称执行查询；</w:t>
      </w:r>
    </w:p>
    <w:p w14:paraId="64C8C10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门诊医生在查询结果中，选中要新增的检查项目前面的复选框，所有项目选中之后，点击“添加”按钮；</w:t>
      </w:r>
    </w:p>
    <w:p w14:paraId="04A20A0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 系统在检查申请页面，填入医生已经选择的项目；</w:t>
      </w:r>
    </w:p>
    <w:p w14:paraId="57686CC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7. 门诊医生输入检查目的要求、检查部位、备注等；</w:t>
      </w:r>
    </w:p>
    <w:p w14:paraId="5C215F1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8. 门诊医生点击“申请提交”；</w:t>
      </w:r>
    </w:p>
    <w:p w14:paraId="0749BE90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1.5 挂号收费：收费</w:t>
      </w:r>
    </w:p>
    <w:p w14:paraId="33205F8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"https://cdn.nlark.com/yuque/0/2022/jpeg/955151/1652922894120-a4ca7fa8-ea1e-4655-bd57-284145d46e4d.jpeg"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BFE516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"https://cdn.nlark.com/yuque/0/2022/png/955151/1652862438468-63432bbe-6c58-4f2a-b6f6-0b941f996727.png"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1648460"/>
            <wp:effectExtent l="0" t="0" r="6350" b="889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6685CA8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挂号收费员点击“收费”；</w:t>
      </w:r>
    </w:p>
    <w:p w14:paraId="35B8D0C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系统进入患者收费页面；</w:t>
      </w:r>
    </w:p>
    <w:p w14:paraId="0E2D38C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 xml:space="preserve">3. 挂号收费员输入患者的“病历号”后点击”搜索“按钮； </w:t>
      </w:r>
    </w:p>
    <w:p w14:paraId="77E9159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系统查询出该患者的基本信息；</w:t>
      </w:r>
    </w:p>
    <w:p w14:paraId="43EF45F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挂号收费员确认患者姓名是否正确；</w:t>
      </w:r>
    </w:p>
    <w:p w14:paraId="4D5CAA7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 系统查询出该患者本次看诊的待缴费项目，并按项目开立时间时间降序排序；</w:t>
      </w:r>
    </w:p>
    <w:p w14:paraId="7705645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7. 挂号收费员确认患者本次缴纳哪些项目，选中相应项目前面的复选框；</w:t>
      </w:r>
    </w:p>
    <w:p w14:paraId="24E80D4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8. 系统自动计算出本次的缴费金额；</w:t>
      </w:r>
    </w:p>
    <w:p w14:paraId="7552B11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9. 挂号收费员点击“收费结算”按钮，完成收费；</w:t>
      </w:r>
    </w:p>
    <w:p w14:paraId="005FA336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1.6 检查管理：检查申请</w:t>
      </w:r>
    </w:p>
    <w:p w14:paraId="7004ED6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"https://cdn.nlark.com/yuque/0/2022/jpeg/955151/1652922901644-051bee11-4a8d-4e36-a574-2fd4e2372530.jpeg"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0814C81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"https://cdn.nlark.com/yuque/0/2022/png/955151/1652862723774-12497676-11ec-4c75-84e4-07e74d1e6adf.png"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68195"/>
            <wp:effectExtent l="0" t="0" r="6350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04CCE4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检查医生登录后，点击导航栏的“检查申请”；</w:t>
      </w:r>
    </w:p>
    <w:p w14:paraId="3D927546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系统进入检查申请查看页面，顶部显示已经检查人数和排队人数；</w:t>
      </w:r>
    </w:p>
    <w:p w14:paraId="36A9E57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3.显示等待检查的患者列表；</w:t>
      </w:r>
    </w:p>
    <w:p w14:paraId="2ED489F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门诊医生可以输入患者的病历号或姓名，进行“查询”；</w:t>
      </w:r>
    </w:p>
    <w:p w14:paraId="2ABE18C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系统显示符合条件的患者列表；</w:t>
      </w:r>
    </w:p>
    <w:p w14:paraId="59CA80A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门诊医生点击患者姓名后面的“进行检查“，检查登记完成；</w:t>
      </w:r>
    </w:p>
    <w:p w14:paraId="48B5B2F9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1.7 检查管理：患者录入</w:t>
      </w:r>
    </w:p>
    <w:p w14:paraId="7D9FD86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"https://cdn.nlark.com/yuque/0/2022/jpeg/955151/1652922909497-1f8d661d-048f-4fb8-94f0-80e25403a402.jpeg"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83E522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"https://cdn.nlark.com/yuque/0/2022/png/955151/1652862938233-22c38c74-2117-42b3-b434-7ca695976792.png"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46605"/>
            <wp:effectExtent l="0" t="0" r="635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09E3189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检查医生点击导航栏的“患者录入”，对”检查申请“页面选择的患者的检查项目进行科室和医生的分配。页面顶部会显示医生选择的患者基本信息。</w:t>
      </w:r>
    </w:p>
    <w:p w14:paraId="6833DC2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2.系统会显示选择的患者所有等待检查的项目；</w:t>
      </w:r>
    </w:p>
    <w:p w14:paraId="2892C3C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检查医生点击对应项目后，表格下方会显示 已选择的检查项目名称；</w:t>
      </w:r>
    </w:p>
    <w:p w14:paraId="216E695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4.检查医生选择录入自己的科室和姓名，确认检查医生信息；</w:t>
      </w:r>
    </w:p>
    <w:p w14:paraId="23CAF3B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5.检查医生点击“开始检查”，患者检查录入完成；</w:t>
      </w:r>
    </w:p>
    <w:p w14:paraId="3BF54CB0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1.8 检查管理：检查结果录入</w:t>
      </w:r>
    </w:p>
    <w:p w14:paraId="4C8BCA2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"https://cdn.nlark.com/yuque/0/2022/jpeg/955151/1652922922424-ca1cbe50-95e9-4754-8279-f2a5224e793b.jpeg"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9D7790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"https://cdn.nlark.com/yuque/0/2022/png/955151/1652863234574-9a529b90-2699-4713-9ed3-306d4ad0a05a.png"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145030"/>
            <wp:effectExtent l="0" t="0" r="635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4A4A341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检查医生点击导航栏的“检查结果录入”。页面显示患者信息；检查医生可以根据患者病历号和患者姓名，进行搜索患者。</w:t>
      </w:r>
    </w:p>
    <w:p w14:paraId="1BBC511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2.检查医生点击患者信息后端的“已完成检查”按钮，会显示该患者所有已经完成的检查项目；</w:t>
      </w:r>
    </w:p>
    <w:p w14:paraId="227E80F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检查医生点击对应项目后，表格下方会显示 已选择的检查项目名称；</w:t>
      </w:r>
    </w:p>
    <w:p w14:paraId="6A267FB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4.检查医生选择录入自己的科室和姓名，确认结果录入医生信息；</w:t>
      </w:r>
    </w:p>
    <w:p w14:paraId="61FF40B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5.检查医生录入检查结果；</w:t>
      </w:r>
    </w:p>
    <w:p w14:paraId="18636CA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6.检查医生点击“结果提交”完成检查结果录入</w:t>
      </w:r>
    </w:p>
    <w:p w14:paraId="394BFBEA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1.9 门诊医生：看诊记录</w:t>
      </w:r>
    </w:p>
    <w:p w14:paraId="330C112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"https://cdn.nlark.com/yuque/0/2022/png/955151/1652863597903-785493ab-fa4b-4e05-9e25-1c1dd9e9ebab.png"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254250"/>
            <wp:effectExtent l="0" t="0" r="635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0FAFA8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门诊医生点击导航栏的“看诊记录”；</w:t>
      </w:r>
    </w:p>
    <w:p w14:paraId="676911E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系统进入患者继续看诊选择页面；</w:t>
      </w:r>
    </w:p>
    <w:p w14:paraId="44E1ED6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3.显示登录医生对应已经看诊的患者列表；</w:t>
      </w:r>
    </w:p>
    <w:p w14:paraId="2A5D00E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门诊医生可以输入患者的病历号或姓名，进行“查询”；</w:t>
      </w:r>
    </w:p>
    <w:p w14:paraId="4CF957A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4. 系统显示符合条件的患者列表；</w:t>
      </w:r>
    </w:p>
    <w:p w14:paraId="14A41CB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5. 门诊医生点击患者姓名后面的“更新病例“，开始对已出检查结果的患者继续看诊；</w:t>
      </w:r>
    </w:p>
    <w:p w14:paraId="76EEBF7E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1.10 门诊医生：查看检查结果</w:t>
      </w:r>
    </w:p>
    <w:p w14:paraId="4035404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"https://cdn.nlark.com/yuque/0/2022/jpeg/955151/1652922950045-77482d16-1187-40a0-af4a-68ea077ee670.jpeg"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5EEE4A3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fldChar w:fldCharType="begin"/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instrText xml:space="preserve"> INCLUDEPICTURE "https://cdn.nlark.com/yuque/0/2022/png/955151/1652863779862-2fc45786-3bad-4624-b03d-0abd8ce19297.png" \* MERGEFORMATINET </w:instrTex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fldChar w:fldCharType="separate"/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drawing>
          <wp:inline distT="0" distB="0" distL="0" distR="0">
            <wp:extent cx="5270500" cy="2137410"/>
            <wp:effectExtent l="0" t="0" r="635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fldChar w:fldCharType="end"/>
      </w:r>
    </w:p>
    <w:p w14:paraId="48C6380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门诊医生点击导航栏的“检查结果”，对”看诊记录“页面选择的患者的检查结果进行查看。页面顶部会显示医生选择的患者基本信息。</w:t>
      </w:r>
    </w:p>
    <w:p w14:paraId="776127B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2.系统会显示选择的患者的已经出结果的检查项目；</w:t>
      </w:r>
    </w:p>
    <w:p w14:paraId="653D348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3. 门诊医生选择检查项目，会看到检查的结果；</w:t>
      </w:r>
    </w:p>
    <w:p w14:paraId="7815F157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1.11 门诊医生：门诊确诊</w:t>
      </w:r>
    </w:p>
    <w:p w14:paraId="7CD89AE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"https://cdn.nlark.com/yuque/0/2022/png/955151/1652864000763-225d8470-f25c-4734-8826-c1bf759c87af.png"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146935"/>
            <wp:effectExtent l="0" t="0" r="6350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1CBC6DE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1. 门诊医生点击导航栏的“门诊确诊”，对”看诊记录“页面选择的患者录入诊断结果和处理意见。</w:t>
      </w:r>
    </w:p>
    <w:p w14:paraId="03D1483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2. 门诊医生选择“确诊提交”，完成患者的病历确诊部分内容填写；</w:t>
      </w:r>
    </w:p>
    <w:p w14:paraId="0ECBD473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1.12 门诊医生：开设处方</w:t>
      </w:r>
    </w:p>
    <w:p w14:paraId="3CA2064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"https://cdn.nlark.com/yuque/0/2022/jpeg/955151/1652922979932-54dd556b-5df6-48db-94e0-fcfe1820d4f9.jpeg"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ED7F57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"https://cdn.nlark.com/yuque/0/2022/png/955151/1652864126136-a4e45e3f-6f2d-4af2-815f-e1e748366683.png"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373630"/>
            <wp:effectExtent l="0" t="0" r="635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DEF982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"https://cdn.nlark.com/yuque/0/2022/png/955151/1652864175199-239b0456-71ff-4c63-9ca4-3ca1bd425fec.png"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179320"/>
            <wp:effectExtent l="0" t="0" r="6350" b="190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BAC575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"https://cdn.nlark.com/yuque/0/2022/png/955151/1652864626534-c271bae7-63a1-4c6f-b556-4da28c929508.png"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329180"/>
            <wp:effectExtent l="0" t="0" r="6350" b="444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DA0BD7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1、 门诊医生点击导航栏的“开设处方”，进入处方界面，点击“增加”。</w:t>
      </w:r>
    </w:p>
    <w:p w14:paraId="1A92466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2、 系统弹出“搜索药品界面”</w:t>
      </w:r>
    </w:p>
    <w:p w14:paraId="78A440D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3、 门诊医生输入药品信息（药品编码、药品名称等）后，点击“查询”按钮，查询药品信息</w:t>
      </w:r>
    </w:p>
    <w:p w14:paraId="5057C33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4、 系统显示符合条件的药品列表</w:t>
      </w:r>
    </w:p>
    <w:p w14:paraId="51E8991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5、 门诊医生选择所需药品，点击确定，添加药品到处方中</w:t>
      </w:r>
    </w:p>
    <w:p w14:paraId="634653E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6、 关闭药品选择对话框，界面显示医生已经选择的药品内容。</w:t>
      </w:r>
    </w:p>
    <w:p w14:paraId="1C0DE6D7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7、 门诊医生对药品输入：用法、用量、频次、使用天数、用药嘱托等医嘱信息；输入药品数量</w:t>
      </w:r>
    </w:p>
    <w:p w14:paraId="5C5D8DB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8、 门诊医生可以多次添加药品或删除药品；添加完药品后，门诊医生点击开立处方，完成处方开立。</w:t>
      </w:r>
    </w:p>
    <w:p w14:paraId="0C13580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9、 在主界面中，会有处方金额合计，根据数量改变会自动改变</w:t>
      </w:r>
    </w:p>
    <w:p w14:paraId="5D24487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10、点击每个药品，下拉列表显示药品的详细信息（药品编码、包装单位、生产厂家、药剂类型等）</w:t>
      </w:r>
    </w:p>
    <w:p w14:paraId="53FC4A0E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1.13 药房管理：药房发药</w:t>
      </w:r>
    </w:p>
    <w:p w14:paraId="10B1D29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"https://cdn.nlark.com/yuque/0/2022/jpeg/955151/1652923219028-d357db97-0e65-486c-bdfc-d6ddc80ecf5a.jpeg"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10E93DC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"https://cdn.nlark.com/yuque/0/2022/png/955151/1652923204790-d3777a91-c4ff-4007-b835-b069f1230b33.png"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054860"/>
            <wp:effectExtent l="0" t="0" r="635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EF3E15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1、 发药员点击导航栏的“药房发药”链接。</w:t>
      </w:r>
    </w:p>
    <w:p w14:paraId="4D18D5F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2、 系统查询并在左侧显示待发药患者列表界面，查询条件包括：病历号、患者姓名；默认状态为“未发”（其他状态：已发、已退、全部）</w:t>
      </w:r>
    </w:p>
    <w:p w14:paraId="4CD46AB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3、 发药员输入查询信息，点击“查询”</w:t>
      </w:r>
    </w:p>
    <w:p w14:paraId="0C10065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4、 系统显示符合条件的患者列表</w:t>
      </w:r>
    </w:p>
    <w:p w14:paraId="5DCF1E9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5、 发药员选择对应患者</w:t>
      </w:r>
    </w:p>
    <w:p w14:paraId="6DD5D73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6、 系统显示出该患者的待发药品信息，显示在界面上</w:t>
      </w:r>
    </w:p>
    <w:p w14:paraId="3FAED1B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7、 发药员点击“发药”按钮。</w:t>
      </w:r>
    </w:p>
    <w:p w14:paraId="30B141A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8、 完毕后会提示发药成功的信息。</w:t>
      </w:r>
    </w:p>
    <w:p w14:paraId="1B30CFD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9、 发药员给患者药品</w:t>
      </w:r>
    </w:p>
    <w:p w14:paraId="3AA2C7C5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2 原型设计：其他功能：</w:t>
      </w:r>
    </w:p>
    <w:p w14:paraId="11D6A7C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"https://cdn.nlark.com/yuque/0/2022/jpeg/955151/1652930956711-ac8f1e7b-33ac-477c-a60e-3efb7ade6101.jpeg"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3978910"/>
            <wp:effectExtent l="0" t="0" r="635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72EF8DFA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2.1、门诊挂号：退费</w:t>
      </w:r>
    </w:p>
    <w:p w14:paraId="6B26A65B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"https://cdn.nlark.com/yuque/0/2022/png/955151/1652931337609-90951d24-79b4-4c31-82d6-f0d2dab0f3f8.png"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644775"/>
            <wp:effectExtent l="0" t="0" r="635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287EEFCA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1.</w:t>
      </w:r>
      <w:r>
        <w:rPr>
          <w:rFonts w:hint="eastAsia" w:ascii="宋体" w:hAnsi="宋体" w:eastAsia="宋体" w:cs="宋体"/>
          <w:kern w:val="0"/>
        </w:rPr>
        <w:t>挂号收费员点 “退费” 菜单，输入患者病历号 / 姓名搜索；</w:t>
      </w:r>
    </w:p>
    <w:p w14:paraId="5C8ED1F5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2.</w:t>
      </w:r>
      <w:r>
        <w:rPr>
          <w:rFonts w:hint="eastAsia" w:ascii="宋体" w:hAnsi="宋体" w:eastAsia="宋体" w:cs="宋体"/>
          <w:kern w:val="0"/>
        </w:rPr>
        <w:t>系统展示该患者已缴费且符合退费条件的记录（项目名、单价等）；</w:t>
      </w:r>
    </w:p>
    <w:p w14:paraId="22212104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3.</w:t>
      </w:r>
      <w:r>
        <w:rPr>
          <w:rFonts w:hint="eastAsia" w:ascii="宋体" w:hAnsi="宋体" w:eastAsia="宋体" w:cs="宋体"/>
          <w:kern w:val="0"/>
        </w:rPr>
        <w:t>勾选退费项目，系统自动算总金额，点 “确认退费” 并确认弹窗；</w:t>
      </w:r>
    </w:p>
    <w:p w14:paraId="1784022C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4.</w:t>
      </w:r>
      <w:r>
        <w:rPr>
          <w:rFonts w:hint="eastAsia" w:ascii="宋体" w:hAnsi="宋体" w:eastAsia="宋体" w:cs="宋体"/>
          <w:kern w:val="0"/>
        </w:rPr>
        <w:t>电子支付原路退款，现金提示手动退还，生成退费单号，提示成功，可打印凭证。</w:t>
      </w:r>
    </w:p>
    <w:p w14:paraId="44C8D8A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2.2、门诊挂号：退号</w:t>
      </w:r>
    </w:p>
    <w:p w14:paraId="682D9381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"https://cdn.nlark.com/yuque/0/2022/png/955151/1652931374061-aca7e57e-6c29-4b2f-a5e8-4dcd79d80880.png"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94000"/>
            <wp:effectExtent l="0" t="0" r="635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300DF9C">
      <w:pPr>
        <w:widowControl/>
        <w:jc w:val="left"/>
        <w:rPr>
          <w:rFonts w:hint="eastAsia" w:ascii="宋体" w:hAnsi="宋体" w:eastAsia="宋体" w:cs="宋体"/>
          <w:kern w:val="0"/>
          <w:lang w:val="en-US" w:eastAsia="zh-CN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1.挂号收费员点 “窗口退号”，输入患者信息搜索；</w:t>
      </w:r>
    </w:p>
    <w:p w14:paraId="485C1B7E">
      <w:pPr>
        <w:widowControl/>
        <w:jc w:val="left"/>
        <w:rPr>
          <w:rFonts w:hint="eastAsia" w:ascii="宋体" w:hAnsi="宋体" w:eastAsia="宋体" w:cs="宋体"/>
          <w:kern w:val="0"/>
          <w:lang w:val="en-US" w:eastAsia="zh-CN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2.系统显示患者未就诊、未过号的挂号记录（科室、医生、付款方式等）；</w:t>
      </w:r>
    </w:p>
    <w:p w14:paraId="06D9B517">
      <w:pPr>
        <w:widowControl/>
        <w:jc w:val="left"/>
        <w:rPr>
          <w:rFonts w:hint="eastAsia" w:ascii="宋体" w:hAnsi="宋体" w:eastAsia="宋体" w:cs="宋体"/>
          <w:kern w:val="0"/>
          <w:lang w:val="en-US" w:eastAsia="zh-CN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3.点对应记录 “退号”，确认弹窗后，系统释放号额，原路退挂号费；</w:t>
      </w:r>
    </w:p>
    <w:p w14:paraId="39789B7B">
      <w:pPr>
        <w:widowControl/>
        <w:jc w:val="left"/>
        <w:rPr>
          <w:rFonts w:hint="eastAsia" w:ascii="宋体" w:hAnsi="宋体" w:eastAsia="宋体" w:cs="宋体"/>
          <w:kern w:val="0"/>
          <w:lang w:val="en-US" w:eastAsia="zh-CN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4.提示退号成功，可选择继续退号或返回主菜单。</w:t>
      </w:r>
    </w:p>
    <w:p w14:paraId="3780A537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2.3、门诊挂号：费用记录查询</w:t>
      </w:r>
    </w:p>
    <w:p w14:paraId="5D4EF14A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"https://cdn.nlark.com/yuque/0/2022/png/955151/1652931405131-f8350994-a9e9-4db1-ac26-d5134795d637.png"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52040"/>
            <wp:effectExtent l="0" t="0" r="635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59E994D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工作人员点击导航栏的 “费用记录查询” 链接。</w:t>
      </w:r>
    </w:p>
    <w:p w14:paraId="70FEF2E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“费用记录查询” 界面，显示患者信息查询区域，查询条件包括病历号、患者姓名。</w:t>
      </w:r>
    </w:p>
    <w:p w14:paraId="7FB9BE7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工作人员输入查询信息），点击 “搜索”。</w:t>
      </w:r>
    </w:p>
    <w:p w14:paraId="13CBE12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系统显示符合条件的患者信息，进入患者信息确认区域，展示患者信息，以及项目金额和费用项目列表。</w:t>
      </w:r>
    </w:p>
    <w:p w14:paraId="56C41677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388B9A92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2.4、门诊医生：开立检验</w:t>
      </w:r>
    </w:p>
    <w:p w14:paraId="5EB5A216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"https://cdn.nlark.com/yuque/0/2022/png/955151/1652931466429-a631bc8e-0040-40b0-935a-6f644eaa1d30.png"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32405"/>
            <wp:effectExtent l="0" t="0" r="635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5564B74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门诊医生点击左侧导航栏的 “医生诊疗：处置申请” 链接。</w:t>
      </w:r>
    </w:p>
    <w:p w14:paraId="13D7330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“处置申请” 界面，显示患者信息以及处置项目相关区域同时有医嘱填写区域。</w:t>
      </w:r>
    </w:p>
    <w:p w14:paraId="41CE258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医生在处置项目区域，点击 “增加” 按钮，添加需要的处置项目。</w:t>
      </w:r>
    </w:p>
    <w:p w14:paraId="0013801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医生在医嘱的目的要求、检验部位、备注输入框中，填写相应的处置相关信息。</w:t>
      </w:r>
    </w:p>
    <w:p w14:paraId="2C29C695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确认处置项目和医嘱信息无误后，完成处置申请的开立操作。</w:t>
      </w:r>
    </w:p>
    <w:p w14:paraId="79181808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2.5、门诊医生：开立处置</w:t>
      </w:r>
    </w:p>
    <w:p w14:paraId="2C5ED648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"https://cdn.nlark.com/yuque/0/2022/png/955151/1652931485802-5097b2d3-cfb5-4ad9-bf82-d33ac2750c1d.png"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4935220" cy="2414905"/>
            <wp:effectExtent l="0" t="0" r="5080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609E245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门诊医生点击左侧导航栏的 “医生诊疗：处置申请” 链接。</w:t>
      </w:r>
    </w:p>
    <w:p w14:paraId="0304057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“处置申请” 界面，显示患者信息以及处置项目相关区域同时有医嘱填写区域。</w:t>
      </w:r>
    </w:p>
    <w:p w14:paraId="5EA8687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医生在处置项目区域，点击 “增加” 按钮，添加需要的处置项目。</w:t>
      </w:r>
    </w:p>
    <w:p w14:paraId="4E912CA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医生在医嘱的目的要求、检验部位、备注输入框中，填写相应的处置相关信息。</w:t>
      </w:r>
    </w:p>
    <w:p w14:paraId="678DACAC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确认处置项目和医嘱信息无误后，完成处置申请的开立操作。</w:t>
      </w:r>
    </w:p>
    <w:p w14:paraId="4D4F46D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2.6、检查医生：检查管理</w:t>
      </w:r>
    </w:p>
    <w:p w14:paraId="755EB41F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"https://cdn.nlark.com/yuque/0/2022/png/955151/1652931526154-5e773ead-5be8-40c9-933f-efaee68b7d02.png"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642870"/>
            <wp:effectExtent l="0" t="0" r="635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3F9D5824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1、检查医生点击左侧导航栏的 “检查管理” 链接。</w:t>
      </w:r>
    </w:p>
    <w:p w14:paraId="724A57CF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2、系统进入 “检查项目查看” 界面，显示患者信息查询区域，查询条件包括患者病历号、患者姓名。</w:t>
      </w:r>
    </w:p>
    <w:p w14:paraId="785031E3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3、检查医生输入查询信息，点击 “搜索”。</w:t>
      </w:r>
    </w:p>
    <w:p w14:paraId="5BA4EA6A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4、系统显示符合条件的患者列表，包含患者信息，每条患者信息后有 “检查项目” 操作按钮。</w:t>
      </w:r>
    </w:p>
    <w:p w14:paraId="42EB81DC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5、检查医生选择对应患者，点击其对应的 “检查项目” 按钮。</w:t>
      </w:r>
    </w:p>
    <w:p w14:paraId="4D3104AB">
      <w:pPr>
        <w:widowControl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2.7、检验医生：患者叫号</w:t>
      </w:r>
    </w:p>
    <w:p w14:paraId="6C8CF440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"https://cdn.nlark.com/yuque/0/2022/png/955151/1652931548770-8b68cbbc-91db-401e-bf3e-3b3b91a24f53.png"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4594225" cy="1990090"/>
            <wp:effectExtent l="0" t="0" r="3175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4A20B7F2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1、检验医生点击左侧导航栏的 “检验申请” 链接。</w:t>
      </w:r>
    </w:p>
    <w:p w14:paraId="643D9C80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2、系统进入 “检验申请” 界面，显示患者信息查询区域，查询条件包括患者病历号、患者姓名。</w:t>
      </w:r>
    </w:p>
    <w:p w14:paraId="2AA9C653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3、检验医生输入查询信息，点击 “搜索”。</w:t>
      </w:r>
    </w:p>
    <w:p w14:paraId="4E2A203D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4、系统显示符合条件的患者列表，包含患者等信息，每条患者信息后有操作按钮。</w:t>
      </w:r>
    </w:p>
    <w:p w14:paraId="4123A5F1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5、检验医生选择对应患者，点击其对应的 “叫号” 按钮。</w:t>
      </w:r>
    </w:p>
    <w:p w14:paraId="1A051272">
      <w:pPr>
        <w:widowControl/>
        <w:jc w:val="left"/>
        <w:rPr>
          <w:rFonts w:hint="eastAsia" w:ascii="宋体" w:hAnsi="宋体" w:eastAsia="宋体" w:cs="宋体"/>
          <w:b/>
          <w:bCs/>
          <w:kern w:val="0"/>
        </w:rPr>
      </w:pPr>
      <w:r>
        <w:rPr>
          <w:rFonts w:hint="eastAsia" w:ascii="宋体" w:hAnsi="宋体" w:eastAsia="宋体" w:cs="宋体"/>
          <w:kern w:val="0"/>
        </w:rPr>
        <w:t>6、完毕后会提示叫号成功的信息，通知患者前来进行检验</w:t>
      </w:r>
      <w:r>
        <w:rPr>
          <w:rFonts w:hint="eastAsia" w:ascii="宋体" w:hAnsi="宋体" w:eastAsia="宋体" w:cs="宋体"/>
          <w:b/>
          <w:bCs/>
          <w:kern w:val="0"/>
        </w:rPr>
        <w:t>。</w:t>
      </w:r>
    </w:p>
    <w:p w14:paraId="76833D2C">
      <w:pPr>
        <w:widowControl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2.8、检验医生：执行检验</w:t>
      </w:r>
    </w:p>
    <w:p w14:paraId="23CEBFFD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"https://cdn.nlark.com/yuque/0/2022/png/955151/1652931580672-52a4be79-b08a-44bf-8857-e2cc23aa6da9.png"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24735"/>
            <wp:effectExtent l="0" t="0" r="635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1242BA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检验医生点击左侧导航栏的 “患者录入” 链接。</w:t>
      </w:r>
    </w:p>
    <w:p w14:paraId="13AA937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系统显示患者信息及检验项目相关区域，还有确认检验科室和检验医生的区域，以及 “开始检验” 按钮。</w:t>
      </w:r>
    </w:p>
    <w:p w14:paraId="11E8C75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检验医生在 “科室选择” 下拉框中，选择对应的检验科室。</w:t>
      </w:r>
    </w:p>
    <w:p w14:paraId="2A34903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检验医生在 “医生选择” 下拉框中，选择执行检验的医生。</w:t>
      </w:r>
    </w:p>
    <w:p w14:paraId="726351A4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确认检验科室和检验医生信息无误后，点击 “开始检验” 按钮，执行检验操作。</w:t>
      </w:r>
    </w:p>
    <w:p w14:paraId="4DA82241">
      <w:pPr>
        <w:widowControl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2.9、检验医生：录入检验结果</w:t>
      </w:r>
    </w:p>
    <w:p w14:paraId="4636ED2E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"https://cdn.nlark.com/yuque/0/2022/png/955151/1652931594109-962b6275-f304-4e71-a7ce-4bba42c01562.png"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4347845" cy="2239645"/>
            <wp:effectExtent l="0" t="0" r="825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2AEFB7BA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检验医生点击左侧导航栏的 “检验结果录入” 链接。</w:t>
      </w:r>
    </w:p>
    <w:p w14:paraId="49683502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“检验结果录入” 界面，显示患者信息查询区域</w:t>
      </w:r>
      <w:r>
        <w:rPr>
          <w:rFonts w:hint="eastAsia" w:ascii="宋体" w:hAnsi="宋体" w:eastAsia="宋体" w:cs="宋体"/>
          <w:kern w:val="0"/>
        </w:rPr>
        <w:t>。</w:t>
      </w:r>
    </w:p>
    <w:p w14:paraId="3DC670C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检验医生输入查询信息，点击 “搜索”。</w:t>
      </w:r>
    </w:p>
    <w:p w14:paraId="00E1877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系统显示符合条件的患者列表，包含患者姓名、患者病历号等信息，同时显示检验项目相关区域。</w:t>
      </w:r>
    </w:p>
    <w:p w14:paraId="6715CB4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 xml:space="preserve">检验医生在 “科室选择” 下拉框中，选择对应的检验科室；在 “医生选择” </w:t>
      </w:r>
      <w:r>
        <w:rPr>
          <w:rFonts w:hint="eastAsia" w:ascii="宋体" w:hAnsi="宋体" w:eastAsia="宋体" w:cs="宋体"/>
          <w:kern w:val="0"/>
        </w:rPr>
        <w:t>6、</w:t>
      </w:r>
      <w:r>
        <w:rPr>
          <w:rFonts w:ascii="宋体" w:hAnsi="宋体" w:eastAsia="宋体" w:cs="宋体"/>
          <w:kern w:val="0"/>
        </w:rPr>
        <w:t>下拉框中，选择录入结果的医生。</w:t>
      </w:r>
    </w:p>
    <w:p w14:paraId="4A24126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7、</w:t>
      </w:r>
      <w:r>
        <w:rPr>
          <w:rFonts w:ascii="宋体" w:hAnsi="宋体" w:eastAsia="宋体" w:cs="宋体"/>
          <w:kern w:val="0"/>
        </w:rPr>
        <w:t>检验医生在检验项目区域，录入相应的检验结果信息。</w:t>
      </w:r>
    </w:p>
    <w:p w14:paraId="64E1B8E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8、</w:t>
      </w:r>
      <w:r>
        <w:rPr>
          <w:rFonts w:ascii="宋体" w:hAnsi="宋体" w:eastAsia="宋体" w:cs="宋体"/>
          <w:kern w:val="0"/>
        </w:rPr>
        <w:t>确认检验结果信息无误后，完成检验结果的录入操作</w:t>
      </w:r>
    </w:p>
    <w:p w14:paraId="05C2AB05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4435E82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2.10、检验医生：检验管理</w:t>
      </w:r>
    </w:p>
    <w:p w14:paraId="6319312F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"https://cdn.nlark.com/yuque/0/2022/png/955151/1652931607094-c870c031-84ed-40ab-b689-5b904e3287c6.png"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660015"/>
            <wp:effectExtent l="0" t="0" r="635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6002122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检验医生点击左侧导航栏的 “检验管理” 链接。</w:t>
      </w:r>
    </w:p>
    <w:p w14:paraId="4A80916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“检验项目查看” 界面，显示患者信息查询区域，查询条件包括患者病历号、患者姓名。</w:t>
      </w:r>
    </w:p>
    <w:p w14:paraId="41561D3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检验医生输入查询信息，点击 “搜索”。</w:t>
      </w:r>
    </w:p>
    <w:p w14:paraId="1FAAAA4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系统显示符合条件的患者列表，包含编号、患者姓名、患者病历号、等信息，每条患者信息后有 “检验项目” 操作按钮。</w:t>
      </w:r>
    </w:p>
    <w:p w14:paraId="0C37EA75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检验医生选择对应患者，点击其对应的 “检验项目” 按钮，可查看该患者的检验项目相关情况</w:t>
      </w:r>
    </w:p>
    <w:p w14:paraId="4912EB2F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5880B74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2.11、药库管理：退药</w:t>
      </w:r>
    </w:p>
    <w:p w14:paraId="5D05265E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"https://cdn.nlark.com/yuque/0/2022/png/955151/1652931621395-41d4369d-02a0-4463-964a-160b4c334467.png"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54580"/>
            <wp:effectExtent l="0" t="0" r="635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C6876A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药房</w:t>
      </w:r>
      <w:r>
        <w:rPr>
          <w:rFonts w:hint="eastAsia" w:ascii="宋体" w:hAnsi="宋体" w:eastAsia="宋体" w:cs="宋体"/>
          <w:kern w:val="0"/>
        </w:rPr>
        <w:t>管理</w:t>
      </w:r>
      <w:r>
        <w:rPr>
          <w:rFonts w:ascii="宋体" w:hAnsi="宋体" w:eastAsia="宋体" w:cs="宋体"/>
          <w:kern w:val="0"/>
        </w:rPr>
        <w:t>员点击左侧导航栏的 “药房退药” 链接。</w:t>
      </w:r>
    </w:p>
    <w:p w14:paraId="4E9DAB4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“退药” 界面，显示患者信息查询区域，查询条件包括患者病历号、患者姓名。</w:t>
      </w:r>
    </w:p>
    <w:p w14:paraId="11C0BA4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工作人员输入查询信息，点击 “搜索”。</w:t>
      </w:r>
    </w:p>
    <w:p w14:paraId="29B8115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系统显示符合条件的患者列表，每条患者信息后有 “显示药品” 操作按钮。</w:t>
      </w:r>
    </w:p>
    <w:p w14:paraId="26B53C9A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工作人员选择对应患者，点击其对应的 “显示药品” 按钮，可查看该患者的药品信息，进而开展退药相关操作。</w:t>
      </w:r>
    </w:p>
    <w:p w14:paraId="4DEF6336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299DC7BB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2.12、药库管理：药品管理</w:t>
      </w:r>
    </w:p>
    <w:p w14:paraId="250413C6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"https://cdn.nlark.com/yuque/0/2022/png/955151/1652931661869-7ddc0f11-4ca0-4e8e-94de-20b4bc585beb.png"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987040"/>
            <wp:effectExtent l="0" t="0" r="635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4AE40E1D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药库工作人员点击左侧导航栏的 “药库管理” 链接。</w:t>
      </w:r>
    </w:p>
    <w:p w14:paraId="29FE3FF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“药库管理” 界面，显示药品信息查询区域，查询条件包括药品编号、供应商编码、药品名称。</w:t>
      </w:r>
    </w:p>
    <w:p w14:paraId="19E96B0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工作人员输入查询信息（，点击 “搜索”。</w:t>
      </w:r>
    </w:p>
    <w:p w14:paraId="2ABBEC7F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系统显示符合条件的药品列表，包含药品编码、药品名称等信息，每条药品信息后有操作按钮，。</w:t>
      </w:r>
    </w:p>
    <w:p w14:paraId="06B901CD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  <w:lang w:val="en-US" w:eastAsia="zh-CN"/>
        </w:rPr>
        <w:t>5</w:t>
      </w:r>
      <w:r>
        <w:rPr>
          <w:rFonts w:hint="eastAsia" w:ascii="宋体" w:hAnsi="宋体" w:eastAsia="宋体" w:cs="宋体"/>
          <w:kern w:val="0"/>
        </w:rPr>
        <w:t>、</w:t>
      </w:r>
      <w:r>
        <w:rPr>
          <w:rFonts w:ascii="宋体" w:hAnsi="宋体" w:eastAsia="宋体" w:cs="宋体"/>
          <w:kern w:val="0"/>
        </w:rPr>
        <w:t>工作人员可根据需求，对药品进行查询、修改、删除等管理操作。</w:t>
      </w:r>
    </w:p>
    <w:p w14:paraId="20C93085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2877474E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2.13、药库管理：交易记录</w:t>
      </w:r>
    </w:p>
    <w:p w14:paraId="02F753E8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"https://cdn.nlark.com/yuque/0/2022/png/955151/1652931681429-46131a71-dc3c-479c-98fd-7be90d13a618.png"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699385"/>
            <wp:effectExtent l="0" t="0" r="635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78F74B5C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1、药库工作人员点击左侧导航栏的 “交易记录” 链接。</w:t>
      </w:r>
    </w:p>
    <w:p w14:paraId="421310DE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2、系统进入 “交易记录” 界面，显示患者信息查询区域。</w:t>
      </w:r>
    </w:p>
    <w:p w14:paraId="707AE5A5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3、工作人员输入查询信息），点击 “搜索”。</w:t>
      </w:r>
    </w:p>
    <w:p w14:paraId="35C8D258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4、系统显示符合条件的患者交易记录列表，包含编号、患者等信息，每条记录后有 “费用详情” 操作按钮。</w:t>
      </w:r>
    </w:p>
    <w:p w14:paraId="7524F6E3">
      <w:pPr>
        <w:widowControl/>
        <w:jc w:val="left"/>
        <w:rPr>
          <w:rFonts w:hint="eastAsia"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5、工作人员选择对应患者，点击其对应的 “费用详情” 按钮，可查看该患者的费用交易详细信息。</w:t>
      </w:r>
    </w:p>
    <w:p w14:paraId="3792D109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2.15、处置医生：执行处置</w:t>
      </w:r>
    </w:p>
    <w:p w14:paraId="166A1E77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"https://cdn.nlark.com/yuque/0/2022/png/955151/1652931706613-100f7cc5-e154-42fb-bbdb-d0012368b328.png"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345055"/>
            <wp:effectExtent l="0" t="0" r="635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05211E79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处置医生点击左侧导航栏的 “患者录入” 链接。</w:t>
      </w:r>
    </w:p>
    <w:p w14:paraId="629AC74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系统提示 “请先选择患者”，同时显示患者信息以及处置项目相关区域，还有确认处置科室和处置医生的区域，以及 “开始处置” 按钮。</w:t>
      </w:r>
    </w:p>
    <w:p w14:paraId="0FF904C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接着在 “科室选择” 下拉框中，选择对应的处置科室。</w:t>
      </w:r>
    </w:p>
    <w:p w14:paraId="5F381CCE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在 “医生选择” 下拉框中，选择执行处置的医生。</w:t>
      </w:r>
    </w:p>
    <w:p w14:paraId="06B5E9A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确认处置科室和处置医生信息无误后，点击 “开始处置” 按钮，执行处置操作。</w:t>
      </w:r>
    </w:p>
    <w:p w14:paraId="660B6D3E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</w:p>
    <w:p w14:paraId="001F66B1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2.16、处置医生：录入处置结果</w:t>
      </w:r>
    </w:p>
    <w:p w14:paraId="4FB35543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</w:rPr>
      </w:pPr>
      <w:r>
        <w:rPr>
          <w:rFonts w:ascii="宋体" w:hAnsi="宋体" w:eastAsia="宋体" w:cs="宋体"/>
          <w:b/>
          <w:bCs/>
          <w:kern w:val="0"/>
        </w:rPr>
        <w:fldChar w:fldCharType="begin"/>
      </w:r>
      <w:r>
        <w:rPr>
          <w:rFonts w:ascii="宋体" w:hAnsi="宋体" w:eastAsia="宋体" w:cs="宋体"/>
          <w:b/>
          <w:bCs/>
          <w:kern w:val="0"/>
        </w:rPr>
        <w:instrText xml:space="preserve"> INCLUDEPICTURE "https://cdn.nlark.com/yuque/0/2022/png/955151/1652931719919-e70eda78-c640-4dd6-ab8f-2962cb1dcc17.png" \* MERGEFORMATINET </w:instrText>
      </w:r>
      <w:r>
        <w:rPr>
          <w:rFonts w:ascii="宋体" w:hAnsi="宋体" w:eastAsia="宋体" w:cs="宋体"/>
          <w:b/>
          <w:bCs/>
          <w:kern w:val="0"/>
        </w:rPr>
        <w:fldChar w:fldCharType="separate"/>
      </w:r>
      <w:r>
        <w:rPr>
          <w:rFonts w:ascii="宋体" w:hAnsi="宋体" w:eastAsia="宋体" w:cs="宋体"/>
          <w:b/>
          <w:bCs/>
          <w:kern w:val="0"/>
        </w:rPr>
        <w:drawing>
          <wp:inline distT="0" distB="0" distL="0" distR="0">
            <wp:extent cx="5270500" cy="2756535"/>
            <wp:effectExtent l="0" t="0" r="635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kern w:val="0"/>
        </w:rPr>
        <w:fldChar w:fldCharType="end"/>
      </w:r>
    </w:p>
    <w:p w14:paraId="3E0C596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处置医生点击左侧导航栏的 “处置录入” 链接。</w:t>
      </w:r>
    </w:p>
    <w:p w14:paraId="7ACF5CF2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“处置结果录入” 界面，显示患者信息查询区域。</w:t>
      </w:r>
    </w:p>
    <w:p w14:paraId="002DB285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处置医生输入查询信息，点击 “搜索”。</w:t>
      </w:r>
    </w:p>
    <w:p w14:paraId="74263C8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t>系统显示符合条件的患者列表，包含编号、患者姓名、患者病历号、等信息，同时显示处置项目相关区域。</w:t>
      </w:r>
    </w:p>
    <w:p w14:paraId="79EC16C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处置医生在 “科室选择” 下拉框中，选择对应的处置科室；在 “医生选择” 下拉框中，选择录入结果的医生。</w:t>
      </w:r>
    </w:p>
    <w:p w14:paraId="309B533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处置医生在 “输入处置结果” 区域，录入相应的处置结果信息。</w:t>
      </w:r>
    </w:p>
    <w:p w14:paraId="2F2ABA96">
      <w:pPr>
        <w:widowControl/>
        <w:jc w:val="left"/>
        <w:rPr>
          <w:rFonts w:ascii="宋体" w:hAnsi="宋体" w:eastAsia="宋体" w:cs="宋体"/>
          <w:kern w:val="0"/>
        </w:rPr>
      </w:pPr>
    </w:p>
    <w:p w14:paraId="76AE18F1">
      <w:pPr>
        <w:widowControl/>
        <w:jc w:val="left"/>
        <w:rPr>
          <w:rFonts w:ascii="宋体" w:hAnsi="宋体" w:eastAsia="宋体" w:cs="宋体"/>
          <w:kern w:val="0"/>
        </w:rPr>
      </w:pPr>
    </w:p>
    <w:p w14:paraId="2DDAD7B0">
      <w:pPr>
        <w:widowControl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kern w:val="0"/>
          <w:sz w:val="30"/>
          <w:szCs w:val="30"/>
        </w:rPr>
        <w:t>2.17、处置医生：处置管理</w:t>
      </w:r>
    </w:p>
    <w:p w14:paraId="3F9155D3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ascii="宋体" w:hAnsi="宋体" w:eastAsia="宋体" w:cs="宋体"/>
          <w:kern w:val="0"/>
        </w:rPr>
        <w:fldChar w:fldCharType="begin"/>
      </w:r>
      <w:r>
        <w:rPr>
          <w:rFonts w:ascii="宋体" w:hAnsi="宋体" w:eastAsia="宋体" w:cs="宋体"/>
          <w:kern w:val="0"/>
        </w:rPr>
        <w:instrText xml:space="preserve"> INCLUDEPICTURE "https://cdn.nlark.com/yuque/0/2022/png/955151/1652931733417-42a9cf04-86ea-4f14-80d3-984f2bf84ca4.png" \* MERGEFORMATINET </w:instrText>
      </w:r>
      <w:r>
        <w:rPr>
          <w:rFonts w:ascii="宋体" w:hAnsi="宋体" w:eastAsia="宋体" w:cs="宋体"/>
          <w:kern w:val="0"/>
        </w:rPr>
        <w:fldChar w:fldCharType="separate"/>
      </w:r>
      <w:r>
        <w:rPr>
          <w:rFonts w:ascii="宋体" w:hAnsi="宋体" w:eastAsia="宋体" w:cs="宋体"/>
          <w:kern w:val="0"/>
        </w:rPr>
        <w:drawing>
          <wp:inline distT="0" distB="0" distL="0" distR="0">
            <wp:extent cx="5270500" cy="2693670"/>
            <wp:effectExtent l="0" t="0" r="635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</w:rPr>
        <w:fldChar w:fldCharType="end"/>
      </w:r>
    </w:p>
    <w:p w14:paraId="52CF2DA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1、</w:t>
      </w:r>
      <w:r>
        <w:rPr>
          <w:rFonts w:ascii="宋体" w:hAnsi="宋体" w:eastAsia="宋体" w:cs="宋体"/>
          <w:kern w:val="0"/>
        </w:rPr>
        <w:t>处置医生点击左侧导航栏的 “处置管理” 链接。</w:t>
      </w:r>
    </w:p>
    <w:p w14:paraId="71164DC8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2、</w:t>
      </w:r>
      <w:r>
        <w:rPr>
          <w:rFonts w:ascii="宋体" w:hAnsi="宋体" w:eastAsia="宋体" w:cs="宋体"/>
          <w:kern w:val="0"/>
        </w:rPr>
        <w:t>系统进入 “处置项目查看” 界面，显示患者信息查询区域。</w:t>
      </w:r>
    </w:p>
    <w:p w14:paraId="7FB2D8C1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3、</w:t>
      </w:r>
      <w:r>
        <w:rPr>
          <w:rFonts w:ascii="宋体" w:hAnsi="宋体" w:eastAsia="宋体" w:cs="宋体"/>
          <w:kern w:val="0"/>
        </w:rPr>
        <w:t>处置医生输入查询信息，点击 “搜索”。</w:t>
      </w:r>
    </w:p>
    <w:p w14:paraId="0B3261EC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4、</w:t>
      </w:r>
      <w:r>
        <w:rPr>
          <w:rFonts w:ascii="宋体" w:hAnsi="宋体" w:eastAsia="宋体" w:cs="宋体"/>
          <w:kern w:val="0"/>
        </w:rPr>
        <w:t>系统显示符合条件的患者列表，包含编号、患者姓名、患者病历号、等信息，每条患者信息后有 “处置项目” 操作按钮。</w:t>
      </w:r>
    </w:p>
    <w:p w14:paraId="26E34D50">
      <w:pPr>
        <w:widowControl/>
        <w:jc w:val="left"/>
        <w:rPr>
          <w:rFonts w:ascii="宋体" w:hAnsi="宋体" w:eastAsia="宋体" w:cs="宋体"/>
          <w:kern w:val="0"/>
        </w:rPr>
      </w:pPr>
      <w:r>
        <w:rPr>
          <w:rFonts w:hint="eastAsia" w:ascii="宋体" w:hAnsi="宋体" w:eastAsia="宋体" w:cs="宋体"/>
          <w:kern w:val="0"/>
        </w:rPr>
        <w:t>5、</w:t>
      </w:r>
      <w:r>
        <w:rPr>
          <w:rFonts w:ascii="宋体" w:hAnsi="宋体" w:eastAsia="宋体" w:cs="宋体"/>
          <w:kern w:val="0"/>
        </w:rPr>
        <w:t>处置医生选择对应患者，点击其对应的 “处置项目” 按钮，可查看该患者的处置项目相关情况。</w:t>
      </w:r>
    </w:p>
    <w:p w14:paraId="6520D2A0">
      <w:pPr>
        <w:widowControl/>
        <w:jc w:val="left"/>
        <w:rPr>
          <w:rFonts w:ascii="宋体" w:hAnsi="宋体" w:eastAsia="宋体" w:cs="宋体"/>
          <w:kern w:val="0"/>
        </w:rPr>
      </w:pPr>
    </w:p>
    <w:p w14:paraId="4E1876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66742"/>
    <w:rsid w:val="02A24E17"/>
    <w:rsid w:val="0728596A"/>
    <w:rsid w:val="385775AE"/>
    <w:rsid w:val="393E345F"/>
    <w:rsid w:val="401517C3"/>
    <w:rsid w:val="4BAA5635"/>
    <w:rsid w:val="4E3F065B"/>
    <w:rsid w:val="58FE5CA3"/>
    <w:rsid w:val="5AEE3400"/>
    <w:rsid w:val="6005151A"/>
    <w:rsid w:val="617701F5"/>
    <w:rsid w:val="62E96ED1"/>
    <w:rsid w:val="6D7A3B1D"/>
    <w:rsid w:val="70E6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jpeg"/><Relationship Id="rId37" Type="http://schemas.openxmlformats.org/officeDocument/2006/relationships/image" Target="media/image34.png"/><Relationship Id="rId36" Type="http://schemas.openxmlformats.org/officeDocument/2006/relationships/image" Target="media/image33.jpe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jpe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jpe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3268</Words>
  <Characters>3512</Characters>
  <Lines>0</Lines>
  <Paragraphs>0</Paragraphs>
  <TotalTime>4</TotalTime>
  <ScaleCrop>false</ScaleCrop>
  <LinksUpToDate>false</LinksUpToDate>
  <CharactersWithSpaces>3611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2025-09-01T22:41:00Z</dcterms:created>
  <dc:creator>pc</dc:creator>
  <cp:lastModifiedBy>YY</cp:lastModifiedBy>
  <dcterms:modified xsi:type="dcterms:W3CDTF">2025-09-03T02:08:10Z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AF925349FB2449B787F938D08C415847_13</vt:lpwstr>
  </property>
  <property fmtid="{D5CDD505-2E9C-101B-9397-08002B2CF9AE}" pid="4" name="KSOTemplateDocerSaveRecord">
    <vt:lpwstr>eyJoZGlkIjoiZGE5ZWQ0ZGY1NDcxMDRhZmI3OTNiMGI2NWQ1M2IxZTcifQ==</vt:lpwstr>
  </property>
</Properties>
</file>