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>AI Agents and Retrieval-Augmented Generation for Materials Simulation</w:t>
      </w:r>
    </w:p>
    <w:p>
      <w:pPr>
        <w:autoSpaceDN w:val="0"/>
        <w:autoSpaceDE w:val="0"/>
        <w:widowControl/>
        <w:spacing w:line="230" w:lineRule="auto" w:before="56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Submitted by </w:t>
      </w:r>
    </w:p>
    <w:p>
      <w:pPr>
        <w:autoSpaceDN w:val="0"/>
        <w:autoSpaceDE w:val="0"/>
        <w:widowControl/>
        <w:spacing w:line="230" w:lineRule="auto" w:before="1114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 xml:space="preserve">XU Jiamin </w:t>
      </w:r>
    </w:p>
    <w:p>
      <w:pPr>
        <w:autoSpaceDN w:val="0"/>
        <w:autoSpaceDE w:val="0"/>
        <w:widowControl/>
        <w:spacing w:line="245" w:lineRule="auto" w:before="1666" w:after="0"/>
        <w:ind w:left="2592" w:right="2448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Department of Mechanical Engineering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University of Hong Kong</w:t>
      </w:r>
    </w:p>
    <w:p>
      <w:pPr>
        <w:autoSpaceDN w:val="0"/>
        <w:autoSpaceDE w:val="0"/>
        <w:widowControl/>
        <w:spacing w:line="245" w:lineRule="auto" w:before="1354" w:after="1102"/>
        <w:ind w:left="432" w:right="432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dissertation submitted in partial fulfillment of the requirements for the Degree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Master of Science in Mechanical Engineering at the University of Hong Kong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513"/>
        <w:gridCol w:w="4513"/>
      </w:tblGrid>
      <w:tr>
        <w:trPr>
          <w:trHeight w:hRule="exact" w:val="692"/>
        </w:trPr>
        <w:tc>
          <w:tcPr>
            <w:tcW w:type="dxa" w:w="3654"/>
            <w:tcBorders>
              <w:start w:sz="8.0" w:val="single" w:color="#000000"/>
              <w:top w:sz="8.0" w:val="single" w:color="#000000"/>
              <w:end w:sz="8.0" w:val="single" w:color="#000000"/>
              <w:bottom w:sz="7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Student Name: </w:t>
            </w:r>
          </w:p>
        </w:tc>
        <w:tc>
          <w:tcPr>
            <w:tcW w:type="dxa" w:w="5178"/>
            <w:tcBorders>
              <w:start w:sz="8.0" w:val="single" w:color="#000000"/>
              <w:top w:sz="8.0" w:val="single" w:color="#000000"/>
              <w:end w:sz="8.0" w:val="single" w:color="#000000"/>
              <w:bottom w:sz="7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 XU Jiamin </w:t>
            </w:r>
          </w:p>
        </w:tc>
      </w:tr>
      <w:tr>
        <w:trPr>
          <w:trHeight w:hRule="exact" w:val="692"/>
        </w:trPr>
        <w:tc>
          <w:tcPr>
            <w:tcW w:type="dxa" w:w="3654"/>
            <w:tcBorders>
              <w:start w:sz="8.0" w:val="single" w:color="#000000"/>
              <w:top w:sz="7.200000000000273" w:val="single" w:color="#000000"/>
              <w:end w:sz="8.0" w:val="single" w:color="#000000"/>
              <w:bottom w:sz="7.20000000000072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University No.: </w:t>
            </w:r>
          </w:p>
        </w:tc>
        <w:tc>
          <w:tcPr>
            <w:tcW w:type="dxa" w:w="5178"/>
            <w:tcBorders>
              <w:start w:sz="8.0" w:val="single" w:color="#000000"/>
              <w:top w:sz="7.200000000000273" w:val="single" w:color="#000000"/>
              <w:end w:sz="8.0" w:val="single" w:color="#000000"/>
              <w:bottom w:sz="7.20000000000072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 3036316455 </w:t>
            </w:r>
          </w:p>
        </w:tc>
      </w:tr>
      <w:tr>
        <w:trPr>
          <w:trHeight w:hRule="exact" w:val="692"/>
        </w:trPr>
        <w:tc>
          <w:tcPr>
            <w:tcW w:type="dxa" w:w="3654"/>
            <w:tcBorders>
              <w:start w:sz="8.0" w:val="single" w:color="#000000"/>
              <w:top w:sz="7.200000000000728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Supervisor: </w:t>
            </w:r>
          </w:p>
        </w:tc>
        <w:tc>
          <w:tcPr>
            <w:tcW w:type="dxa" w:w="5178"/>
            <w:tcBorders>
              <w:start w:sz="8.0" w:val="single" w:color="#000000"/>
              <w:top w:sz="7.200000000000728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 WEN Tongqi </w:t>
            </w:r>
          </w:p>
        </w:tc>
      </w:tr>
      <w:tr>
        <w:trPr>
          <w:trHeight w:hRule="exact" w:val="1340"/>
        </w:trPr>
        <w:tc>
          <w:tcPr>
            <w:tcW w:type="dxa" w:w="3654"/>
            <w:tcBorders>
              <w:start w:sz="8.0" w:val="single" w:color="#000000"/>
              <w:top w:sz="8.0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Moderator or Co-supervisor: </w:t>
            </w:r>
          </w:p>
        </w:tc>
        <w:tc>
          <w:tcPr>
            <w:tcW w:type="dxa" w:w="5178"/>
            <w:tcBorders>
              <w:start w:sz="8.0" w:val="single" w:color="#000000"/>
              <w:top w:sz="8.0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92"/>
        </w:trPr>
        <w:tc>
          <w:tcPr>
            <w:tcW w:type="dxa" w:w="3654"/>
            <w:tcBorders>
              <w:start w:sz="8.0" w:val="single" w:color="#000000"/>
              <w:top w:sz="7.199999999999818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Date: </w:t>
            </w:r>
          </w:p>
        </w:tc>
        <w:tc>
          <w:tcPr>
            <w:tcW w:type="dxa" w:w="5178"/>
            <w:tcBorders>
              <w:start w:sz="8.0" w:val="single" w:color="#000000"/>
              <w:top w:sz="7.199999999999818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2025/4/30 </w:t>
            </w:r>
          </w:p>
        </w:tc>
      </w:tr>
    </w:tbl>
    <w:p>
      <w:pPr>
        <w:autoSpaceDN w:val="0"/>
        <w:autoSpaceDE w:val="0"/>
        <w:widowControl/>
        <w:spacing w:line="230" w:lineRule="auto" w:before="231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 </w:t>
      </w:r>
    </w:p>
    <w:p>
      <w:pPr>
        <w:sectPr>
          <w:pgSz w:w="11906" w:h="16838"/>
          <w:pgMar w:top="724" w:right="1440" w:bottom="4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1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ABSTRACT </w:t>
      </w:r>
    </w:p>
    <w:p>
      <w:pPr>
        <w:autoSpaceDN w:val="0"/>
        <w:autoSpaceDE w:val="0"/>
        <w:widowControl/>
        <w:spacing w:line="425" w:lineRule="auto" w:before="308" w:after="0"/>
        <w:ind w:left="544" w:right="4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While large language models (LLMs) have demonstrated impressive capabilities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general-domain natural language processing (NPL), their application to specialized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technical fields such as materials science remains challenging. Conventional LLM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architectures face significant limitations in processing domain-specific data structures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technical content, primarily due to their dependence on static training datasets that often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result in outdated or inaccurate outputs. Recent advances in Retrieval-Augmented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Generation (RAG) and AI agent present a transformative approach to address these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constraints. This dissertation introduces an innovative framework that integrates RAG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technology with LLMs to significantly enhance their performance in materials simulation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tasks, overcoming both knowledge gap and output reliability challenges that have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traditionally hindered their effective application in this domain. </w:t>
      </w:r>
    </w:p>
    <w:p>
      <w:pPr>
        <w:autoSpaceDN w:val="0"/>
        <w:autoSpaceDE w:val="0"/>
        <w:widowControl/>
        <w:spacing w:line="427" w:lineRule="auto" w:before="386" w:after="0"/>
        <w:ind w:left="544" w:right="4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 this dissertation, we first evaluate performance of several mainstream LLMs, including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general-purpose models and domain-specific models, on code-based and doc-based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datasets related to Pymatgen. According to the overall results, we select two representative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models to be enhanced by RAG with output validation function and re-evaluate them 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same datasets. This new RAG-enhanced architecture strengthens the capability of LLMs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materials simulation domain from two aspects: (1) Bridge the knowledge gap between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LLMs inherent database and the specialized materials simulation applications by RAG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augmentation; (2) Standardize the LLMs outputs by strict format verification. This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approach establishes a foundation for developing more powerful LLM-based solutions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materials simulation. Furthermore, this modular framework shows great potential for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broader scientific applications, as its adaptable design can be easily extended to other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technical domains beyond materials simulation. All the scripts are developed based 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Python in this dissertation. </w:t>
      </w:r>
    </w:p>
    <w:p>
      <w:pPr>
        <w:autoSpaceDN w:val="0"/>
        <w:autoSpaceDE w:val="0"/>
        <w:widowControl/>
        <w:spacing w:line="338" w:lineRule="auto" w:before="1012" w:after="0"/>
        <w:ind w:left="544" w:right="432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Keywords: Large Language Model, Retrieval-Augmented Generation, AI agent, </w:t>
      </w:r>
      <w:r>
        <w:rPr>
          <w:rFonts w:ascii="TimesNewRomanPS" w:hAnsi="TimesNewRomanPS" w:eastAsia="TimesNewRomanPS"/>
          <w:b/>
          <w:i w:val="0"/>
          <w:color w:val="000000"/>
          <w:sz w:val="22"/>
        </w:rPr>
        <w:t>materials simulation</w:t>
      </w:r>
    </w:p>
    <w:p>
      <w:pPr>
        <w:sectPr>
          <w:pgSz w:w="11906" w:h="16838"/>
          <w:pgMar w:top="930" w:right="1440" w:bottom="73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76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DECLARATION </w:t>
      </w:r>
    </w:p>
    <w:p>
      <w:pPr>
        <w:autoSpaceDN w:val="0"/>
        <w:autoSpaceDE w:val="0"/>
        <w:widowControl/>
        <w:spacing w:line="391" w:lineRule="auto" w:before="2820" w:after="0"/>
        <w:ind w:left="544" w:right="4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 hereby declare that this dissertation represents my own work, except where due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acknowledge is made, and that it has not been previously included in a thesis, dissertation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or report submitted to this university or to any other institution for a degree, diploma 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other qualifications. </w:t>
      </w:r>
    </w:p>
    <w:p>
      <w:pPr>
        <w:autoSpaceDN w:val="0"/>
        <w:autoSpaceDE w:val="0"/>
        <w:widowControl/>
        <w:spacing w:line="240" w:lineRule="auto" w:before="2040" w:after="0"/>
        <w:ind w:left="0" w:right="25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Signed: </w:t>
      </w:r>
      <w:r>
        <w:drawing>
          <wp:inline xmlns:a="http://schemas.openxmlformats.org/drawingml/2006/main" xmlns:pic="http://schemas.openxmlformats.org/drawingml/2006/picture">
            <wp:extent cx="1729740" cy="50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9740" cy="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56" w:after="0"/>
        <w:ind w:left="0" w:right="176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Date: April 30, 2025 </w:t>
      </w:r>
    </w:p>
    <w:p>
      <w:pPr>
        <w:sectPr>
          <w:pgSz w:w="11906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ACKNOWLEDGMENTS </w:t>
      </w:r>
    </w:p>
    <w:p>
      <w:pPr>
        <w:autoSpaceDN w:val="0"/>
        <w:autoSpaceDE w:val="0"/>
        <w:widowControl/>
        <w:spacing w:line="408" w:lineRule="auto" w:before="936" w:after="0"/>
        <w:ind w:left="544" w:right="4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First and foremost, I would like to express my deepest gratitude to my supervisor, Dr.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Tongqi Wen, whose expert guidance and encouragement were significant in the completion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of this dissertation. When I initially selected this research topic, applying LLMs to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materials science represented a completely unfamiliar field for me, as my previous work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had focused exclusively on integrated circuits. It was Dr. Wen who inspired me to explore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this challenging domain and provided continuous support throughout the research process. </w:t>
      </w:r>
    </w:p>
    <w:p>
      <w:pPr>
        <w:autoSpaceDN w:val="0"/>
        <w:autoSpaceDE w:val="0"/>
        <w:widowControl/>
        <w:spacing w:line="391" w:lineRule="auto" w:before="386" w:after="0"/>
        <w:ind w:left="546" w:right="4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 am also particularly grateful to Mr. Siyu Liu for generously sharing his expertise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offering invaluable technical assistance. His patience in repeatedly explaining fundamental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concepts played a crucial role in my academic development. This dissertation would not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have been possible without their exceptional support. </w:t>
      </w:r>
    </w:p>
    <w:p>
      <w:pPr>
        <w:autoSpaceDN w:val="0"/>
        <w:autoSpaceDE w:val="0"/>
        <w:widowControl/>
        <w:spacing w:line="338" w:lineRule="auto" w:before="384" w:after="0"/>
        <w:ind w:left="546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Thanks to my parents and friends for their accompany during my studies in HKU. I’ll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forever cherish the memory in this journey.</w:t>
      </w:r>
    </w:p>
    <w:p>
      <w:pPr>
        <w:sectPr>
          <w:pgSz w:w="11906" w:h="16838"/>
          <w:pgMar w:top="87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3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23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iv </w:t>
            </w:r>
          </w:p>
        </w:tc>
      </w:tr>
    </w:tbl>
    <w:p>
      <w:pPr>
        <w:autoSpaceDN w:val="0"/>
        <w:autoSpaceDE w:val="0"/>
        <w:widowControl/>
        <w:spacing w:line="230" w:lineRule="auto" w:before="624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TABLE OF CONTENTS </w:t>
      </w:r>
    </w:p>
    <w:p>
      <w:pPr>
        <w:autoSpaceDN w:val="0"/>
        <w:autoSpaceDE w:val="0"/>
        <w:widowControl/>
        <w:spacing w:line="230" w:lineRule="auto" w:before="27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0"/>
        </w:rPr>
        <w:t xml:space="preserve">ABSTRACT...................................................................................................................................... </w:t>
      </w:r>
      <w:r>
        <w:rPr>
          <w:rFonts w:ascii="TimesNewRomanPS" w:hAnsi="TimesNewRomanPS" w:eastAsia="TimesNewRomanPS"/>
          <w:b/>
          <w:i w:val="0"/>
          <w:color w:val="000000"/>
          <w:sz w:val="20"/>
        </w:rPr>
        <w:t>I</w:t>
      </w:r>
    </w:p>
    <w:p>
      <w:pPr>
        <w:autoSpaceDN w:val="0"/>
        <w:autoSpaceDE w:val="0"/>
        <w:widowControl/>
        <w:spacing w:line="230" w:lineRule="auto" w:before="1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0"/>
        </w:rPr>
        <w:t>DECLARATION ........................................................................................................................... II</w:t>
      </w:r>
    </w:p>
    <w:p>
      <w:pPr>
        <w:autoSpaceDN w:val="0"/>
        <w:autoSpaceDE w:val="0"/>
        <w:widowControl/>
        <w:spacing w:line="230" w:lineRule="auto" w:before="1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0"/>
        </w:rPr>
        <w:t>ACKNOWLEDGMENTS ............................................................................................................III</w:t>
      </w:r>
    </w:p>
    <w:p>
      <w:pPr>
        <w:autoSpaceDN w:val="0"/>
        <w:autoSpaceDE w:val="0"/>
        <w:widowControl/>
        <w:spacing w:line="230" w:lineRule="auto" w:before="1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0"/>
        </w:rPr>
        <w:t xml:space="preserve">TABLE OF CONTENTS ............................................................................................................. </w:t>
      </w:r>
      <w:r>
        <w:rPr>
          <w:rFonts w:ascii="TimesNewRomanPS" w:hAnsi="TimesNewRomanPS" w:eastAsia="TimesNewRomanPS"/>
          <w:b/>
          <w:i w:val="0"/>
          <w:color w:val="000000"/>
          <w:sz w:val="20"/>
        </w:rPr>
        <w:t>IV</w:t>
      </w:r>
    </w:p>
    <w:p>
      <w:pPr>
        <w:autoSpaceDN w:val="0"/>
        <w:tabs>
          <w:tab w:pos="944" w:val="left"/>
        </w:tabs>
        <w:autoSpaceDE w:val="0"/>
        <w:widowControl/>
        <w:spacing w:line="230" w:lineRule="auto" w:before="168" w:after="0"/>
        <w:ind w:left="54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0"/>
        </w:rPr>
        <w:t xml:space="preserve">1 </w:t>
      </w: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0"/>
        </w:rPr>
        <w:t>INTRODUCTION .................................................................................................................. 1</w:t>
      </w:r>
    </w:p>
    <w:p>
      <w:pPr>
        <w:autoSpaceDN w:val="0"/>
        <w:tabs>
          <w:tab w:pos="1424" w:val="left"/>
        </w:tabs>
        <w:autoSpaceDE w:val="0"/>
        <w:widowControl/>
        <w:spacing w:line="230" w:lineRule="auto" w:before="168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1.1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Research Background and Motivation ............................................................................ 1</w:t>
      </w:r>
    </w:p>
    <w:p>
      <w:pPr>
        <w:autoSpaceDN w:val="0"/>
        <w:tabs>
          <w:tab w:pos="1424" w:val="left"/>
        </w:tabs>
        <w:autoSpaceDE w:val="0"/>
        <w:widowControl/>
        <w:spacing w:line="230" w:lineRule="auto" w:before="168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1.2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Literature Review ............................................................................................................ 1</w:t>
      </w:r>
    </w:p>
    <w:p>
      <w:pPr>
        <w:autoSpaceDN w:val="0"/>
        <w:tabs>
          <w:tab w:pos="2302" w:val="left"/>
        </w:tabs>
        <w:autoSpaceDE w:val="0"/>
        <w:widowControl/>
        <w:spacing w:line="233" w:lineRule="auto" w:before="150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1.2.1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AI Agent based on Large Language Model ........................................ 1 </w:t>
      </w:r>
    </w:p>
    <w:p>
      <w:pPr>
        <w:autoSpaceDN w:val="0"/>
        <w:tabs>
          <w:tab w:pos="2302" w:val="left"/>
        </w:tabs>
        <w:autoSpaceDE w:val="0"/>
        <w:widowControl/>
        <w:spacing w:line="233" w:lineRule="auto" w:before="130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1.2.2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AI for Materials Science ..................................................................... 2 </w:t>
      </w:r>
    </w:p>
    <w:p>
      <w:pPr>
        <w:autoSpaceDN w:val="0"/>
        <w:tabs>
          <w:tab w:pos="2304" w:val="left"/>
        </w:tabs>
        <w:autoSpaceDE w:val="0"/>
        <w:widowControl/>
        <w:spacing w:line="230" w:lineRule="auto" w:before="132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1.2.3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Retrieval-Augmented Generation ....................................................... 3 </w:t>
      </w:r>
    </w:p>
    <w:p>
      <w:pPr>
        <w:autoSpaceDN w:val="0"/>
        <w:tabs>
          <w:tab w:pos="1424" w:val="left"/>
          <w:tab w:pos="3500" w:val="left"/>
        </w:tabs>
        <w:autoSpaceDE w:val="0"/>
        <w:widowControl/>
        <w:spacing w:line="230" w:lineRule="auto" w:before="150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1.3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Dissertation Organization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................................................................................................ 5</w:t>
      </w:r>
    </w:p>
    <w:p>
      <w:pPr>
        <w:autoSpaceDN w:val="0"/>
        <w:tabs>
          <w:tab w:pos="944" w:val="left"/>
          <w:tab w:pos="3952" w:val="left"/>
        </w:tabs>
        <w:autoSpaceDE w:val="0"/>
        <w:widowControl/>
        <w:spacing w:line="230" w:lineRule="auto" w:before="168" w:after="0"/>
        <w:ind w:left="54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0"/>
        </w:rPr>
        <w:t xml:space="preserve">2 </w:t>
      </w: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0"/>
        </w:rPr>
        <w:t xml:space="preserve">THEORETICAL BACKGROUND </w:t>
      </w:r>
      <w:r>
        <w:rPr>
          <w:rFonts w:ascii="TimesNewRomanPS" w:hAnsi="TimesNewRomanPS" w:eastAsia="TimesNewRomanPS"/>
          <w:b/>
          <w:i w:val="0"/>
          <w:color w:val="000000"/>
          <w:sz w:val="20"/>
        </w:rPr>
        <w:t>....................................................................................... 6</w:t>
      </w:r>
    </w:p>
    <w:p>
      <w:pPr>
        <w:autoSpaceDN w:val="0"/>
        <w:tabs>
          <w:tab w:pos="1424" w:val="left"/>
          <w:tab w:pos="4810" w:val="left"/>
        </w:tabs>
        <w:autoSpaceDE w:val="0"/>
        <w:widowControl/>
        <w:spacing w:line="230" w:lineRule="auto" w:before="168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2.1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Core Principles of Large Language Model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...................................................................... 6</w:t>
      </w:r>
    </w:p>
    <w:p>
      <w:pPr>
        <w:autoSpaceDN w:val="0"/>
        <w:tabs>
          <w:tab w:pos="2302" w:val="left"/>
          <w:tab w:pos="4576" w:val="left"/>
        </w:tabs>
        <w:autoSpaceDE w:val="0"/>
        <w:widowControl/>
        <w:spacing w:line="230" w:lineRule="auto" w:before="150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2.1.1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Transformer Architecture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.................................................................... 6 </w:t>
      </w:r>
    </w:p>
    <w:p>
      <w:pPr>
        <w:autoSpaceDN w:val="0"/>
        <w:tabs>
          <w:tab w:pos="2304" w:val="left"/>
        </w:tabs>
        <w:autoSpaceDE w:val="0"/>
        <w:widowControl/>
        <w:spacing w:line="233" w:lineRule="auto" w:before="132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2.1.2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Softmax function ................................................................................. 8 </w:t>
      </w:r>
    </w:p>
    <w:p>
      <w:pPr>
        <w:autoSpaceDN w:val="0"/>
        <w:tabs>
          <w:tab w:pos="1424" w:val="left"/>
          <w:tab w:pos="5464" w:val="left"/>
        </w:tabs>
        <w:autoSpaceDE w:val="0"/>
        <w:widowControl/>
        <w:spacing w:line="230" w:lineRule="auto" w:before="148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2.2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Large Language Model Based Autonomous Agent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....................................................... 10</w:t>
      </w:r>
    </w:p>
    <w:p>
      <w:pPr>
        <w:autoSpaceDN w:val="0"/>
        <w:tabs>
          <w:tab w:pos="2302" w:val="left"/>
        </w:tabs>
        <w:autoSpaceDE w:val="0"/>
        <w:widowControl/>
        <w:spacing w:line="233" w:lineRule="auto" w:before="150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2.2.1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Agent architecture ............................................................................. 10 </w:t>
      </w:r>
    </w:p>
    <w:p>
      <w:pPr>
        <w:autoSpaceDN w:val="0"/>
        <w:tabs>
          <w:tab w:pos="1424" w:val="left"/>
          <w:tab w:pos="4104" w:val="left"/>
        </w:tabs>
        <w:autoSpaceDE w:val="0"/>
        <w:widowControl/>
        <w:spacing w:line="228" w:lineRule="auto" w:before="150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2.3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Retrieval-Augmented Generation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.................................................................................. 12</w:t>
      </w:r>
    </w:p>
    <w:p>
      <w:pPr>
        <w:autoSpaceDN w:val="0"/>
        <w:tabs>
          <w:tab w:pos="2302" w:val="left"/>
          <w:tab w:pos="5792" w:val="left"/>
        </w:tabs>
        <w:autoSpaceDE w:val="0"/>
        <w:widowControl/>
        <w:spacing w:line="233" w:lineRule="auto" w:before="150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2.3.1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Basic Retrieval-Augmented Generation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............................................ 12 </w:t>
      </w:r>
    </w:p>
    <w:p>
      <w:pPr>
        <w:autoSpaceDN w:val="0"/>
        <w:tabs>
          <w:tab w:pos="2302" w:val="left"/>
        </w:tabs>
        <w:autoSpaceDE w:val="0"/>
        <w:widowControl/>
        <w:spacing w:line="230" w:lineRule="auto" w:before="132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2.3.2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Revolution of Retrieval-Augmentation Generation .......................... 13 </w:t>
      </w:r>
    </w:p>
    <w:p>
      <w:pPr>
        <w:autoSpaceDN w:val="0"/>
        <w:tabs>
          <w:tab w:pos="944" w:val="left"/>
        </w:tabs>
        <w:autoSpaceDE w:val="0"/>
        <w:widowControl/>
        <w:spacing w:line="230" w:lineRule="auto" w:before="150" w:after="0"/>
        <w:ind w:left="54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0"/>
        </w:rPr>
        <w:t xml:space="preserve">3 </w:t>
      </w: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0"/>
        </w:rPr>
        <w:t>INDIVIDUAL LLM PERFORMANCE ............................................................................. 15</w:t>
      </w:r>
    </w:p>
    <w:p>
      <w:pPr>
        <w:autoSpaceDN w:val="0"/>
        <w:tabs>
          <w:tab w:pos="1424" w:val="left"/>
        </w:tabs>
        <w:autoSpaceDE w:val="0"/>
        <w:widowControl/>
        <w:spacing w:line="230" w:lineRule="auto" w:before="168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3.1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Datasets Construction and LLMs Selection .................................................................. 15</w:t>
      </w:r>
    </w:p>
    <w:p>
      <w:pPr>
        <w:autoSpaceDN w:val="0"/>
        <w:tabs>
          <w:tab w:pos="2302" w:val="left"/>
          <w:tab w:pos="5680" w:val="left"/>
        </w:tabs>
        <w:autoSpaceDE w:val="0"/>
        <w:widowControl/>
        <w:spacing w:line="230" w:lineRule="auto" w:before="150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3.1.1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Pymatgen-based Dataset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.............................................. 15 </w:t>
      </w:r>
    </w:p>
    <w:p>
      <w:pPr>
        <w:autoSpaceDN w:val="0"/>
        <w:tabs>
          <w:tab w:pos="2302" w:val="left"/>
        </w:tabs>
        <w:autoSpaceDE w:val="0"/>
        <w:widowControl/>
        <w:spacing w:line="233" w:lineRule="auto" w:before="132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3.1.2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Large Language Models Selection .................................................... 16 </w:t>
      </w:r>
    </w:p>
    <w:p>
      <w:pPr>
        <w:autoSpaceDN w:val="0"/>
        <w:tabs>
          <w:tab w:pos="1424" w:val="left"/>
        </w:tabs>
        <w:autoSpaceDE w:val="0"/>
        <w:widowControl/>
        <w:spacing w:line="230" w:lineRule="auto" w:before="148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3.2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Performance Evaluation ................................................................................................ 17</w:t>
      </w:r>
    </w:p>
    <w:p>
      <w:pPr>
        <w:autoSpaceDN w:val="0"/>
        <w:tabs>
          <w:tab w:pos="2302" w:val="left"/>
        </w:tabs>
        <w:autoSpaceDE w:val="0"/>
        <w:widowControl/>
        <w:spacing w:line="233" w:lineRule="auto" w:before="150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3.2.1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Overall Performance Evaluation ....................................................... 17 </w:t>
      </w:r>
    </w:p>
    <w:p>
      <w:pPr>
        <w:autoSpaceDN w:val="0"/>
        <w:tabs>
          <w:tab w:pos="2302" w:val="left"/>
          <w:tab w:pos="5626" w:val="left"/>
        </w:tabs>
        <w:autoSpaceDE w:val="0"/>
        <w:widowControl/>
        <w:spacing w:line="233" w:lineRule="auto" w:before="130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3.2.2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Code-based Task vs. Doc-based Task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............................................... 20 </w:t>
      </w:r>
    </w:p>
    <w:p>
      <w:pPr>
        <w:autoSpaceDN w:val="0"/>
        <w:tabs>
          <w:tab w:pos="2302" w:val="left"/>
          <w:tab w:pos="5902" w:val="left"/>
        </w:tabs>
        <w:autoSpaceDE w:val="0"/>
        <w:widowControl/>
        <w:spacing w:line="230" w:lineRule="auto" w:before="132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3.2.3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Model-Scale vs. Performance Trade-offs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.......................................... 21 </w:t>
      </w:r>
    </w:p>
    <w:p>
      <w:pPr>
        <w:autoSpaceDN w:val="0"/>
        <w:tabs>
          <w:tab w:pos="1424" w:val="left"/>
        </w:tabs>
        <w:autoSpaceDE w:val="0"/>
        <w:widowControl/>
        <w:spacing w:line="230" w:lineRule="auto" w:before="150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3.3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Error Analysis Error Analysis ....................................................................................... 21</w:t>
      </w:r>
    </w:p>
    <w:p>
      <w:pPr>
        <w:autoSpaceDN w:val="0"/>
        <w:tabs>
          <w:tab w:pos="2302" w:val="left"/>
          <w:tab w:pos="4300" w:val="left"/>
        </w:tabs>
        <w:autoSpaceDE w:val="0"/>
        <w:widowControl/>
        <w:spacing w:line="230" w:lineRule="auto" w:before="150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3.3.1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General Error Patterns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....................................................................... 21 </w:t>
      </w:r>
    </w:p>
    <w:p>
      <w:pPr>
        <w:autoSpaceDN w:val="0"/>
        <w:tabs>
          <w:tab w:pos="2302" w:val="left"/>
          <w:tab w:pos="4742" w:val="left"/>
        </w:tabs>
        <w:autoSpaceDE w:val="0"/>
        <w:widowControl/>
        <w:spacing w:line="233" w:lineRule="auto" w:before="132" w:after="0"/>
        <w:ind w:left="14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3.3.2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Model-Specific Limitations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............................................................... 23 </w:t>
      </w:r>
    </w:p>
    <w:p>
      <w:pPr>
        <w:autoSpaceDN w:val="0"/>
        <w:tabs>
          <w:tab w:pos="1424" w:val="left"/>
        </w:tabs>
        <w:autoSpaceDE w:val="0"/>
        <w:widowControl/>
        <w:spacing w:line="230" w:lineRule="auto" w:before="148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3.4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Future Improvement Directions .................................................................................... 23</w:t>
      </w:r>
    </w:p>
    <w:p>
      <w:pPr>
        <w:autoSpaceDN w:val="0"/>
        <w:tabs>
          <w:tab w:pos="944" w:val="left"/>
        </w:tabs>
        <w:autoSpaceDE w:val="0"/>
        <w:widowControl/>
        <w:spacing w:line="230" w:lineRule="auto" w:before="168" w:after="0"/>
        <w:ind w:left="54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0"/>
        </w:rPr>
        <w:t xml:space="preserve">4 </w:t>
      </w: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0"/>
        </w:rPr>
        <w:t xml:space="preserve">AGENT/RAG ENHANCED LLMS FOR MATERIALS SIMULATION AGENT/RAG </w:t>
      </w:r>
    </w:p>
    <w:p>
      <w:pPr>
        <w:autoSpaceDN w:val="0"/>
        <w:autoSpaceDE w:val="0"/>
        <w:widowControl/>
        <w:spacing w:line="230" w:lineRule="auto" w:before="1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0"/>
        </w:rPr>
        <w:t xml:space="preserve">ENHANCED LLMS FOR MATERIALS SIMULATION </w:t>
      </w:r>
      <w:r>
        <w:rPr>
          <w:rFonts w:ascii="TimesNewRomanPS" w:hAnsi="TimesNewRomanPS" w:eastAsia="TimesNewRomanPS"/>
          <w:b/>
          <w:i w:val="0"/>
          <w:color w:val="000000"/>
          <w:sz w:val="20"/>
        </w:rPr>
        <w:t>........................................................ 25</w:t>
      </w:r>
    </w:p>
    <w:p>
      <w:pPr>
        <w:sectPr>
          <w:pgSz w:w="11906" w:h="16838"/>
          <w:pgMar w:top="430" w:right="1440" w:bottom="8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p>
      <w:pPr>
        <w:autoSpaceDN w:val="0"/>
        <w:tabs>
          <w:tab w:pos="3428" w:val="left"/>
          <w:tab w:pos="8390" w:val="left"/>
        </w:tabs>
        <w:autoSpaceDE w:val="0"/>
        <w:widowControl/>
        <w:spacing w:line="230" w:lineRule="auto" w:before="0" w:after="0"/>
        <w:ind w:left="54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Master's Dissertation (MSc)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University of Hong Kong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v </w:t>
      </w:r>
    </w:p>
    <w:p>
      <w:pPr>
        <w:autoSpaceDN w:val="0"/>
        <w:tabs>
          <w:tab w:pos="766" w:val="left"/>
          <w:tab w:pos="944" w:val="left"/>
          <w:tab w:pos="1424" w:val="left"/>
          <w:tab w:pos="2302" w:val="left"/>
          <w:tab w:pos="2304" w:val="left"/>
          <w:tab w:pos="4190" w:val="left"/>
          <w:tab w:pos="4246" w:val="left"/>
          <w:tab w:pos="4466" w:val="left"/>
          <w:tab w:pos="5018" w:val="left"/>
        </w:tabs>
        <w:autoSpaceDE w:val="0"/>
        <w:widowControl/>
        <w:spacing w:line="365" w:lineRule="auto" w:before="450" w:after="0"/>
        <w:ind w:left="54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4.1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Knowledge Base Construction ...................................................................................... 25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4.1.1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Vector Store Generation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.................................................................... 25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4.1.2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LLM Selection .................................................................................. 25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4.2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Enhanced RAG Workflow Architecture Enhanced RAG Workflow Architecture ....... 25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4.2.1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Components of RAG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......................................................................... 26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4.2.2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Overall workflow .............................................................................. 27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4.3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Performance Evaluation ................................................................................................ 28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4.3.1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Overall Evaluation ............................................................................ 28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4.3.2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Qwen2.5-7B-Instruct with/without RAG .......................................... 28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4.3.3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Darwin1_v2 with/without RAG ........................................................ 29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4.4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Discussion ..................................................................................................................... 29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4.4.1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Qwen2.5-7B-Instruct Analysis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.......................................................... 30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4.4.2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Darwin1_v2 Analysis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........................................................................ 30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4.5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Limitations and Future Improvement Directions .......................................................... 30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4.5.1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Current Limitations ........................................................................... 30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4.5.2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Future Improvements ........................................................................ 31 </w:t>
      </w:r>
      <w:r>
        <w:rPr>
          <w:rFonts w:ascii="TimesNewRomanPS" w:hAnsi="TimesNewRomanPS" w:eastAsia="TimesNewRomanPS"/>
          <w:b/>
          <w:i w:val="0"/>
          <w:color w:val="000000"/>
          <w:sz w:val="20"/>
        </w:rPr>
        <w:t xml:space="preserve">5 </w:t>
      </w:r>
      <w:r>
        <w:tab/>
      </w: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0"/>
        </w:rPr>
        <w:t xml:space="preserve">CONCLUSION ..................................................................................................................... 32 </w:t>
      </w:r>
      <w:r>
        <w:rPr>
          <w:rFonts w:ascii="TimesNewRomanPS" w:hAnsi="TimesNewRomanPS" w:eastAsia="TimesNewRomanPS"/>
          <w:b/>
          <w:i w:val="0"/>
          <w:color w:val="000000"/>
          <w:sz w:val="20"/>
        </w:rPr>
        <w:t>REFERENCES ............................................................................................................................. 34</w:t>
      </w:r>
    </w:p>
    <w:p>
      <w:pPr>
        <w:sectPr>
          <w:pgSz w:w="11906" w:h="16838"/>
          <w:pgMar w:top="43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23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1 </w:t>
            </w:r>
          </w:p>
        </w:tc>
      </w:tr>
    </w:tbl>
    <w:p>
      <w:pPr>
        <w:autoSpaceDN w:val="0"/>
        <w:autoSpaceDE w:val="0"/>
        <w:widowControl/>
        <w:spacing w:line="230" w:lineRule="auto" w:before="602" w:after="0"/>
        <w:ind w:left="54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1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INTRODUCTION </w:t>
      </w:r>
    </w:p>
    <w:p>
      <w:pPr>
        <w:autoSpaceDN w:val="0"/>
        <w:autoSpaceDE w:val="0"/>
        <w:widowControl/>
        <w:spacing w:line="230" w:lineRule="auto" w:before="434" w:after="0"/>
        <w:ind w:left="54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1.1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Research Background and Motivation </w:t>
      </w:r>
    </w:p>
    <w:p>
      <w:pPr>
        <w:autoSpaceDN w:val="0"/>
        <w:autoSpaceDE w:val="0"/>
        <w:widowControl/>
        <w:spacing w:line="420" w:lineRule="auto" w:before="268" w:after="0"/>
        <w:ind w:left="544" w:right="49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Materials simulation is a multi-scale challenge that demands a comprehensive approach –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one that involves retrieving relevant knowledge, applying advanced computational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methods, conducting experimental validations, and analyzing the results. Traditionally, this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process is very slow and restricted to human experts. Though deep surrogate models can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predict material properties from structural features, most current implementations are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application-specific, lacking the versatility to handle diverse knowledge domains 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unanticipated challenges. To overcome these limitations, AI agent powered by large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language models (LLMs) [1][2] and Retrieval-Augmented Generation (RAG) have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emerged as a promising solution. </w:t>
      </w:r>
    </w:p>
    <w:p>
      <w:pPr>
        <w:autoSpaceDN w:val="0"/>
        <w:autoSpaceDE w:val="0"/>
        <w:widowControl/>
        <w:spacing w:line="230" w:lineRule="auto" w:before="432" w:after="0"/>
        <w:ind w:left="54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1.2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Literature Review </w:t>
      </w:r>
    </w:p>
    <w:p>
      <w:pPr>
        <w:autoSpaceDN w:val="0"/>
        <w:autoSpaceDE w:val="0"/>
        <w:widowControl/>
        <w:spacing w:line="425" w:lineRule="auto" w:before="368" w:after="0"/>
        <w:ind w:left="54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1.2.1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AI Agent based on Large Language Model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 the past few years, large language models (LLMs) have attracted widespread attention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owing to their impressive capabilities across multiple domains [3][4][5], leading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researchers to construct AI agents base on LLM [6][7][8]. Specifically, they take LLM as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main component of the agent’s brain or central controller modules, and expand their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perception and action space through strategies such as multimodal perception and tool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usage [9][10]. These LLM-based agents demonstrate significant reasoning and planning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capabilities through chain-of-thought and problem decomposition techniques. Unlike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reinforcement learning approaches, LLM-based agents offer natural language interfaces for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human interaction, enhancing flexibility and explainability.  Furthermore, they can learn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from feedback and dynamically execute new actions to interact with external environments.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Pre-trained on massive corpora, LLMs have demonstrated few-shot and zero-shot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generalization capabilities, enabling them to handle diverse tasks without parameter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updates [11][12][13]. </w:t>
      </w:r>
    </w:p>
    <w:p>
      <w:pPr>
        <w:sectPr>
          <w:pgSz w:w="11906" w:h="16838"/>
          <w:pgMar w:top="502" w:right="1440" w:bottom="110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23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2 </w:t>
            </w:r>
          </w:p>
        </w:tc>
      </w:tr>
    </w:tbl>
    <w:p>
      <w:pPr>
        <w:autoSpaceDN w:val="0"/>
        <w:autoSpaceDE w:val="0"/>
        <w:widowControl/>
        <w:spacing w:line="240" w:lineRule="auto" w:before="200" w:after="0"/>
        <w:ind w:left="5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274310" cy="23152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354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Figure 1.1 Visualization of the expansion trends of LLM-based autonomous agents [14]. </w:t>
      </w:r>
    </w:p>
    <w:p>
      <w:pPr>
        <w:autoSpaceDN w:val="0"/>
        <w:autoSpaceDE w:val="0"/>
        <w:widowControl/>
        <w:spacing w:line="415" w:lineRule="auto" w:before="408" w:after="0"/>
        <w:ind w:left="544" w:right="49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As shown in Figure 1.1, researchers have developed numerous promising models along this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direction. The core concept involves equipping LLMs with human-like capabilities such as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memory and planning, enabling them to perform tasks effectively while imitating human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behavior. LLM-based agents have already been deployed in numerous real-world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applications, including social science, natural science and engineering. For example,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ChatEDA is designed as an EDA (Electronic Design Automation) agent to enhance design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processes through integrated task planning, execution and script generation [15]. </w:t>
      </w:r>
    </w:p>
    <w:p>
      <w:pPr>
        <w:autoSpaceDN w:val="0"/>
        <w:autoSpaceDE w:val="0"/>
        <w:widowControl/>
        <w:spacing w:line="422" w:lineRule="auto" w:before="364" w:after="0"/>
        <w:ind w:left="54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1.2.2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AI for Materials Science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Artificial Intelligence (AI), including machine learning (ML), deep learning (DL),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large language models (LLMs) has become a essential screening tool for materials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scientists across diverse applications, such as energy materials, semiconductors, polymer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design, catalysts and high-entropy alloys. A significant trend that shifting from single-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dataset processing for specific goals to learning latent representations of underlying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structures has emerged. These representations can be fine-tuned for specialized tasks for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insurance, predicting energetically stable configurations across multiple datasets [16].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Especially in biomaterials and organic materials [17], notable advances have been made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using such methods. This success stems from organic molecules’ simple structural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representations coupled with the availability of extensive, reliable datasets [18]. However,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inorganic materials pose greater complexity for AI applications due to their multiple </w:t>
      </w:r>
    </w:p>
    <w:p>
      <w:pPr>
        <w:sectPr>
          <w:pgSz w:w="11906" w:h="16838"/>
          <w:pgMar w:top="502" w:right="1440" w:bottom="9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23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3 </w:t>
            </w:r>
          </w:p>
        </w:tc>
      </w:tr>
    </w:tbl>
    <w:p>
      <w:pPr>
        <w:autoSpaceDN w:val="0"/>
        <w:autoSpaceDE w:val="0"/>
        <w:widowControl/>
        <w:spacing w:line="338" w:lineRule="auto" w:before="276" w:after="0"/>
        <w:ind w:left="54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properties, particularly when their compositional space includes over four different element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types, impeding the discovery and design of new materials in this field. </w:t>
      </w:r>
    </w:p>
    <w:p>
      <w:pPr>
        <w:autoSpaceDN w:val="0"/>
        <w:autoSpaceDE w:val="0"/>
        <w:widowControl/>
        <w:spacing w:line="374" w:lineRule="auto" w:before="384" w:after="0"/>
        <w:ind w:left="544" w:right="4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Current AI applications in materials science predominantly employ conventional machine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learning and deep learning approaches, while the utilization of large language models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remains an emerging research area requiring further development. </w:t>
      </w:r>
    </w:p>
    <w:p>
      <w:pPr>
        <w:autoSpaceDN w:val="0"/>
        <w:autoSpaceDE w:val="0"/>
        <w:widowControl/>
        <w:spacing w:line="230" w:lineRule="auto" w:before="364" w:after="0"/>
        <w:ind w:left="54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1.2.3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Retrieval-Augmented Generation </w:t>
      </w:r>
    </w:p>
    <w:p>
      <w:pPr>
        <w:autoSpaceDN w:val="0"/>
        <w:autoSpaceDE w:val="0"/>
        <w:widowControl/>
        <w:spacing w:line="240" w:lineRule="auto" w:before="90" w:after="0"/>
        <w:ind w:left="5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274310" cy="41465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6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314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Figure 1.2 An Overview of Agentic RAG [19] </w:t>
      </w:r>
    </w:p>
    <w:p>
      <w:pPr>
        <w:autoSpaceDN w:val="0"/>
        <w:autoSpaceDE w:val="0"/>
        <w:widowControl/>
        <w:spacing w:line="408" w:lineRule="auto" w:before="408" w:after="0"/>
        <w:ind w:left="544" w:right="4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Retrieval-Augmented Generation [20] (RAG) technique improves the reliability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accuracy of generated models by integrating knowledge from external data sources. This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technique combines traditional language models with external knowledge bases, and not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only enriches the generated content, but also ensures the relevance and timeliness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content by performing dynamic information retrieval before text generation. RAG systems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can be categorized into three types, depending on the stage of enhancement implementation: </w:t>
      </w:r>
    </w:p>
    <w:p>
      <w:pPr>
        <w:sectPr>
          <w:pgSz w:w="11906" w:h="16838"/>
          <w:pgMar w:top="502" w:right="1440" w:bottom="11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23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338" w:lineRule="auto" w:before="276" w:after="0"/>
        <w:ind w:left="54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enhancement in the pre-training stage, enhancement in the fine-tuning stage,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enhancement in the reasoning stage. </w:t>
      </w:r>
    </w:p>
    <w:p>
      <w:pPr>
        <w:autoSpaceDN w:val="0"/>
        <w:autoSpaceDE w:val="0"/>
        <w:widowControl/>
        <w:spacing w:line="425" w:lineRule="auto" w:before="384" w:after="0"/>
        <w:ind w:left="544" w:right="4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Research on RAG enhanced in the pre-training phase focuses on how to inject external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knowledge into the pre-trained model in order to improve the performance of the language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model. Guu et al [21] proposed the REALM model which realizes the explicit utilization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of the text corpus knowledge of the language model in the pre-training phase by introducing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 knowledge retriever. Borgeaud et al [22] designed the RETRO model which effectively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reduces the number of participants in the model by retrieving and encoding the document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fragments in the corpus, which effectively reduces the number of parameters of the model.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Wang et al [23] compared the RETRO model with the Generative Pre-trained Transformer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(GPT) [13], which is a converter-based model, and found that RETRO outperforms GPT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on knowledge-intensive tasks, and further developed the RETRO++ model to improve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performance of open-domain Q&amp;A tasks. </w:t>
      </w:r>
    </w:p>
    <w:p>
      <w:pPr>
        <w:autoSpaceDN w:val="0"/>
        <w:autoSpaceDE w:val="0"/>
        <w:widowControl/>
        <w:spacing w:line="418" w:lineRule="auto" w:before="384" w:after="0"/>
        <w:ind w:left="544" w:right="43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fine-tuning stage of enhanced RAGs strives to improve the quality of semantic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representations for better adaptation to specific application scenarios. Yu et al [24]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designed the augmented adaptive retriever ARR, which enhances the generalization ability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of retrieval by learning the language model preferences. Cheng et al [25] proposed a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universal cue retrieval model UPRISE, which automatically retrieves relevant cues for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zero-sample tasks and improves model multi-task environment. Li et al [26] proposed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SANTA, a dense structure-aware retrieval-based model, which optimizes code search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performance through structured data alignment and performs well in zero-sample scenarios. </w:t>
      </w:r>
    </w:p>
    <w:p>
      <w:pPr>
        <w:autoSpaceDN w:val="0"/>
        <w:autoSpaceDE w:val="0"/>
        <w:widowControl/>
        <w:spacing w:line="418" w:lineRule="auto" w:before="386" w:after="0"/>
        <w:ind w:left="432" w:right="432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enhanced RAG in the reasoning stage improves the accuracy of answer generation by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integrating richer contextual information. Guo et al [27] proposed the PGRA framework to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cope with non-knowledge intensive tasks. The framework first acquires candidate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knowledge using a general-purpose retriever, and then ranks the candidates based on task-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relevant cues and pre-trained models. Shao et al [28] proposed the ITER-RETGEN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approach, which strengthens the collaboration between retrieval and generation through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iterative optimization to enhance the relevance of the content and conserve the resource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consumption. Trivedi et al [29] proposed the IRCoT framework, which combines the steps </w:t>
      </w:r>
    </w:p>
    <w:p>
      <w:pPr>
        <w:sectPr>
          <w:pgSz w:w="11906" w:h="16838"/>
          <w:pgMar w:top="502" w:right="1440" w:bottom="73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23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5 </w:t>
            </w:r>
          </w:p>
        </w:tc>
      </w:tr>
    </w:tbl>
    <w:p>
      <w:pPr>
        <w:autoSpaceDN w:val="0"/>
        <w:autoSpaceDE w:val="0"/>
        <w:widowControl/>
        <w:spacing w:line="374" w:lineRule="auto" w:before="276" w:after="0"/>
        <w:ind w:left="544" w:right="4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of retrieval and Chain of Thought [30] (CoT), effectively reduces the generation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erroneous results by using Chain of Thought to guide retrieval and optimizing Chain of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Thought based on retrieval results. </w:t>
      </w:r>
    </w:p>
    <w:p>
      <w:pPr>
        <w:autoSpaceDN w:val="0"/>
        <w:autoSpaceDE w:val="0"/>
        <w:widowControl/>
        <w:spacing w:line="422" w:lineRule="auto" w:before="384" w:after="0"/>
        <w:ind w:left="54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With the rapid development of large language modeling technology, inference phase-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enhanced RAGs have gradually become mainstream and their development architectures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have been significantly advanced [31], especially frameworks such as LangChain,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LlamaIndex, and AutoGen, which provide a series of modular functions covering data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segmentation, import, vectorized storage, retrieval optimization, and answer generation.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integrated functional design greatly simplifies the construction process of the RAG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system pipeline and improves the development efficiency and system flexibility.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application of RAG in the field of materials science still needs to be improved in terms of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its effectiveness in content generation and data computation due to the limitations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complexity of the field and diversity of scenarios. </w:t>
      </w:r>
    </w:p>
    <w:p>
      <w:pPr>
        <w:autoSpaceDN w:val="0"/>
        <w:autoSpaceDE w:val="0"/>
        <w:widowControl/>
        <w:spacing w:line="230" w:lineRule="auto" w:before="432" w:after="0"/>
        <w:ind w:left="54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1.3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Dissertation Organization </w:t>
      </w:r>
    </w:p>
    <w:p>
      <w:pPr>
        <w:autoSpaceDN w:val="0"/>
        <w:autoSpaceDE w:val="0"/>
        <w:widowControl/>
        <w:spacing w:line="230" w:lineRule="auto" w:before="270" w:after="0"/>
        <w:ind w:left="54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This dissertation is organized into five chapters: </w:t>
      </w:r>
    </w:p>
    <w:p>
      <w:pPr>
        <w:autoSpaceDN w:val="0"/>
        <w:autoSpaceDE w:val="0"/>
        <w:widowControl/>
        <w:spacing w:line="420" w:lineRule="auto" w:before="386" w:after="0"/>
        <w:ind w:left="544" w:right="4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Chapter 1 establishes the background, research motivation and literature review, framing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research gaps in LLM-based agents for materials science. Chapter 2 presents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theoretical foundations, focusing on principles of LLM, RAG and autonomous agents, as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well as their relevance to materials simulation application. Chapter 3 introduces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generation process of Pymatgen-related datasets and evaluates individual LLM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performance on both code-based and doc-based tasks. Chapter 4 proposes an LLM-based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architecture with RAG enhancement, benchmarking its improvements over baseline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models. Finally, Chapter 5 synthesizes key findings, discusses limitations, and outlines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future directions for AI in materials simulation. </w:t>
      </w:r>
    </w:p>
    <w:p>
      <w:pPr>
        <w:sectPr>
          <w:pgSz w:w="11906" w:h="16838"/>
          <w:pgMar w:top="502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1549400</wp:posOffset>
            </wp:positionH>
            <wp:positionV relativeFrom="page">
              <wp:posOffset>5194300</wp:posOffset>
            </wp:positionV>
            <wp:extent cx="4445000" cy="40005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40005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6 </w:t>
            </w:r>
          </w:p>
        </w:tc>
      </w:tr>
    </w:tbl>
    <w:p>
      <w:pPr>
        <w:autoSpaceDN w:val="0"/>
        <w:autoSpaceDE w:val="0"/>
        <w:widowControl/>
        <w:spacing w:line="230" w:lineRule="auto" w:before="64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2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THEORETICAL BACKGROUND </w:t>
      </w:r>
    </w:p>
    <w:p>
      <w:pPr>
        <w:autoSpaceDN w:val="0"/>
        <w:autoSpaceDE w:val="0"/>
        <w:widowControl/>
        <w:spacing w:line="401" w:lineRule="auto" w:before="308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This chapter begins with an introduction to nonlinear functions that are widely used in deep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neural networks and explains the features of the Softmax function. Afterwards, it describes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improved algorithms that address the performance issues of the Softmax function. Finally, this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chapter compares several classical methods for computing nonlinear functions in preparation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for subsequent designs. </w:t>
      </w:r>
    </w:p>
    <w:p>
      <w:pPr>
        <w:autoSpaceDN w:val="0"/>
        <w:autoSpaceDE w:val="0"/>
        <w:widowControl/>
        <w:spacing w:line="230" w:lineRule="auto" w:before="432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2.1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Core Principles of Large Language Model </w:t>
      </w:r>
    </w:p>
    <w:p>
      <w:pPr>
        <w:autoSpaceDN w:val="0"/>
        <w:autoSpaceDE w:val="0"/>
        <w:widowControl/>
        <w:spacing w:line="391" w:lineRule="auto" w:before="268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Large language models have achieved great success in various domains during the past few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years. In this chapter, we will introduce the core principles of LLMs including the Transformer,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which is the model architecture on which LLMs are based, as well as the training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application paradigms of mainstream LLMs. </w:t>
      </w:r>
    </w:p>
    <w:p>
      <w:pPr>
        <w:autoSpaceDN w:val="0"/>
        <w:tabs>
          <w:tab w:pos="5344" w:val="left"/>
        </w:tabs>
        <w:autoSpaceDE w:val="0"/>
        <w:widowControl/>
        <w:spacing w:line="329" w:lineRule="auto" w:before="364" w:after="0"/>
        <w:ind w:left="360" w:right="259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2.1.1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Transformer Architecture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4"/>
        </w:rPr>
        <w:t>Output Distribution</w:t>
      </w:r>
    </w:p>
    <w:p>
      <w:pPr>
        <w:autoSpaceDN w:val="0"/>
        <w:autoSpaceDE w:val="0"/>
        <w:widowControl/>
        <w:spacing w:line="230" w:lineRule="auto" w:before="408" w:after="0"/>
        <w:ind w:left="0" w:right="291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14"/>
        </w:rPr>
        <w:t>Softmax</w:t>
      </w:r>
    </w:p>
    <w:p>
      <w:pPr>
        <w:autoSpaceDN w:val="0"/>
        <w:autoSpaceDE w:val="0"/>
        <w:widowControl/>
        <w:spacing w:line="230" w:lineRule="auto" w:before="504" w:after="0"/>
        <w:ind w:left="0" w:right="266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14"/>
        </w:rPr>
        <w:t>Linear Projection</w:t>
      </w:r>
    </w:p>
    <w:p>
      <w:pPr>
        <w:autoSpaceDN w:val="0"/>
        <w:autoSpaceDE w:val="0"/>
        <w:widowControl/>
        <w:spacing w:line="230" w:lineRule="auto" w:before="448" w:after="0"/>
        <w:ind w:left="0" w:right="217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14"/>
        </w:rPr>
        <w:t>Residual Connection &amp; LayerNorm</w:t>
      </w:r>
    </w:p>
    <w:p>
      <w:pPr>
        <w:autoSpaceDN w:val="0"/>
        <w:autoSpaceDE w:val="0"/>
        <w:widowControl/>
        <w:spacing w:line="230" w:lineRule="auto" w:before="362" w:after="0"/>
        <w:ind w:left="0" w:right="286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14"/>
        </w:rPr>
        <w:t>FFN/MLP</w:t>
      </w:r>
    </w:p>
    <w:p>
      <w:pPr>
        <w:autoSpaceDN w:val="0"/>
        <w:tabs>
          <w:tab w:pos="1652" w:val="left"/>
          <w:tab w:pos="2342" w:val="left"/>
          <w:tab w:pos="4898" w:val="left"/>
          <w:tab w:pos="5280" w:val="left"/>
          <w:tab w:pos="8126" w:val="left"/>
        </w:tabs>
        <w:autoSpaceDE w:val="0"/>
        <w:widowControl/>
        <w:spacing w:line="398" w:lineRule="auto" w:before="448" w:after="36"/>
        <w:ind w:left="810" w:right="72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4"/>
        </w:rPr>
        <w:t xml:space="preserve">Residual Connection &amp; LayerNorm </w:t>
      </w:r>
      <w:r>
        <w:rPr>
          <w:rFonts w:ascii="TimesNewRomanPSMT" w:hAnsi="TimesNewRomanPSMT" w:eastAsia="TimesNewRomanPSMT"/>
          <w:b w:val="0"/>
          <w:i w:val="0"/>
          <w:color w:val="000000"/>
          <w:sz w:val="14"/>
        </w:rPr>
        <w:t xml:space="preserve">Residual Connection &amp; LayerNorm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4"/>
        </w:rPr>
        <w:t xml:space="preserve">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4"/>
        </w:rPr>
        <w:t xml:space="preserve">FFN/MLP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4"/>
        </w:rPr>
        <w:t xml:space="preserve">Multi-Head Attention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14"/>
        </w:rPr>
        <w:t>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40.0" w:type="dxa"/>
      </w:tblPr>
      <w:tblGrid>
        <w:gridCol w:w="4513"/>
        <w:gridCol w:w="4513"/>
      </w:tblGrid>
      <w:tr>
        <w:trPr>
          <w:trHeight w:hRule="exact" w:val="2684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63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Residual Connection &amp; LayerNorm</w:t>
            </w:r>
          </w:p>
          <w:p>
            <w:pPr>
              <w:autoSpaceDN w:val="0"/>
              <w:autoSpaceDE w:val="0"/>
              <w:widowControl/>
              <w:spacing w:line="230" w:lineRule="auto" w:before="366" w:after="0"/>
              <w:ind w:left="0" w:right="102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Multi-Head Attention</w:t>
            </w:r>
          </w:p>
          <w:p>
            <w:pPr>
              <w:autoSpaceDN w:val="0"/>
              <w:autoSpaceDE w:val="0"/>
              <w:widowControl/>
              <w:spacing w:line="230" w:lineRule="auto" w:before="486" w:after="0"/>
              <w:ind w:left="7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 xml:space="preserve">Positional </w:t>
            </w:r>
          </w:p>
          <w:p>
            <w:pPr>
              <w:autoSpaceDN w:val="0"/>
              <w:autoSpaceDE w:val="0"/>
              <w:widowControl/>
              <w:spacing w:line="230" w:lineRule="auto" w:before="10" w:after="0"/>
              <w:ind w:left="7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Encoding</w:t>
            </w:r>
          </w:p>
          <w:p>
            <w:pPr>
              <w:autoSpaceDN w:val="0"/>
              <w:autoSpaceDE w:val="0"/>
              <w:widowControl/>
              <w:spacing w:line="230" w:lineRule="auto" w:before="250" w:after="0"/>
              <w:ind w:left="0" w:right="110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 xml:space="preserve">Input Embedding </w:t>
            </w:r>
          </w:p>
          <w:p>
            <w:pPr>
              <w:autoSpaceDN w:val="0"/>
              <w:autoSpaceDE w:val="0"/>
              <w:widowControl/>
              <w:spacing w:line="230" w:lineRule="auto" w:before="46" w:after="0"/>
              <w:ind w:left="0" w:right="146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Layer</w:t>
            </w:r>
          </w:p>
          <w:p>
            <w:pPr>
              <w:autoSpaceDN w:val="0"/>
              <w:autoSpaceDE w:val="0"/>
              <w:widowControl/>
              <w:spacing w:line="230" w:lineRule="auto" w:before="344" w:after="0"/>
              <w:ind w:left="0" w:right="147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Input</w:t>
            </w:r>
          </w:p>
        </w:tc>
        <w:tc>
          <w:tcPr>
            <w:tcW w:type="dxa" w:w="3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4" w:after="0"/>
              <w:ind w:left="65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Residual Connection &amp; LayerNorm</w:t>
            </w:r>
          </w:p>
          <w:p>
            <w:pPr>
              <w:autoSpaceDN w:val="0"/>
              <w:autoSpaceDE w:val="0"/>
              <w:widowControl/>
              <w:spacing w:line="266" w:lineRule="auto" w:before="248" w:after="0"/>
              <w:ind w:left="1008" w:right="144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 xml:space="preserve">Masked Multi-Head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Attention</w:t>
            </w:r>
          </w:p>
          <w:p>
            <w:pPr>
              <w:autoSpaceDN w:val="0"/>
              <w:autoSpaceDE w:val="0"/>
              <w:widowControl/>
              <w:spacing w:line="245" w:lineRule="auto" w:before="404" w:after="0"/>
              <w:ind w:left="2160" w:right="864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 xml:space="preserve">Positional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Encoding</w:t>
            </w:r>
          </w:p>
          <w:p>
            <w:pPr>
              <w:autoSpaceDN w:val="0"/>
              <w:autoSpaceDE w:val="0"/>
              <w:widowControl/>
              <w:spacing w:line="266" w:lineRule="auto" w:before="242" w:after="0"/>
              <w:ind w:left="1008" w:right="1584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 xml:space="preserve">Output Embedding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Layer</w:t>
            </w:r>
          </w:p>
          <w:p>
            <w:pPr>
              <w:autoSpaceDN w:val="0"/>
              <w:autoSpaceDE w:val="0"/>
              <w:widowControl/>
              <w:spacing w:line="230" w:lineRule="auto" w:before="352" w:after="0"/>
              <w:ind w:left="0" w:right="157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Previous Layer Input</w:t>
            </w:r>
          </w:p>
        </w:tc>
      </w:tr>
    </w:tbl>
    <w:p>
      <w:pPr>
        <w:autoSpaceDN w:val="0"/>
        <w:autoSpaceDE w:val="0"/>
        <w:widowControl/>
        <w:spacing w:line="233" w:lineRule="auto" w:before="33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Figure 2.1: Architecture of Transformer-based model </w:t>
      </w:r>
    </w:p>
    <w:p>
      <w:pPr>
        <w:sectPr>
          <w:pgSz w:w="11906" w:h="16838"/>
          <w:pgMar w:top="430" w:right="1440" w:bottom="7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7 </w:t>
            </w:r>
          </w:p>
        </w:tc>
      </w:tr>
    </w:tbl>
    <w:p>
      <w:pPr>
        <w:autoSpaceDN w:val="0"/>
        <w:autoSpaceDE w:val="0"/>
        <w:widowControl/>
        <w:spacing w:line="408" w:lineRule="auto" w:before="440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Transformer is a breakthrough neural network architecture for natural language processing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(NLP). Different from tradition recurrent neural networks (RNNs) and convolutional neural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networks (CNNs), it uses self-attention mechanism to process sequential data, which improves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both efficiency and speed. As shown in Figure 2.1, the core structure of Transformer includes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stacker encoder and decoder layers, allowing the Transformer to be capable of deep learning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essential for modern LLMs. </w:t>
      </w:r>
    </w:p>
    <w:p>
      <w:pPr>
        <w:autoSpaceDN w:val="0"/>
        <w:autoSpaceDE w:val="0"/>
        <w:widowControl/>
        <w:spacing w:line="374" w:lineRule="auto" w:before="384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Tokenization, positional encoding, attention mechanisms, activation functions, and layer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normalization are five essential sections in this structure. They all contributes to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Transformer’s advanced language processing and task generation abilities.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Tokenization: </w:t>
      </w:r>
    </w:p>
    <w:p>
      <w:pPr>
        <w:autoSpaceDN w:val="0"/>
        <w:autoSpaceDE w:val="0"/>
        <w:widowControl/>
        <w:spacing w:line="374" w:lineRule="auto" w:before="386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Tokenization splits text into smaller and meaningful units called tokens. This step is essential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for LLMs during understanding and generation states. Different tokenization strategies can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directly impact on the model’s performance. </w:t>
      </w:r>
    </w:p>
    <w:p>
      <w:pPr>
        <w:autoSpaceDN w:val="0"/>
        <w:autoSpaceDE w:val="0"/>
        <w:widowControl/>
        <w:spacing w:line="422" w:lineRule="auto" w:before="384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Character-level tokenization is a strategy that splits text into individual characters. It helps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LLMs deal with new words in a simpler and more flexible way yet demands for more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computational resources due to loss of word-level information at the same time. Word-level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tokenization, just as its name implies, divides text by spaces and punctuation into complete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words. This strategy can effectively capture semantic meaning but struggles with vocabulary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growth and unknown terms. Subword-level tokenization is the most widely-used tokenization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strategy in modern LLMs as it can maintain semantic understanding and meanwhile managing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vocabulary size and computational demands efficiently by converting words into meaningful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components. Thereby, subword-level tokenization enables efficient performance in the training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and inference process of LLMs.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Encoding Positions: </w:t>
      </w:r>
    </w:p>
    <w:p>
      <w:pPr>
        <w:autoSpaceDN w:val="0"/>
        <w:autoSpaceDE w:val="0"/>
        <w:widowControl/>
        <w:spacing w:line="391" w:lineRule="auto" w:before="384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Encoding positions are essential due to their ability to enable models to understand word order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 sequences. As we have mentioned, self-attention mechanism lacks the capability of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sequential processing. Positions encoding solves this problem by adding positional information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 each input token. Common implementations in mainstream LLMs include learnable position </w:t>
      </w:r>
    </w:p>
    <w:p>
      <w:pPr>
        <w:sectPr>
          <w:pgSz w:w="11906" w:h="16838"/>
          <w:pgMar w:top="430" w:right="1440" w:bottom="7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8 </w:t>
            </w:r>
          </w:p>
        </w:tc>
      </w:tr>
    </w:tbl>
    <w:p>
      <w:pPr>
        <w:autoSpaceDN w:val="0"/>
        <w:autoSpaceDE w:val="0"/>
        <w:widowControl/>
        <w:spacing w:line="338" w:lineRule="auto" w:before="440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encodings and relative position encodings. Both of these methods offer flexibility for variable-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length inputs and can better capture positional relationships.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Attention Mechanism: </w:t>
      </w:r>
    </w:p>
    <w:p>
      <w:pPr>
        <w:autoSpaceDN w:val="0"/>
        <w:autoSpaceDE w:val="0"/>
        <w:widowControl/>
        <w:spacing w:line="415" w:lineRule="auto" w:before="386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By assigning weights to input tokens, attention mechanism can highlight essential information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 Transformer-based models. Its working principle is as following: (1) Mapping each token to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Query (Q), Key (K), and Value (V) vectors; (2) Calculating attention scores via Q-K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interactions; (3) Weighting V with these scores to highlight critical context. Self-Attention,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Cross Attention, Sparse Attention and Flash Attention are four Attention strategies which can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optimize the performance of LLMs in distinct ways, enabling models to handle complex NLP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tasks more effectively.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>Activation functions:</w:t>
      </w:r>
    </w:p>
    <w:p>
      <w:pPr>
        <w:autoSpaceDN w:val="0"/>
        <w:autoSpaceDE w:val="0"/>
        <w:widowControl/>
        <w:spacing w:line="403" w:lineRule="auto" w:before="384" w:after="0"/>
        <w:ind w:left="36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Activation function, as the basis for networks to learn complex data patterns as well as fit curves,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plays a crucial role in neural networks. Language models commonly use the Rectified Linear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Unit (ReLU), Gaussian Error Linear Unit (GeLU), and Gated Linear Unit (GLU) to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significantly enhance the neural network’s capacity to handle complex tasks by importing non-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linear transformations and gating mechanisms.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Layer Normalization: </w:t>
      </w:r>
    </w:p>
    <w:p>
      <w:pPr>
        <w:autoSpaceDN w:val="0"/>
        <w:autoSpaceDE w:val="0"/>
        <w:widowControl/>
        <w:spacing w:line="401" w:lineRule="auto" w:before="386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Layer normalization (LayerNorm) is a fundamental technique widely used in neural networks,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particularly in sequence-processing models like Transformers. The core principle is to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normalize input features within each network layer to standardize feature scales. This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normalization helps control data scale in network propagation, effectively addressing common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training challenges such as gradient vanishing or explosion. </w:t>
      </w:r>
    </w:p>
    <w:p>
      <w:pPr>
        <w:autoSpaceDN w:val="0"/>
        <w:autoSpaceDE w:val="0"/>
        <w:widowControl/>
        <w:spacing w:line="379" w:lineRule="auto" w:before="364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2.1.2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Softmax function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This section presents the fundamental techniques of LLMs, including pre-training, fine-tuning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and methods applied for downstream tasks. Figure 2.2 illustrates the workflow of the training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states and inference process in basic LLMs. </w:t>
      </w:r>
    </w:p>
    <w:p>
      <w:pPr>
        <w:sectPr>
          <w:pgSz w:w="11906" w:h="16838"/>
          <w:pgMar w:top="430" w:right="1440" w:bottom="11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1320800</wp:posOffset>
            </wp:positionH>
            <wp:positionV relativeFrom="page">
              <wp:posOffset>1117600</wp:posOffset>
            </wp:positionV>
            <wp:extent cx="4927600" cy="29845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9845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9 </w:t>
            </w:r>
          </w:p>
        </w:tc>
      </w:tr>
    </w:tbl>
    <w:p>
      <w:pPr>
        <w:autoSpaceDN w:val="0"/>
        <w:autoSpaceDE w:val="0"/>
        <w:widowControl/>
        <w:spacing w:line="233" w:lineRule="auto" w:before="500" w:after="0"/>
        <w:ind w:left="0" w:right="3524" w:firstLine="0"/>
        <w:jc w:val="right"/>
      </w:pPr>
      <w:r>
        <w:rPr>
          <w:w w:val="102.5160026550293"/>
          <w:rFonts w:ascii="TimesNewRomanPSMT" w:hAnsi="TimesNewRomanPSMT" w:eastAsia="TimesNewRomanPSMT"/>
          <w:b w:val="0"/>
          <w:i w:val="0"/>
          <w:color w:val="000000"/>
          <w:sz w:val="10"/>
        </w:rPr>
        <w:t>LLM Output</w:t>
      </w:r>
    </w:p>
    <w:p>
      <w:pPr>
        <w:autoSpaceDN w:val="0"/>
        <w:autoSpaceDE w:val="0"/>
        <w:widowControl/>
        <w:spacing w:line="233" w:lineRule="auto" w:before="488" w:after="0"/>
        <w:ind w:left="0" w:right="351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Prompting</w:t>
      </w:r>
    </w:p>
    <w:p>
      <w:pPr>
        <w:autoSpaceDN w:val="0"/>
        <w:autoSpaceDE w:val="0"/>
        <w:widowControl/>
        <w:spacing w:line="233" w:lineRule="auto" w:before="864" w:after="0"/>
        <w:ind w:left="0" w:right="2198" w:firstLine="0"/>
        <w:jc w:val="right"/>
      </w:pPr>
      <w:r>
        <w:rPr>
          <w:w w:val="102.5160026550293"/>
          <w:rFonts w:ascii="TimesNewRomanPSMT" w:hAnsi="TimesNewRomanPSMT" w:eastAsia="TimesNewRomanPSMT"/>
          <w:b w:val="0"/>
          <w:i w:val="0"/>
          <w:color w:val="000000"/>
          <w:sz w:val="10"/>
        </w:rPr>
        <w:t>RLHF</w:t>
      </w:r>
    </w:p>
    <w:p>
      <w:pPr>
        <w:autoSpaceDN w:val="0"/>
        <w:autoSpaceDE w:val="0"/>
        <w:widowControl/>
        <w:spacing w:line="233" w:lineRule="auto" w:before="312" w:after="294"/>
        <w:ind w:left="0" w:right="315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LLM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rHeight w:hRule="exact" w:val="208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4" w:after="0"/>
              <w:ind w:left="0" w:right="124" w:firstLine="0"/>
              <w:jc w:val="right"/>
            </w:pPr>
            <w:r>
              <w:rPr>
                <w:w w:val="102.5160026550293"/>
                <w:rFonts w:ascii="TimesNewRomanPSMT" w:hAnsi="TimesNewRomanPSMT" w:eastAsia="TimesNewRomanPSMT"/>
                <w:b w:val="0"/>
                <w:i w:val="0"/>
                <w:color w:val="000000"/>
                <w:sz w:val="10"/>
              </w:rPr>
              <w:t>Data</w:t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8" w:after="0"/>
              <w:ind w:left="15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Pre-Training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Instruction-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58" w:after="0"/>
              <w:ind w:left="1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LLM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 xml:space="preserve">Reward 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34" w:after="0"/>
              <w:ind w:left="0" w:right="150" w:firstLine="0"/>
              <w:jc w:val="right"/>
            </w:pPr>
            <w:r>
              <w:rPr>
                <w:w w:val="102.5160026550293"/>
                <w:rFonts w:ascii="TimesNewRomanPSMT" w:hAnsi="TimesNewRomanPSMT" w:eastAsia="TimesNewRomanPSMT"/>
                <w:b w:val="0"/>
                <w:i w:val="0"/>
                <w:color w:val="000000"/>
                <w:sz w:val="10"/>
              </w:rPr>
              <w:t>RL Update</w:t>
            </w:r>
          </w:p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9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Reward</w:t>
            </w:r>
          </w:p>
        </w:tc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54" w:after="0"/>
              <w:ind w:left="0" w:right="370" w:firstLine="0"/>
              <w:jc w:val="right"/>
            </w:pPr>
            <w:r>
              <w:rPr>
                <w:w w:val="102.5160026550293"/>
                <w:rFonts w:ascii="TimesNewRomanPSMT" w:hAnsi="TimesNewRomanPSMT" w:eastAsia="TimesNewRomanPSMT"/>
                <w:b w:val="0"/>
                <w:i w:val="0"/>
                <w:color w:val="000000"/>
                <w:sz w:val="10"/>
              </w:rPr>
              <w:t>Output</w:t>
            </w:r>
          </w:p>
        </w:tc>
        <w:tc>
          <w:tcPr>
            <w:tcW w:type="dxa" w:w="1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Aligned LLM</w:t>
            </w:r>
          </w:p>
        </w:tc>
      </w:tr>
      <w:tr>
        <w:trPr>
          <w:trHeight w:hRule="exact" w:val="1040"/>
        </w:trPr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1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Tuning</w:t>
            </w:r>
          </w:p>
        </w:tc>
        <w:tc>
          <w:tcPr>
            <w:tcW w:type="dxa" w:w="1003"/>
            <w:vMerge/>
            <w:tcBorders/>
          </w:tcPr>
          <w:p/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Modeling</w:t>
            </w:r>
          </w:p>
        </w:tc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</w:tr>
      <w:tr>
        <w:trPr>
          <w:trHeight w:hRule="exact" w:val="480"/>
        </w:trPr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32" w:after="0"/>
              <w:ind w:left="0" w:right="19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 xml:space="preserve">Human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3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 xml:space="preserve">Reward </w:t>
            </w:r>
          </w:p>
        </w:tc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</w:tr>
      <w:tr>
        <w:trPr>
          <w:trHeight w:hRule="exact" w:val="212"/>
        </w:trPr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20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Labeller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35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Model</w:t>
            </w:r>
          </w:p>
        </w:tc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  <w:tc>
          <w:tcPr>
            <w:tcW w:type="dxa" w:w="100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8" w:lineRule="auto" w:before="174" w:after="0"/>
        <w:ind w:left="0" w:right="3820" w:firstLine="0"/>
        <w:jc w:val="right"/>
      </w:pPr>
      <w:r>
        <w:rPr>
          <w:w w:val="102.5160026550293"/>
          <w:rFonts w:ascii="TimesNewRomanPSMT" w:hAnsi="TimesNewRomanPSMT" w:eastAsia="TimesNewRomanPSMT"/>
          <w:b w:val="0"/>
          <w:i w:val="0"/>
          <w:color w:val="000000"/>
          <w:sz w:val="10"/>
        </w:rPr>
        <w:t>RM</w:t>
      </w:r>
    </w:p>
    <w:p>
      <w:pPr>
        <w:autoSpaceDN w:val="0"/>
        <w:autoSpaceDE w:val="0"/>
        <w:widowControl/>
        <w:spacing w:line="228" w:lineRule="auto" w:before="138" w:after="0"/>
        <w:ind w:left="0" w:right="664" w:firstLine="0"/>
        <w:jc w:val="right"/>
      </w:pPr>
      <w:r>
        <w:rPr>
          <w:w w:val="102.5160026550293"/>
          <w:rFonts w:ascii="TimesNewRomanPSMT" w:hAnsi="TimesNewRomanPSMT" w:eastAsia="TimesNewRomanPSMT"/>
          <w:b w:val="0"/>
          <w:i w:val="0"/>
          <w:color w:val="000000"/>
          <w:sz w:val="10"/>
        </w:rPr>
        <w:t>Fine-tuning</w:t>
      </w:r>
    </w:p>
    <w:p>
      <w:pPr>
        <w:autoSpaceDN w:val="0"/>
        <w:autoSpaceDE w:val="0"/>
        <w:widowControl/>
        <w:spacing w:line="233" w:lineRule="auto" w:before="474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Figure 2.2: The basic workflow of LLMs </w:t>
      </w:r>
    </w:p>
    <w:p>
      <w:pPr>
        <w:autoSpaceDN w:val="0"/>
        <w:autoSpaceDE w:val="0"/>
        <w:widowControl/>
        <w:spacing w:line="233" w:lineRule="auto" w:before="408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Pre-training </w:t>
      </w:r>
    </w:p>
    <w:p>
      <w:pPr>
        <w:autoSpaceDN w:val="0"/>
        <w:autoSpaceDE w:val="0"/>
        <w:widowControl/>
        <w:spacing w:line="374" w:lineRule="auto" w:before="384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 the state of pre-training, LLMs acquire fundamental linguistic structures and semantics by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learning general language representations from extensive textual datasets. The selection of pre-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training strategies will profoundly affect the model’s performance and applicability. </w:t>
      </w:r>
    </w:p>
    <w:p>
      <w:pPr>
        <w:autoSpaceDN w:val="0"/>
        <w:autoSpaceDE w:val="0"/>
        <w:widowControl/>
        <w:spacing w:line="418" w:lineRule="auto" w:before="386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Self-supervised learning is a pre-training strategy where a model learns the intrinsic structure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of the data by predicting missing parts or future sequences in the input data. For LLMs, this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usually means predicting the next word or masked word based on the given textual context (e.g.,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masked language modeling task in BERT). The advantage is that there is no need for labeled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data, a large amount of unlabeled text data can be utilized, and this approach helps to learn deep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linguistic representations and improve the model’s understanding of linguistic structure. But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again, there may be a gap between this pre-training approach and the downstream task that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needs to be bridged by fine-tuning.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Fine-Tuning </w:t>
      </w:r>
    </w:p>
    <w:p>
      <w:pPr>
        <w:autoSpaceDN w:val="0"/>
        <w:autoSpaceDE w:val="0"/>
        <w:widowControl/>
        <w:spacing w:line="338" w:lineRule="auto" w:before="38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fine-tuning state is the process of adapting a generic pre-trained model to a specific task.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Some of the current mainstream methods are as following: </w:t>
      </w:r>
    </w:p>
    <w:p>
      <w:pPr>
        <w:sectPr>
          <w:pgSz w:w="11906" w:h="16838"/>
          <w:pgMar w:top="430" w:right="1440" w:bottom="87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10 </w:t>
            </w:r>
          </w:p>
        </w:tc>
      </w:tr>
    </w:tbl>
    <w:p>
      <w:pPr>
        <w:autoSpaceDN w:val="0"/>
        <w:autoSpaceDE w:val="0"/>
        <w:widowControl/>
        <w:spacing w:line="281" w:lineRule="auto" w:before="362" w:after="0"/>
        <w:ind w:left="720" w:right="302" w:firstLine="4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(1)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Transfer Learning: Pretrained models have demonstrated strong performance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across various tasks. However, to further enhance their effectiveness on specific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downstream tasks, researchers typically fine-tune these pretrained models on task-specific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datasets, a process known as transfer learning. </w:t>
      </w:r>
    </w:p>
    <w:p>
      <w:pPr>
        <w:autoSpaceDN w:val="0"/>
        <w:autoSpaceDE w:val="0"/>
        <w:widowControl/>
        <w:spacing w:line="281" w:lineRule="auto" w:before="70" w:after="0"/>
        <w:ind w:left="720" w:right="304" w:firstLine="4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(2)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Instruction-tuning: To make the model more effective in response to user queries,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researchers fine-tune the pre-trained model on formatted datasets containing instructions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and input-output pairs. This fine-tuning approach can significantly improve the model’s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performance on unseen tasks and downstream tasks. </w:t>
      </w:r>
    </w:p>
    <w:p>
      <w:pPr>
        <w:autoSpaceDN w:val="0"/>
        <w:autoSpaceDE w:val="0"/>
        <w:widowControl/>
        <w:spacing w:line="283" w:lineRule="auto" w:before="68" w:after="0"/>
        <w:ind w:left="720" w:right="304" w:firstLine="4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(3)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Alignment-tuning: LLMs are likely to generate inaccurate, biased, or harmful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text sometimes, so aligning the model through human feedback becomes particularly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important. This process guides the model to generate unintended responses and updates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model parameters to avoid unexpected outputs. The ultimate goal is to ensure that LLMs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are able to function according to human intentions and values. </w:t>
      </w:r>
    </w:p>
    <w:p>
      <w:pPr>
        <w:autoSpaceDN w:val="0"/>
        <w:autoSpaceDE w:val="0"/>
        <w:widowControl/>
        <w:spacing w:line="233" w:lineRule="auto" w:before="14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Prompt Engineering </w:t>
      </w:r>
    </w:p>
    <w:p>
      <w:pPr>
        <w:autoSpaceDN w:val="0"/>
        <w:autoSpaceDE w:val="0"/>
        <w:widowControl/>
        <w:spacing w:line="230" w:lineRule="auto" w:before="384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As illustrated in Figure 2.2, prompt engineering is a method to generate responses by querying </w:t>
      </w:r>
    </w:p>
    <w:p>
      <w:pPr>
        <w:autoSpaceDN w:val="0"/>
        <w:autoSpaceDE w:val="0"/>
        <w:widowControl/>
        <w:spacing w:line="230" w:lineRule="auto" w:before="22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trained LLMs. This process can be implemented with various configurations. In some certain </w:t>
      </w:r>
    </w:p>
    <w:p>
      <w:pPr>
        <w:autoSpaceDN w:val="0"/>
        <w:autoSpaceDE w:val="0"/>
        <w:widowControl/>
        <w:spacing w:line="230" w:lineRule="auto" w:before="22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scenarios, it may not require additional fine-tuning, while others might need fine-tuning with </w:t>
      </w:r>
    </w:p>
    <w:p>
      <w:pPr>
        <w:autoSpaceDN w:val="0"/>
        <w:autoSpaceDE w:val="0"/>
        <w:widowControl/>
        <w:spacing w:line="230" w:lineRule="auto" w:before="226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datasets incorporating diverse questioning styles. </w:t>
      </w:r>
    </w:p>
    <w:p>
      <w:pPr>
        <w:autoSpaceDN w:val="0"/>
        <w:autoSpaceDE w:val="0"/>
        <w:widowControl/>
        <w:spacing w:line="230" w:lineRule="auto" w:before="432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2.2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Large Language Model Based Autonomous Agent </w:t>
      </w:r>
    </w:p>
    <w:p>
      <w:pPr>
        <w:autoSpaceDN w:val="0"/>
        <w:autoSpaceDE w:val="0"/>
        <w:widowControl/>
        <w:spacing w:line="233" w:lineRule="auto" w:before="26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Autonomous agents are widely considered as a crucial way to develop artificial general </w:t>
      </w:r>
    </w:p>
    <w:p>
      <w:pPr>
        <w:autoSpaceDN w:val="0"/>
        <w:autoSpaceDE w:val="0"/>
        <w:widowControl/>
        <w:spacing w:line="233" w:lineRule="auto" w:before="224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intelligence (AGI) because it has demonstrated remarkable capabilities in autonomous task </w:t>
      </w:r>
    </w:p>
    <w:p>
      <w:pPr>
        <w:autoSpaceDN w:val="0"/>
        <w:autoSpaceDE w:val="0"/>
        <w:widowControl/>
        <w:spacing w:line="233" w:lineRule="auto" w:before="224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execution through self-guided planning and decision-making processes. This section provides </w:t>
      </w:r>
    </w:p>
    <w:p>
      <w:pPr>
        <w:autoSpaceDN w:val="0"/>
        <w:autoSpaceDE w:val="0"/>
        <w:widowControl/>
        <w:spacing w:line="233" w:lineRule="auto" w:before="224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 overview of LLM-based autonomous agents focus on their prevailing architecture and </w:t>
      </w:r>
    </w:p>
    <w:p>
      <w:pPr>
        <w:autoSpaceDN w:val="0"/>
        <w:autoSpaceDE w:val="0"/>
        <w:widowControl/>
        <w:spacing w:line="230" w:lineRule="auto" w:before="224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diverse applications across various domains. </w:t>
      </w:r>
    </w:p>
    <w:p>
      <w:pPr>
        <w:autoSpaceDN w:val="0"/>
        <w:autoSpaceDE w:val="0"/>
        <w:widowControl/>
        <w:spacing w:line="230" w:lineRule="auto" w:before="364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2.2.1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Agent architecture </w:t>
      </w:r>
    </w:p>
    <w:p>
      <w:pPr>
        <w:autoSpaceDN w:val="0"/>
        <w:autoSpaceDE w:val="0"/>
        <w:widowControl/>
        <w:spacing w:line="240" w:lineRule="auto" w:before="11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4970" cy="19456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4970" cy="194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32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Figure 2.3: A unified framework for the architecture design of LLM-based autonomous agent [31] </w:t>
      </w:r>
    </w:p>
    <w:p>
      <w:pPr>
        <w:sectPr>
          <w:pgSz w:w="11906" w:h="16838"/>
          <w:pgMar w:top="430" w:right="1440" w:bottom="7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11 </w:t>
            </w:r>
          </w:p>
        </w:tc>
      </w:tr>
    </w:tbl>
    <w:p>
      <w:pPr>
        <w:autoSpaceDN w:val="0"/>
        <w:autoSpaceDE w:val="0"/>
        <w:widowControl/>
        <w:spacing w:line="401" w:lineRule="auto" w:before="440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 enhance the functionality of basic LLMs and combined them with autonomous agents,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key challenge lies in how to design effective architecture that optimize their inherent ability.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Figure 3 shows an advanced framework of autonomous agents that incorporates four core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components: Profiling module, Memory module, Planning module, and Action module.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functions and interactions of these components will be discussed in the followings. </w:t>
      </w:r>
    </w:p>
    <w:p>
      <w:pPr>
        <w:autoSpaceDN w:val="0"/>
        <w:autoSpaceDE w:val="0"/>
        <w:widowControl/>
        <w:spacing w:line="233" w:lineRule="auto" w:before="384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Profiling module </w:t>
      </w:r>
    </w:p>
    <w:p>
      <w:pPr>
        <w:autoSpaceDN w:val="0"/>
        <w:autoSpaceDE w:val="0"/>
        <w:widowControl/>
        <w:spacing w:line="420" w:lineRule="auto" w:before="386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Autonomous agents perform specialized tasks by taking on well-defined roles, for example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this research, a materials scientist. The profiling component is essential in shaping agent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behavior by adding key characteristics into the LLM’s prompts. These characteristics typically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consist of basic biographical information, psychological traits to define the agent’s personality,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and social context to determine its relationships with other agents. You can choose the specific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composition depend on what missions you want the agent to complete. Current research raises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three primary methods to create the profiles: manual specification, alignment with real datasets,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and automated generation by LLMs. The profiling system forms the foundation of agent,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significantly affect how agents will store information, make decisions, and execute actions.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Memory module </w:t>
      </w:r>
    </w:p>
    <w:p>
      <w:pPr>
        <w:autoSpaceDN w:val="0"/>
        <w:autoSpaceDE w:val="0"/>
        <w:widowControl/>
        <w:spacing w:line="420" w:lineRule="auto" w:before="384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Memory module is considered as an essential bridge connecting perception state and planning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state. To be specific, it stores information perceived from the outer environment and leverages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recorded memories to facilitate future actions. The agent capability of accumulating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experiences, self-evolving mainly relies on this module, which leads the agent to behave in a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more reasonable, effective and consistent manner. Agent’s memory is usually distinguished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short-term memory to long-term memory modeling human memory. Short-term memory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temporarily buffers recent perceptions, including the context information about the agent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current situations, while long-term memory consolidates essential information such as past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behaviors and thoughts over time.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Planning module </w:t>
      </w:r>
    </w:p>
    <w:p>
      <w:pPr>
        <w:autoSpaceDN w:val="0"/>
        <w:autoSpaceDE w:val="0"/>
        <w:widowControl/>
        <w:spacing w:line="338" w:lineRule="auto" w:before="384" w:after="0"/>
        <w:ind w:left="288" w:right="288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Planning module enables the agents to deconstruct a complex task and solve them individually,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making the agent behave more reliably, powerfully and humanlike. Single-path reasoning with </w:t>
      </w:r>
    </w:p>
    <w:p>
      <w:pPr>
        <w:sectPr>
          <w:pgSz w:w="11906" w:h="16838"/>
          <w:pgMar w:top="430" w:right="1440" w:bottom="7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1435100</wp:posOffset>
            </wp:positionH>
            <wp:positionV relativeFrom="page">
              <wp:posOffset>8178800</wp:posOffset>
            </wp:positionV>
            <wp:extent cx="4978400" cy="119380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1193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415" w:lineRule="auto" w:before="440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agent follows one straight path to solve the problem and multi-path reasoning with the agent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considers multiple possible solutions are two strategies in planning without feedback approach.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implementation of this approach is relatively simple but it is only suitable for simple tasks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requiring few reasoning steps. As for planning with feedback approach, agents can learn from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their mistakes and improve by considering environment feedback, human feedback and model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feedback. Although better designs are demanded to handle the feedback, it is regarded as an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effective approach to address complicated tasks with long-range reasoning. </w:t>
      </w:r>
    </w:p>
    <w:p>
      <w:pPr>
        <w:autoSpaceDN w:val="0"/>
        <w:autoSpaceDE w:val="0"/>
        <w:widowControl/>
        <w:spacing w:line="233" w:lineRule="auto" w:before="384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Action module </w:t>
      </w:r>
    </w:p>
    <w:p>
      <w:pPr>
        <w:autoSpaceDN w:val="0"/>
        <w:autoSpaceDE w:val="0"/>
        <w:widowControl/>
        <w:spacing w:line="415" w:lineRule="auto" w:before="386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As the final component in the agent architecture, the actions module directly interacts with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external systems under the guide of the profile, memory and planning modules. The basic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function of this module is to execute the agent’s decisions in real-world environments. Action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goals (task completion, communication and environment exploration), action generation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(memory-based and plan-based), action types (external tools and internal LLM capabilities)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and action outcomes (environment modification, internal state updates and action chaining) are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four key components of this module, needed to be carefully considered. </w:t>
      </w:r>
    </w:p>
    <w:p>
      <w:pPr>
        <w:autoSpaceDN w:val="0"/>
        <w:autoSpaceDE w:val="0"/>
        <w:widowControl/>
        <w:spacing w:line="230" w:lineRule="auto" w:before="432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2.3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Retrieval-Augmented Generation </w:t>
      </w:r>
    </w:p>
    <w:p>
      <w:pPr>
        <w:autoSpaceDN w:val="0"/>
        <w:autoSpaceDE w:val="0"/>
        <w:widowControl/>
        <w:spacing w:line="401" w:lineRule="auto" w:before="36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2.3.1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Basic Retrieval-Augmented Generation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Retrieval-Augmented Generation (RAG) are developed to address LLMs limitation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responding to dynamic and real-time queries due to their reliance on static training datasets. By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combining the generative capabilities of LLMs to with external retrieval mechanisms, RAG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can significantly improve response quality as they can access up-to date information from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diverse sources including knowledge repositories, web APIs and online databases. </w:t>
      </w:r>
    </w:p>
    <w:p>
      <w:pPr>
        <w:autoSpaceDN w:val="0"/>
        <w:autoSpaceDE w:val="0"/>
        <w:widowControl/>
        <w:spacing w:line="230" w:lineRule="auto" w:before="382" w:after="42"/>
        <w:ind w:left="79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5"/>
        </w:rPr>
        <w:t>User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40.0" w:type="dxa"/>
      </w:tblPr>
      <w:tblGrid>
        <w:gridCol w:w="3009"/>
        <w:gridCol w:w="3009"/>
        <w:gridCol w:w="3009"/>
      </w:tblGrid>
      <w:tr>
        <w:trPr>
          <w:trHeight w:hRule="exact" w:val="380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62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>Retrieval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>Argmentation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30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>Generation</w:t>
            </w:r>
          </w:p>
        </w:tc>
      </w:tr>
    </w:tbl>
    <w:p>
      <w:pPr>
        <w:autoSpaceDN w:val="0"/>
        <w:autoSpaceDE w:val="0"/>
        <w:widowControl/>
        <w:spacing w:line="230" w:lineRule="auto" w:before="976" w:after="0"/>
        <w:ind w:left="0" w:right="389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5"/>
        </w:rPr>
        <w:t>Response</w:t>
      </w:r>
    </w:p>
    <w:p>
      <w:pPr>
        <w:autoSpaceDN w:val="0"/>
        <w:autoSpaceDE w:val="0"/>
        <w:widowControl/>
        <w:spacing w:line="204" w:lineRule="auto" w:before="410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>Figure 2.4</w:t>
      </w:r>
      <w:r>
        <w:rPr>
          <w:rFonts w:ascii="SimSun" w:hAnsi="SimSun" w:eastAsia="SimSun"/>
          <w:b w:val="0"/>
          <w:i w:val="0"/>
          <w:color w:val="000000"/>
          <w:sz w:val="18"/>
        </w:rPr>
        <w:t>：</w:t>
      </w: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Core Components of RAG </w:t>
      </w:r>
    </w:p>
    <w:p>
      <w:pPr>
        <w:sectPr>
          <w:pgSz w:w="11906" w:h="16838"/>
          <w:pgMar w:top="430" w:right="1440" w:bottom="75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13 </w:t>
            </w:r>
          </w:p>
        </w:tc>
      </w:tr>
    </w:tbl>
    <w:p>
      <w:pPr>
        <w:autoSpaceDN w:val="0"/>
        <w:autoSpaceDE w:val="0"/>
        <w:widowControl/>
        <w:spacing w:line="374" w:lineRule="auto" w:before="440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Retrieval-Augmentation Generation, as the name suggests, is consisted of three core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components shown in Figure 2.4. The further explanation and function of each component are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as below: </w:t>
      </w:r>
    </w:p>
    <w:p>
      <w:pPr>
        <w:autoSpaceDN w:val="0"/>
        <w:autoSpaceDE w:val="0"/>
        <w:widowControl/>
        <w:spacing w:line="281" w:lineRule="auto" w:before="308" w:after="0"/>
        <w:ind w:left="720" w:right="304" w:firstLine="4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(1)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Retrieval access external data repositories including knowledge bases, APIs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vector databases dynamically to ensure query-relevant results. By using dense vector search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combined with models based on Transformer, advanced retrievers are regarded as efficient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solution to enhance retrieval precision and sematic relevance. </w:t>
      </w:r>
    </w:p>
    <w:p>
      <w:pPr>
        <w:autoSpaceDN w:val="0"/>
        <w:tabs>
          <w:tab w:pos="1160" w:val="left"/>
        </w:tabs>
        <w:autoSpaceDE w:val="0"/>
        <w:widowControl/>
        <w:spacing w:line="264" w:lineRule="auto" w:before="70" w:after="0"/>
        <w:ind w:left="720" w:right="288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(2)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Augmentation is responsible for processing retrieved data, extracting key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information while maintain semantic coherence with the input query. </w:t>
      </w:r>
    </w:p>
    <w:p>
      <w:pPr>
        <w:autoSpaceDN w:val="0"/>
        <w:autoSpaceDE w:val="0"/>
        <w:widowControl/>
        <w:spacing w:line="338" w:lineRule="auto" w:before="148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Generation emerges retrieved context with LLM’s existed database to produce responses that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balance factual accuracy with linguistic fluency. </w:t>
      </w:r>
    </w:p>
    <w:p>
      <w:pPr>
        <w:autoSpaceDN w:val="0"/>
        <w:autoSpaceDE w:val="0"/>
        <w:widowControl/>
        <w:spacing w:line="406" w:lineRule="auto" w:before="364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2.3.2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Revolution of Retrieval-Augmentation Generation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Over the past few years, the rapid development of RAG technology has necessitated its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evolution to address increasingly complex real-world challenges efficiently and effectively.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This progression has driven significant improvements in three critical dimensions: contextual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precision, system scalability, and multi-stage reasoning capabilities. Next, we will have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discussion on several main stages of the RAG progression, comparing their defining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characteristics, advantages and limitations.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Naïve RAG </w:t>
      </w:r>
    </w:p>
    <w:p>
      <w:pPr>
        <w:autoSpaceDN w:val="0"/>
        <w:autoSpaceDE w:val="0"/>
        <w:widowControl/>
        <w:spacing w:line="410" w:lineRule="auto" w:before="384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key aspect of Naïve RAG lies in implementing simple keyword-based retrieval and extract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documents from static datasets. The retrieved contents are used in augmentation of LLM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generative capabilities. While this kind of RAG is suitable for simple fact-based queries task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due to its straightforward structure, it doesn’t perform well when processing large datasets. Its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lack of contextual awareness often results in fragmented outputs and failure in identifying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key relevant information.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Advanced RAG </w:t>
      </w:r>
    </w:p>
    <w:p>
      <w:pPr>
        <w:autoSpaceDN w:val="0"/>
        <w:autoSpaceDE w:val="0"/>
        <w:widowControl/>
        <w:spacing w:line="391" w:lineRule="auto" w:before="386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Evolving from Naïve RAG’s framework, Advanced RAG significantly enhances retrieval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precision and contextual relevance through the integration of semantic understanding with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optimized retrieval methodologies. It uses dense vector search, contextual re-ranking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iterative retrieval techniques to achieve higher precision and fine-grained understanding in </w:t>
      </w:r>
    </w:p>
    <w:p>
      <w:pPr>
        <w:sectPr>
          <w:pgSz w:w="11906" w:h="16838"/>
          <w:pgMar w:top="430" w:right="1440" w:bottom="7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14 </w:t>
            </w:r>
          </w:p>
        </w:tc>
      </w:tr>
    </w:tbl>
    <w:p>
      <w:pPr>
        <w:autoSpaceDN w:val="0"/>
        <w:autoSpaceDE w:val="0"/>
        <w:widowControl/>
        <w:spacing w:line="338" w:lineRule="auto" w:before="440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complex applications. However, this method still struggles to perfectly handle large datasets 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multi-step queries.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Modular RAG </w:t>
      </w:r>
    </w:p>
    <w:p>
      <w:pPr>
        <w:autoSpaceDN w:val="0"/>
        <w:autoSpaceDE w:val="0"/>
        <w:widowControl/>
        <w:spacing w:line="415" w:lineRule="auto" w:before="386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As the latest version of RAG systems, Modular RAG is widely used in complicated tasks due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 its superior precision and scalable performance across diverse application domains. Hybrid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retrieval, tool integration with APIs and composable pipelines are three fundamental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innovations in the Modular RAG system, contributing to domain-specific optimization and task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adaptability. The system's flexibility and customization come from its modular design, which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separates retrieval and generation into independent, reusable parts that can be optimized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individually.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Agentic RAG </w:t>
      </w:r>
    </w:p>
    <w:p>
      <w:pPr>
        <w:autoSpaceDN w:val="0"/>
        <w:autoSpaceDE w:val="0"/>
        <w:widowControl/>
        <w:spacing w:line="420" w:lineRule="auto" w:before="384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Agentic RAG introduces a groundbreaking approach by combining autonomous agents with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RAG systems, enabling dynamic decision-making and intelligent workflow management.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Different from tradition system with static retrieval methods, Agentic RAG implements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adaptive strategies and continuous refinement processes to handle complex, multi-domain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queries in real-time. However, these advanced capabilities come with increased computational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demands and system coordination challenges, particularly when scaling to handle high-volume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query environments. The technology represents a significant step forward in making RAG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systems more responsive and contextually-aware, though careful resource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remains essential for optimal deployment. </w:t>
      </w:r>
    </w:p>
    <w:p>
      <w:pPr>
        <w:sectPr>
          <w:pgSz w:w="11906" w:h="16838"/>
          <w:pgMar w:top="43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15 </w:t>
            </w:r>
          </w:p>
        </w:tc>
      </w:tr>
    </w:tbl>
    <w:p>
      <w:pPr>
        <w:autoSpaceDN w:val="0"/>
        <w:autoSpaceDE w:val="0"/>
        <w:widowControl/>
        <w:spacing w:line="230" w:lineRule="auto" w:before="64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3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INDIVIDUAL LLM PERFORMANCE </w:t>
      </w:r>
    </w:p>
    <w:p>
      <w:pPr>
        <w:autoSpaceDN w:val="0"/>
        <w:autoSpaceDE w:val="0"/>
        <w:widowControl/>
        <w:spacing w:line="230" w:lineRule="auto" w:before="434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3.1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Datasets Construction and LLMs Selection </w:t>
      </w:r>
    </w:p>
    <w:p>
      <w:pPr>
        <w:autoSpaceDN w:val="0"/>
        <w:autoSpaceDE w:val="0"/>
        <w:widowControl/>
        <w:spacing w:line="319" w:lineRule="auto" w:before="366" w:after="0"/>
        <w:ind w:left="36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3.1.1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Pymatgen-based Dataset Construction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We utilize Gemini-2.0-flash to generate two question-answering datasets focused on Pymatgen: </w:t>
      </w:r>
    </w:p>
    <w:p>
      <w:pPr>
        <w:autoSpaceDN w:val="0"/>
        <w:tabs>
          <w:tab w:pos="1080" w:val="left"/>
        </w:tabs>
        <w:autoSpaceDE w:val="0"/>
        <w:widowControl/>
        <w:spacing w:line="264" w:lineRule="auto" w:before="308" w:after="0"/>
        <w:ind w:left="72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1.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 code-based dataset, assessing comprehension of implementation details in materials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simulation scripts. </w:t>
      </w:r>
    </w:p>
    <w:p>
      <w:pPr>
        <w:autoSpaceDN w:val="0"/>
        <w:tabs>
          <w:tab w:pos="1080" w:val="left"/>
        </w:tabs>
        <w:autoSpaceDE w:val="0"/>
        <w:widowControl/>
        <w:spacing w:line="264" w:lineRule="auto" w:before="68" w:after="0"/>
        <w:ind w:left="72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2.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 documentation-based (doc-based) dataset, evaluating knowledge of API usage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theoretical concepts. </w:t>
      </w:r>
    </w:p>
    <w:p>
      <w:pPr>
        <w:autoSpaceDN w:val="0"/>
        <w:autoSpaceDE w:val="0"/>
        <w:widowControl/>
        <w:spacing w:line="425" w:lineRule="auto" w:before="146" w:after="0"/>
        <w:ind w:left="36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For the code-based dataset, we employ the large language model to automatically generate five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multiple-choice questions per Python code snippet. Each question presents the code with a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strategically masked component, denoted as [MASK], where the obscured element corresponds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 a key function name or critical code segment essential to the program’s logic. The answer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choices include both the correct option and carefully designed distractors, which consist of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plausible but incorrect alternatives to rigorously assess the reader’s understanding. This dataset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is designed to evaluate proficiency in code implementation details, encompassing function calls,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critical logical constructs, and syntactic conventions. To answer correctly, readers must infer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masked component by analyzing the surrounding context, including function signatures,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parameter usage, and operational semantics. Code-based answers require dynamic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interpretation of code behavior and dependencies. </w:t>
      </w:r>
    </w:p>
    <w:p>
      <w:pPr>
        <w:autoSpaceDN w:val="0"/>
        <w:autoSpaceDE w:val="0"/>
        <w:widowControl/>
        <w:spacing w:line="233" w:lineRule="auto" w:before="348" w:after="52"/>
        <w:ind w:left="468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The structure of code-based QAs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4513"/>
        <w:gridCol w:w="4513"/>
      </w:tblGrid>
      <w:tr>
        <w:trPr>
          <w:trHeight w:hRule="exact" w:val="322"/>
        </w:trPr>
        <w:tc>
          <w:tcPr>
            <w:tcW w:type="dxa" w:w="56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1: </w:t>
            </w:r>
          </w:p>
        </w:tc>
        <w:tc>
          <w:tcPr>
            <w:tcW w:type="dxa" w:w="773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&lt;question1&gt;Generated question text here with a [MASK] token replacing a function </w:t>
            </w:r>
          </w:p>
        </w:tc>
      </w:tr>
    </w:tbl>
    <w:p>
      <w:pPr>
        <w:autoSpaceDN w:val="0"/>
        <w:autoSpaceDE w:val="0"/>
        <w:widowControl/>
        <w:spacing w:line="230" w:lineRule="auto" w:before="30" w:after="34"/>
        <w:ind w:left="103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or key part.&lt;/question1&gt;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5.99999999999994" w:type="dxa"/>
      </w:tblPr>
      <w:tblGrid>
        <w:gridCol w:w="4513"/>
        <w:gridCol w:w="4513"/>
      </w:tblGrid>
      <w:tr>
        <w:trPr>
          <w:trHeight w:hRule="exact" w:val="2186"/>
        </w:trPr>
        <w:tc>
          <w:tcPr>
            <w:tcW w:type="dxa" w:w="51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36" w:after="0"/>
              <w:ind w:left="122" w:right="16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2: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3: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4: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5: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6: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8: </w:t>
            </w:r>
          </w:p>
        </w:tc>
        <w:tc>
          <w:tcPr>
            <w:tcW w:type="dxa" w:w="780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06" w:val="left"/>
              </w:tabs>
              <w:autoSpaceDE w:val="0"/>
              <w:widowControl/>
              <w:spacing w:line="288" w:lineRule="auto" w:before="36" w:after="0"/>
              <w:ind w:left="176" w:right="230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&lt;answer_choices1&gt;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&lt;choice&gt;A. First answer choice&lt;/choice&gt;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&lt;choice&gt;B. Second answer choice&lt;/choice&gt;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&lt;choice&gt;C. Third answer choice&lt;/choice&gt;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&lt;choice&gt;D. Fourth answer choice&lt;/choice&gt;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&lt;/answer_choices1&gt;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&lt;correct_answer1&gt;Correct choice letter&lt;/correct_answer1&gt;</w:t>
            </w:r>
          </w:p>
        </w:tc>
      </w:tr>
    </w:tbl>
    <w:p>
      <w:pPr>
        <w:autoSpaceDN w:val="0"/>
        <w:autoSpaceDE w:val="0"/>
        <w:widowControl/>
        <w:spacing w:line="338" w:lineRule="auto" w:before="750" w:after="0"/>
        <w:ind w:left="288" w:right="288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For the doc-based dataset, we employ the same model to generate five multiple-choice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questions per Pymatgen documentation segment. This evaluation framework assesses three key </w:t>
      </w:r>
    </w:p>
    <w:p>
      <w:pPr>
        <w:sectPr>
          <w:pgSz w:w="11906" w:h="16838"/>
          <w:pgMar w:top="430" w:right="1440" w:bottom="7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16 </w:t>
            </w:r>
          </w:p>
        </w:tc>
      </w:tr>
    </w:tbl>
    <w:p>
      <w:pPr>
        <w:autoSpaceDN w:val="0"/>
        <w:autoSpaceDE w:val="0"/>
        <w:widowControl/>
        <w:spacing w:line="415" w:lineRule="auto" w:before="440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dimensions of documentation comprehension: module architecture understanding, materials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science principles, and technical specification interpretation. Readers must demonstrate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ability to synthesize contextual documentation details, integrate cross-domain conceptual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knowledge, and strictly adhere to official technical specifications. The distractor design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incorporates common misconceptions, conceptually similar but incorrect alternatives, partially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accurate options, and documentation-inconsistent variations, ensuring robust evaluation of true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understanding. Doc-based answers are strictly verifiable against canonical documentation. </w:t>
      </w:r>
    </w:p>
    <w:p>
      <w:pPr>
        <w:autoSpaceDN w:val="0"/>
        <w:autoSpaceDE w:val="0"/>
        <w:widowControl/>
        <w:spacing w:line="233" w:lineRule="auto" w:before="348" w:after="52"/>
        <w:ind w:left="468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The structure of doc-based QAs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4513"/>
        <w:gridCol w:w="4513"/>
      </w:tblGrid>
      <w:tr>
        <w:trPr>
          <w:trHeight w:hRule="exact" w:val="2506"/>
        </w:trPr>
        <w:tc>
          <w:tcPr>
            <w:tcW w:type="dxa" w:w="568"/>
            <w:tcBorders>
              <w:top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40" w:after="0"/>
              <w:ind w:left="108" w:right="2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2: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3: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4: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5: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6: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8: </w:t>
            </w:r>
          </w:p>
        </w:tc>
        <w:tc>
          <w:tcPr>
            <w:tcW w:type="dxa" w:w="7738"/>
            <w:tcBorders>
              <w:top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8" w:val="left"/>
              </w:tabs>
              <w:autoSpaceDE w:val="0"/>
              <w:widowControl/>
              <w:spacing w:line="288" w:lineRule="auto" w:before="40" w:after="0"/>
              <w:ind w:left="108" w:right="230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&lt;question1&gt;Generated question text here.&lt;/question1&gt;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&lt;answer_choices1&gt;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&lt;choice&gt;A. First answer choice&lt;/choice&gt;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&lt;choice&gt;B. Second answer choice&lt;/choice&gt;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&lt;choice&gt;C. Third answer choice&lt;/choice&gt;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&lt;choice&gt;D. Fourth answer choice&lt;/choice&gt;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&lt;/answer_choices1&gt;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&lt;correct_answer1&gt;Correct choice letter&lt;/correct_answer1&gt;</w:t>
            </w:r>
          </w:p>
        </w:tc>
      </w:tr>
    </w:tbl>
    <w:p>
      <w:pPr>
        <w:autoSpaceDN w:val="0"/>
        <w:autoSpaceDE w:val="0"/>
        <w:widowControl/>
        <w:spacing w:line="401" w:lineRule="auto" w:before="748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code-based dataset contains 34621 QAs while the doc-based dataset contains 34604 QAs.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We expect that all question-answering pairs in two datasets will cost a total of 27505032 tokens.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These two datasets will serve as benchmarks to investigate the inherent capabilities of various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large language models (LLMs) in materials science tasks without retrieval-augmented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generation (RAG), thereby isolating their core understanding and reasoning performance. </w:t>
      </w:r>
    </w:p>
    <w:p>
      <w:pPr>
        <w:autoSpaceDN w:val="0"/>
        <w:autoSpaceDE w:val="0"/>
        <w:widowControl/>
        <w:spacing w:line="401" w:lineRule="auto" w:before="364" w:after="164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3.1.2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Large Language Models Selection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selection of models for our experimental work was guided by the imperative to assess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capabilities in materials simulation across a broad spectrum of large language models known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for their robust performance in diverse applications. We chose models from the Gemini series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(Gemini-1.5-flash, Gemini-1.5-pro, Gemini-2.0-flash, Gemini-2.0-pro-exp-02-05)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Qwen series (including Qwen2.5-7B-Instruct, Qwen2.5-14B-Instruct, Qwen-2.5-Coder-14B-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256"/>
        <w:gridCol w:w="2256"/>
        <w:gridCol w:w="2256"/>
        <w:gridCol w:w="2256"/>
      </w:tblGrid>
      <w:tr>
        <w:trPr>
          <w:trHeight w:hRule="exact" w:val="364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Instruct, 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Qwen2.5-32B-Instruct, 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Qwen-2.5-Coder-32B-Instruct, </w:t>
            </w:r>
          </w:p>
        </w:tc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Qwen2.5-72B-Instruct-</w:t>
            </w:r>
          </w:p>
        </w:tc>
      </w:tr>
    </w:tbl>
    <w:p>
      <w:pPr>
        <w:autoSpaceDN w:val="0"/>
        <w:autoSpaceDE w:val="0"/>
        <w:widowControl/>
        <w:spacing w:line="338" w:lineRule="auto" w:before="164" w:after="0"/>
        <w:ind w:left="288" w:right="144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GPTQ-int4, and QwQ-32B) due to their widespread use and proven efficacy in complex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language tasks. These models span the gamut from lightweight, with parameter sizes of 7 billion, </w:t>
      </w:r>
    </w:p>
    <w:p>
      <w:pPr>
        <w:sectPr>
          <w:pgSz w:w="11906" w:h="16838"/>
          <w:pgMar w:top="430" w:right="1440" w:bottom="9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17 </w:t>
            </w:r>
          </w:p>
        </w:tc>
      </w:tr>
    </w:tbl>
    <w:p>
      <w:pPr>
        <w:autoSpaceDN w:val="0"/>
        <w:autoSpaceDE w:val="0"/>
        <w:widowControl/>
        <w:spacing w:line="338" w:lineRule="auto" w:before="440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 very large, with parameter sizes of 72 billion, representing the cutting edge in generalized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language understanding. They provide a robust baseline for benchmarking. </w:t>
      </w:r>
    </w:p>
    <w:p>
      <w:pPr>
        <w:autoSpaceDN w:val="0"/>
        <w:autoSpaceDE w:val="0"/>
        <w:widowControl/>
        <w:spacing w:line="418" w:lineRule="auto" w:before="386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 addition, we incorporated ChenDFM-v1.5-8B, a specialized model with 8 billion parameters,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tailored specifically for molecular design, material property prediction, and even chemistry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quizzes. We also included Darwin1_v2, which is focused on material simulation, structural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optimization, and performance prediction. The strategic inclusion of both general-purpose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specialized models allows us to illustrate how various models perform differently on the two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Pymatgen-based datasets we generated. This comparative analysis is crucial for determining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optimal underlying large language model to be integrated with Retrieval-Augmented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Generation (RAG) in the subsequent chapter. </w:t>
      </w:r>
    </w:p>
    <w:p>
      <w:pPr>
        <w:autoSpaceDN w:val="0"/>
        <w:autoSpaceDE w:val="0"/>
        <w:widowControl/>
        <w:spacing w:line="230" w:lineRule="auto" w:before="432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3.2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Performance Evaluation </w:t>
      </w:r>
    </w:p>
    <w:p>
      <w:pPr>
        <w:autoSpaceDN w:val="0"/>
        <w:autoSpaceDE w:val="0"/>
        <w:widowControl/>
        <w:spacing w:line="391" w:lineRule="auto" w:before="36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3.2.1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Overall Performance Evaluation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We evaluated the performance of diverse models on code-based dataset and doc-based dataset,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including Qwen series models, Gemini series models and two domain-specialized models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(ChemDFM-v1.5-8B and Darwin1_v2). The evaluation results are illustrated in Table 1, Table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2 and Table 3. </w:t>
      </w:r>
    </w:p>
    <w:p>
      <w:pPr>
        <w:autoSpaceDN w:val="0"/>
        <w:autoSpaceDE w:val="0"/>
        <w:widowControl/>
        <w:spacing w:line="425" w:lineRule="auto" w:before="384" w:after="0"/>
        <w:ind w:left="288" w:right="288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benchmark evaluation of Qwen series models (Table 3.1) demonstrates clear performance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trends across different model sizes and architectures. Standard Qwen models show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progressively higher accuracy with increasing parameter counts, rising from 74.37% for code-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based tasks with the 7B model to 81.36% with the 72B models. The performance on doc-based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dataset consistently achieves 1-4 percentage points higher accuracy than corresponding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code-based dataset across all model sizes. The coder-optimized models exhibit specialized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advantages, with Qwen2.5-Coder-14B performing nearly the same as its standard model 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code-based tasks. Notably, the 32B standard model delivers the most balanced performance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(80.03% code-based and 82.01% doc-based), while QwQ-32B shows exceptional code-based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task capability at 84.27%, which is the highest in the series, though doc-based dataset data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remains unavailable due to time limitation. The results suggest that while model scale generally </w:t>
      </w:r>
    </w:p>
    <w:p>
      <w:pPr>
        <w:sectPr>
          <w:pgSz w:w="11906" w:h="16838"/>
          <w:pgMar w:top="430" w:right="1440" w:bottom="105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18 </w:t>
            </w:r>
          </w:p>
        </w:tc>
      </w:tr>
    </w:tbl>
    <w:p>
      <w:pPr>
        <w:autoSpaceDN w:val="0"/>
        <w:autoSpaceDE w:val="0"/>
        <w:widowControl/>
        <w:spacing w:line="338" w:lineRule="auto" w:before="440" w:after="266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improves performance, the benefits diminish beyond 32B parameters, and specialized models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can achieve targeted improvements over their general-purpose models.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16.0" w:type="dxa"/>
      </w:tblPr>
      <w:tblGrid>
        <w:gridCol w:w="2256"/>
        <w:gridCol w:w="2256"/>
        <w:gridCol w:w="2256"/>
        <w:gridCol w:w="2256"/>
      </w:tblGrid>
      <w:tr>
        <w:trPr>
          <w:trHeight w:hRule="exact" w:val="330"/>
        </w:trPr>
        <w:tc>
          <w:tcPr>
            <w:tcW w:type="dxa" w:w="898"/>
            <w:tcBorders>
              <w:top w:sz="7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Index </w:t>
            </w:r>
          </w:p>
        </w:tc>
        <w:tc>
          <w:tcPr>
            <w:tcW w:type="dxa" w:w="3444"/>
            <w:tcBorders>
              <w:top w:sz="7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412"/>
            <w:tcBorders>
              <w:top w:sz="7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Dataset </w:t>
            </w:r>
          </w:p>
        </w:tc>
        <w:tc>
          <w:tcPr>
            <w:tcW w:type="dxa" w:w="1238"/>
            <w:tcBorders>
              <w:top w:sz="7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Accuracy </w:t>
            </w:r>
          </w:p>
        </w:tc>
      </w:tr>
      <w:tr>
        <w:trPr>
          <w:trHeight w:hRule="exact" w:val="306"/>
        </w:trPr>
        <w:tc>
          <w:tcPr>
            <w:tcW w:type="dxa" w:w="89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3444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Qwen2.5-7B-Instruct </w:t>
            </w:r>
          </w:p>
        </w:tc>
        <w:tc>
          <w:tcPr>
            <w:tcW w:type="dxa" w:w="1412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3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74.37 </w:t>
            </w:r>
          </w:p>
        </w:tc>
      </w:tr>
      <w:tr>
        <w:trPr>
          <w:trHeight w:hRule="exact" w:val="326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344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Qwen2.5-14B-Instruct 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75.79 </w:t>
            </w:r>
          </w:p>
        </w:tc>
      </w:tr>
      <w:tr>
        <w:trPr>
          <w:trHeight w:hRule="exact" w:val="294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2256"/>
            <w:vMerge/>
            <w:tcBorders/>
          </w:tcPr>
          <w:p/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76.72 </w:t>
            </w:r>
          </w:p>
        </w:tc>
      </w:tr>
      <w:tr>
        <w:trPr>
          <w:trHeight w:hRule="exact" w:val="332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344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Qwen2.5-Coder-14B-Instruct 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80.26 </w:t>
            </w:r>
          </w:p>
        </w:tc>
      </w:tr>
      <w:tr>
        <w:trPr>
          <w:trHeight w:hRule="exact" w:val="308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2256"/>
            <w:vMerge/>
            <w:tcBorders/>
          </w:tcPr>
          <w:p/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77.44 </w:t>
            </w:r>
          </w:p>
        </w:tc>
      </w:tr>
      <w:tr>
        <w:trPr>
          <w:trHeight w:hRule="exact" w:val="316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344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5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Qwen2.5-32B-Instruct 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79.44 </w:t>
            </w:r>
          </w:p>
        </w:tc>
      </w:tr>
      <w:tr>
        <w:trPr>
          <w:trHeight w:hRule="exact" w:val="304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 </w:t>
            </w:r>
          </w:p>
        </w:tc>
        <w:tc>
          <w:tcPr>
            <w:tcW w:type="dxa" w:w="2256"/>
            <w:vMerge/>
            <w:tcBorders/>
          </w:tcPr>
          <w:p/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80.03 </w:t>
            </w:r>
          </w:p>
        </w:tc>
      </w:tr>
      <w:tr>
        <w:trPr>
          <w:trHeight w:hRule="exact" w:val="318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 </w:t>
            </w:r>
          </w:p>
        </w:tc>
        <w:tc>
          <w:tcPr>
            <w:tcW w:type="dxa" w:w="344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Qwen2.5-Coder-32B-Instruct 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82.01 </w:t>
            </w:r>
          </w:p>
        </w:tc>
      </w:tr>
      <w:tr>
        <w:trPr>
          <w:trHeight w:hRule="exact" w:val="302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9 </w:t>
            </w:r>
          </w:p>
        </w:tc>
        <w:tc>
          <w:tcPr>
            <w:tcW w:type="dxa" w:w="2256"/>
            <w:vMerge/>
            <w:tcBorders/>
          </w:tcPr>
          <w:p/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79.18 </w:t>
            </w:r>
          </w:p>
        </w:tc>
      </w:tr>
      <w:tr>
        <w:trPr>
          <w:trHeight w:hRule="exact" w:val="322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10 </w:t>
            </w:r>
          </w:p>
        </w:tc>
        <w:tc>
          <w:tcPr>
            <w:tcW w:type="dxa" w:w="344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5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Qwen2.5-72B-Instruct-GPTQ-int4 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79.85 </w:t>
            </w:r>
          </w:p>
        </w:tc>
      </w:tr>
      <w:tr>
        <w:trPr>
          <w:trHeight w:hRule="exact" w:val="298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11 </w:t>
            </w:r>
          </w:p>
        </w:tc>
        <w:tc>
          <w:tcPr>
            <w:tcW w:type="dxa" w:w="2256"/>
            <w:vMerge/>
            <w:tcBorders/>
          </w:tcPr>
          <w:p/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81.36 </w:t>
            </w:r>
          </w:p>
        </w:tc>
      </w:tr>
      <w:tr>
        <w:trPr>
          <w:trHeight w:hRule="exact" w:val="328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12 </w:t>
            </w:r>
          </w:p>
        </w:tc>
        <w:tc>
          <w:tcPr>
            <w:tcW w:type="dxa" w:w="34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QwQ-32B 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81.82 </w:t>
            </w:r>
          </w:p>
        </w:tc>
      </w:tr>
      <w:tr>
        <w:trPr>
          <w:trHeight w:hRule="exact" w:val="292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13 </w:t>
            </w:r>
          </w:p>
        </w:tc>
        <w:tc>
          <w:tcPr>
            <w:tcW w:type="dxa" w:w="2256"/>
            <w:vMerge/>
            <w:tcBorders>
              <w:bottom w:sz="8.0" w:val="single" w:color="#000000"/>
            </w:tcBorders>
          </w:tcPr>
          <w:p/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84.27 </w:t>
            </w:r>
          </w:p>
        </w:tc>
      </w:tr>
      <w:tr>
        <w:trPr>
          <w:trHeight w:hRule="exact" w:val="336"/>
        </w:trPr>
        <w:tc>
          <w:tcPr>
            <w:tcW w:type="dxa" w:w="89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14 </w:t>
            </w:r>
          </w:p>
        </w:tc>
        <w:tc>
          <w:tcPr>
            <w:tcW w:type="dxa" w:w="2256"/>
            <w:vMerge/>
            <w:tcBorders>
              <w:bottom w:sz="8.0" w:val="single" w:color="#000000"/>
            </w:tcBorders>
          </w:tcPr>
          <w:p/>
        </w:tc>
        <w:tc>
          <w:tcPr>
            <w:tcW w:type="dxa" w:w="141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3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- </w:t>
            </w:r>
          </w:p>
        </w:tc>
      </w:tr>
    </w:tbl>
    <w:p>
      <w:pPr>
        <w:autoSpaceDN w:val="0"/>
        <w:autoSpaceDE w:val="0"/>
        <w:widowControl/>
        <w:spacing w:line="233" w:lineRule="auto" w:before="13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Table 3.1: Basic evaluation with various LLMs from the Qwen series across parameter scales (7 billion to 72 </w:t>
      </w:r>
    </w:p>
    <w:p>
      <w:pPr>
        <w:autoSpaceDN w:val="0"/>
        <w:autoSpaceDE w:val="0"/>
        <w:widowControl/>
        <w:spacing w:line="233" w:lineRule="auto" w:before="2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billion) reveals that the average accuracy rates of Qwen series models on both benchmarks stabilize at </w:t>
      </w:r>
    </w:p>
    <w:p>
      <w:pPr>
        <w:autoSpaceDN w:val="0"/>
        <w:autoSpaceDE w:val="0"/>
        <w:widowControl/>
        <w:spacing w:line="233" w:lineRule="auto" w:before="2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approximately 80%, with modestly higher accuracy observed on doc-based tasks compared to code-based </w:t>
      </w:r>
    </w:p>
    <w:p>
      <w:pPr>
        <w:autoSpaceDN w:val="0"/>
        <w:autoSpaceDE w:val="0"/>
        <w:widowControl/>
        <w:spacing w:line="233" w:lineRule="auto" w:before="2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tasks. </w:t>
      </w:r>
    </w:p>
    <w:p>
      <w:pPr>
        <w:autoSpaceDN w:val="0"/>
        <w:autoSpaceDE w:val="0"/>
        <w:widowControl/>
        <w:spacing w:line="427" w:lineRule="auto" w:before="408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Our comparative benchmark analysis of Gemini series models (Table 3.2) reveals several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noteworthy performance patterns. The Gemini-1.5-Pro model achieves the highest overall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accuracy among all tested models, with 80.60% on code-based datasets and 82.90% on doc-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based datasets, demonstrating its strong capability in materials science applications. While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two 1.5 generation models show stable performance across both datasets, the Gemini-2.0-Flash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exhibits a significant discrepancy between code (73.86%) and documentation (82.76%) tasks,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suggesting potential optimization differences in its architecture. The experimental Gemini-2.0-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Pro-Exp-02-05 model shows promising results on code tasks (79.69%), though data of doc-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based dataset is currently unavailable due to some reasons would be discussed later. Across all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models, doc-based tasks generally yield higher accuracy than their code-based counterparts,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with performance gaps ranging from 0.78% (Gemini-1.5-Flash) to as much as 8.9% (Gemini-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2.0-Flash), indicating that these models may be more adept at conceptual understanding than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code implementation tasks in the materials science domain. </w:t>
      </w:r>
    </w:p>
    <w:p>
      <w:pPr>
        <w:sectPr>
          <w:pgSz w:w="11906" w:h="16838"/>
          <w:pgMar w:top="430" w:right="1440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590"/>
        </w:trPr>
        <w:tc>
          <w:tcPr>
            <w:tcW w:type="dxa" w:w="22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04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2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19 </w:t>
            </w:r>
          </w:p>
        </w:tc>
      </w:tr>
      <w:tr>
        <w:trPr>
          <w:trHeight w:hRule="exact" w:val="326"/>
        </w:trPr>
        <w:tc>
          <w:tcPr>
            <w:tcW w:type="dxa" w:w="2240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0" w:right="308" w:firstLine="0"/>
              <w:jc w:val="righ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Index </w:t>
            </w:r>
          </w:p>
        </w:tc>
        <w:tc>
          <w:tcPr>
            <w:tcW w:type="dxa" w:w="2700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0" w:right="1130" w:firstLine="0"/>
              <w:jc w:val="righ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346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Dataset </w:t>
            </w:r>
          </w:p>
        </w:tc>
        <w:tc>
          <w:tcPr>
            <w:tcW w:type="dxa" w:w="1220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Accuracy </w:t>
            </w:r>
          </w:p>
        </w:tc>
        <w:tc>
          <w:tcPr>
            <w:tcW w:type="dxa" w:w="1174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4"/>
        </w:trPr>
        <w:tc>
          <w:tcPr>
            <w:tcW w:type="dxa" w:w="22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5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27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43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Gemini-1.5-Flash </w:t>
            </w:r>
          </w:p>
        </w:tc>
        <w:tc>
          <w:tcPr>
            <w:tcW w:type="dxa" w:w="1346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75.59 </w:t>
            </w:r>
          </w:p>
        </w:tc>
        <w:tc>
          <w:tcPr>
            <w:tcW w:type="dxa" w:w="1174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5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0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48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76.37 </w:t>
            </w:r>
          </w:p>
        </w:tc>
        <w:tc>
          <w:tcPr>
            <w:tcW w:type="dxa" w:w="1805"/>
            <w:vMerge/>
            <w:tcBorders>
              <w:top w:sz="4.0" w:val="single" w:color="#000000"/>
            </w:tcBorders>
          </w:tcPr>
          <w:p/>
        </w:tc>
      </w:tr>
      <w:tr>
        <w:trPr>
          <w:trHeight w:hRule="exact" w:val="320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0" w:right="5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52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Gemini-1.5-Pro </w:t>
            </w:r>
          </w:p>
        </w:tc>
        <w:tc>
          <w:tcPr>
            <w:tcW w:type="dxa" w:w="1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80.60 </w:t>
            </w:r>
          </w:p>
        </w:tc>
        <w:tc>
          <w:tcPr>
            <w:tcW w:type="dxa" w:w="1805"/>
            <w:vMerge/>
            <w:tcBorders>
              <w:top w:sz="4.0" w:val="single" w:color="#000000"/>
            </w:tcBorders>
          </w:tcPr>
          <w:p/>
        </w:tc>
      </w:tr>
      <w:tr>
        <w:trPr>
          <w:trHeight w:hRule="exact" w:val="300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5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0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48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82.90 </w:t>
            </w:r>
          </w:p>
        </w:tc>
        <w:tc>
          <w:tcPr>
            <w:tcW w:type="dxa" w:w="1805"/>
            <w:vMerge/>
            <w:tcBorders>
              <w:top w:sz="4.0" w:val="single" w:color="#000000"/>
            </w:tcBorders>
          </w:tcPr>
          <w:p/>
        </w:tc>
      </w:tr>
      <w:tr>
        <w:trPr>
          <w:trHeight w:hRule="exact" w:val="320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5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43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Gemini-2.0-Flash </w:t>
            </w:r>
          </w:p>
        </w:tc>
        <w:tc>
          <w:tcPr>
            <w:tcW w:type="dxa" w:w="1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73.86 </w:t>
            </w:r>
          </w:p>
        </w:tc>
        <w:tc>
          <w:tcPr>
            <w:tcW w:type="dxa" w:w="1805"/>
            <w:vMerge/>
            <w:tcBorders>
              <w:top w:sz="4.0" w:val="single" w:color="#000000"/>
            </w:tcBorders>
          </w:tcPr>
          <w:p/>
        </w:tc>
      </w:tr>
      <w:tr>
        <w:trPr>
          <w:trHeight w:hRule="exact" w:val="300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5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0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48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82.76 </w:t>
            </w:r>
          </w:p>
        </w:tc>
        <w:tc>
          <w:tcPr>
            <w:tcW w:type="dxa" w:w="1805"/>
            <w:vMerge/>
            <w:tcBorders>
              <w:top w:sz="4.0" w:val="single" w:color="#000000"/>
            </w:tcBorders>
          </w:tcPr>
          <w:p/>
        </w:tc>
      </w:tr>
      <w:tr>
        <w:trPr>
          <w:trHeight w:hRule="exact" w:val="320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5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 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Gemini-2.0-Pro-Exp-02-05 </w:t>
            </w:r>
          </w:p>
        </w:tc>
        <w:tc>
          <w:tcPr>
            <w:tcW w:type="dxa" w:w="1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79.69 </w:t>
            </w:r>
          </w:p>
        </w:tc>
        <w:tc>
          <w:tcPr>
            <w:tcW w:type="dxa" w:w="1805"/>
            <w:vMerge/>
            <w:tcBorders>
              <w:top w:sz="4.0" w:val="single" w:color="#000000"/>
            </w:tcBorders>
          </w:tcPr>
          <w:p/>
        </w:tc>
      </w:tr>
      <w:tr>
        <w:trPr>
          <w:trHeight w:hRule="exact" w:val="338"/>
        </w:trPr>
        <w:tc>
          <w:tcPr>
            <w:tcW w:type="dxa" w:w="2240"/>
            <w:tcBorders>
              <w:bottom w:sz="7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0" w:right="5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 </w:t>
            </w:r>
          </w:p>
        </w:tc>
        <w:tc>
          <w:tcPr>
            <w:tcW w:type="dxa" w:w="40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0" w:right="48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- </w:t>
            </w:r>
          </w:p>
        </w:tc>
        <w:tc>
          <w:tcPr>
            <w:tcW w:type="dxa" w:w="1805"/>
            <w:vMerge/>
            <w:tcBorders>
              <w:top w:sz="4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33" w:lineRule="auto" w:before="13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Table 3.2: Preliminary evaluation of multiple Gemini series models (including Gemini-1.5 and Gemini-2.0) </w:t>
      </w:r>
    </w:p>
    <w:p>
      <w:pPr>
        <w:autoSpaceDN w:val="0"/>
        <w:autoSpaceDE w:val="0"/>
        <w:widowControl/>
        <w:spacing w:line="233" w:lineRule="auto" w:before="2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demonstrates an average accuracy of 79% on both tasks, with doc-based evaluations consistently </w:t>
      </w:r>
    </w:p>
    <w:p>
      <w:pPr>
        <w:autoSpaceDN w:val="0"/>
        <w:autoSpaceDE w:val="0"/>
        <w:widowControl/>
        <w:spacing w:line="233" w:lineRule="auto" w:before="2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outperforming code-based tasks. </w:t>
      </w:r>
    </w:p>
    <w:p>
      <w:pPr>
        <w:autoSpaceDN w:val="0"/>
        <w:autoSpaceDE w:val="0"/>
        <w:widowControl/>
        <w:spacing w:line="230" w:lineRule="auto" w:before="408" w:after="166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benchmark evaluation of domain-specific models (Table 3.3) reveals significant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362"/>
        </w:trPr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performance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limitations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compared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to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general-purpose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LLMs. 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ChemDFM-v1.5-8B </w:t>
            </w:r>
          </w:p>
        </w:tc>
      </w:tr>
    </w:tbl>
    <w:p>
      <w:pPr>
        <w:autoSpaceDN w:val="0"/>
        <w:autoSpaceDE w:val="0"/>
        <w:widowControl/>
        <w:spacing w:line="427" w:lineRule="auto" w:before="166" w:after="266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demonstrates measurable but substantially lower accuracy (32.35% on code-based dataset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30.20% on doc-based dataset), while Darwin1_v2 shows near-zero task comprehension with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only 0.01% accuracy across both datasets. This result pronounces performance gap of over 30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percentage points between the two specialized models and more than 50 points compared to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Qwen and Gemini’s average accuracy (~80%), suggesting fundamental challenges in applying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these domain-specific LLMs to Pymatgen-related tasks. Notably, both models exhibit minimal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variation between code and documentation task performance (differences &lt;2.5%), contrasting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with the significant benchmark disparities observed in general-purpose models.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particularly poor performance of Darwin1_v2, despite its material science specialization,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indicates potential limitations in either its training methodology or fundamental architecture for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these material simulation tasks. These results highlight the need for careful validation when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implementing domain-specific models and the great potential in these models to improve their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performance in materials simulation.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2256"/>
        <w:gridCol w:w="2256"/>
        <w:gridCol w:w="2256"/>
        <w:gridCol w:w="2256"/>
      </w:tblGrid>
      <w:tr>
        <w:trPr>
          <w:trHeight w:hRule="exact" w:val="330"/>
        </w:trPr>
        <w:tc>
          <w:tcPr>
            <w:tcW w:type="dxa" w:w="898"/>
            <w:tcBorders>
              <w:top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Index </w:t>
            </w:r>
          </w:p>
        </w:tc>
        <w:tc>
          <w:tcPr>
            <w:tcW w:type="dxa" w:w="2798"/>
            <w:tcBorders>
              <w:top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430"/>
            <w:tcBorders>
              <w:top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Dataset </w:t>
            </w:r>
          </w:p>
        </w:tc>
        <w:tc>
          <w:tcPr>
            <w:tcW w:type="dxa" w:w="1220"/>
            <w:tcBorders>
              <w:top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Accuracy </w:t>
            </w:r>
          </w:p>
        </w:tc>
      </w:tr>
      <w:tr>
        <w:trPr>
          <w:trHeight w:hRule="exact" w:val="320"/>
        </w:trPr>
        <w:tc>
          <w:tcPr>
            <w:tcW w:type="dxa" w:w="89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279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ChemDFM-v1.5-8B </w:t>
            </w:r>
          </w:p>
        </w:tc>
        <w:tc>
          <w:tcPr>
            <w:tcW w:type="dxa" w:w="143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32.35 </w:t>
            </w:r>
          </w:p>
        </w:tc>
      </w:tr>
      <w:tr>
        <w:trPr>
          <w:trHeight w:hRule="exact" w:val="312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2798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Darwin1_v2 </w:t>
            </w:r>
          </w:p>
        </w:tc>
        <w:tc>
          <w:tcPr>
            <w:tcW w:type="dxa" w:w="14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30.20 </w:t>
            </w:r>
          </w:p>
        </w:tc>
      </w:tr>
      <w:tr>
        <w:trPr>
          <w:trHeight w:hRule="exact" w:val="308"/>
        </w:trPr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2256"/>
            <w:vMerge/>
            <w:tcBorders>
              <w:bottom w:sz="8.0" w:val="single" w:color="#000000"/>
            </w:tcBorders>
          </w:tcPr>
          <w:p/>
        </w:tc>
        <w:tc>
          <w:tcPr>
            <w:tcW w:type="dxa" w:w="14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0.01 </w:t>
            </w:r>
          </w:p>
        </w:tc>
      </w:tr>
      <w:tr>
        <w:trPr>
          <w:trHeight w:hRule="exact" w:val="302"/>
        </w:trPr>
        <w:tc>
          <w:tcPr>
            <w:tcW w:type="dxa" w:w="89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2256"/>
            <w:vMerge/>
            <w:tcBorders>
              <w:bottom w:sz="8.0" w:val="single" w:color="#000000"/>
            </w:tcBorders>
          </w:tcPr>
          <w:p/>
        </w:tc>
        <w:tc>
          <w:tcPr>
            <w:tcW w:type="dxa" w:w="14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0.01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430" w:right="1440" w:bottom="10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20 </w:t>
            </w:r>
          </w:p>
        </w:tc>
      </w:tr>
    </w:tbl>
    <w:p>
      <w:pPr>
        <w:autoSpaceDN w:val="0"/>
        <w:autoSpaceDE w:val="0"/>
        <w:widowControl/>
        <w:spacing w:line="233" w:lineRule="auto" w:before="460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Table 3.3: Comparative evaluation with the two domain-specialized models. The result reveals stark </w:t>
      </w:r>
    </w:p>
    <w:p>
      <w:pPr>
        <w:autoSpaceDN w:val="0"/>
        <w:autoSpaceDE w:val="0"/>
        <w:widowControl/>
        <w:spacing w:line="233" w:lineRule="auto" w:before="2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performance differences: ChemDFM-v1.5-8B achieved modest accuracy (30.20-32.35%), while Darwin1_v2 </w:t>
      </w:r>
    </w:p>
    <w:p>
      <w:pPr>
        <w:autoSpaceDN w:val="0"/>
        <w:autoSpaceDE w:val="0"/>
        <w:widowControl/>
        <w:spacing w:line="233" w:lineRule="auto" w:before="2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failed to demonstrate meaningful task comprehension (0.01% accuracy across both datasets). </w:t>
      </w:r>
    </w:p>
    <w:p>
      <w:pPr>
        <w:autoSpaceDN w:val="0"/>
        <w:autoSpaceDE w:val="0"/>
        <w:widowControl/>
        <w:spacing w:line="410" w:lineRule="auto" w:before="38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3.2.2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Code-based Task vs. Doc-based Task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 the dataset generation chapter, we highlight the difference of prompts designed for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generating the code-based dataset and the doc-based dataset. Therefore, the performance of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LLMs differs on the experiments on the two Pymatgen-related datasets. The code-based dataset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usually demands the LLMs to interpret dynamic code context, challenging the capability of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syntax awareness and control flow analysis. As for the doc-based dataset, the difficulty mainly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focuses on specialization of materials science terminology and precise recall of documented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specifications. </w:t>
      </w:r>
    </w:p>
    <w:p>
      <w:pPr>
        <w:autoSpaceDN w:val="0"/>
        <w:autoSpaceDE w:val="0"/>
        <w:widowControl/>
        <w:spacing w:line="401" w:lineRule="auto" w:before="386" w:after="298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As shown in Figure 3.1, doc-based tasks achieve significantly higher accuracy rates than code-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based tasks. Aligned with Bloom’s Taxonomy, code-based tasks assess higher-order skills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(Levels 4-6: Analyze/Evaluate/Create), while doc-based questions target foundational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knowledge (Levels 1-3: Remember/Understand/Apply). This explains the observed accuracy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gap in LLMs performance.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4.00000000000006" w:type="dxa"/>
      </w:tblPr>
      <w:tblGrid>
        <w:gridCol w:w="9026"/>
      </w:tblGrid>
      <w:tr>
        <w:trPr>
          <w:trHeight w:hRule="exact" w:val="3028"/>
        </w:trPr>
        <w:tc>
          <w:tcPr>
            <w:tcW w:type="dxa" w:w="8270"/>
            <w:tcBorders>
              <w:start w:sz="12.0" w:val="single" w:color="#E0E0E0"/>
              <w:top w:sz="12.0" w:val="single" w:color="#E0E0E0"/>
              <w:end w:sz="12.0" w:val="single" w:color="#E0E0E0"/>
              <w:bottom w:sz="12.0" w:val="single" w:color="#E0E0E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.0" w:type="dxa"/>
            </w:tblPr>
            <w:tblGrid>
              <w:gridCol w:w="827"/>
              <w:gridCol w:w="827"/>
              <w:gridCol w:w="827"/>
              <w:gridCol w:w="827"/>
              <w:gridCol w:w="827"/>
              <w:gridCol w:w="827"/>
              <w:gridCol w:w="827"/>
              <w:gridCol w:w="827"/>
              <w:gridCol w:w="827"/>
              <w:gridCol w:w="827"/>
            </w:tblGrid>
            <w:tr>
              <w:trPr>
                <w:trHeight w:hRule="exact" w:val="356"/>
              </w:trPr>
              <w:tc>
                <w:tcPr>
                  <w:tcW w:type="dxa" w:w="2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290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16"/>
                    </w:rPr>
                    <w:t>70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58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16"/>
                    </w:rPr>
                    <w:t>72</w:t>
                  </w:r>
                </w:p>
              </w:tc>
              <w:tc>
                <w:tcPr>
                  <w:tcW w:type="dxa" w:w="2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16"/>
                    </w:rPr>
                    <w:t>74</w:t>
                  </w:r>
                </w:p>
              </w:tc>
              <w:tc>
                <w:tcPr>
                  <w:tcW w:type="dxa" w:w="9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29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16"/>
                    </w:rPr>
                    <w:t>76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450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16"/>
                    </w:rPr>
                    <w:t>78</w:t>
                  </w:r>
                </w:p>
              </w:tc>
              <w:tc>
                <w:tcPr>
                  <w:tcW w:type="dxa" w:w="3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2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16"/>
                    </w:rPr>
                    <w:t>80</w:t>
                  </w:r>
                </w:p>
              </w:tc>
              <w:tc>
                <w:tcPr>
                  <w:tcW w:type="dxa" w:w="4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08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323232"/>
                      <w:sz w:val="14"/>
                    </w:rPr>
                    <w:t>80.26</w:t>
                  </w:r>
                </w:p>
              </w:tc>
              <w:tc>
                <w:tcPr>
                  <w:tcW w:type="dxa" w:w="7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10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16"/>
                    </w:rPr>
                    <w:t>82</w:t>
                  </w:r>
                </w:p>
              </w:tc>
              <w:tc>
                <w:tcPr>
                  <w:tcW w:type="dxa" w:w="3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16"/>
                    </w:rPr>
                    <w:t>84</w:t>
                  </w:r>
                </w:p>
              </w:tc>
            </w:tr>
            <w:tr>
              <w:trPr>
                <w:trHeight w:hRule="exact" w:val="483"/>
              </w:trPr>
              <w:tc>
                <w:tcPr>
                  <w:tcW w:type="dxa" w:w="40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142" w:after="0"/>
                    <w:ind w:left="990" w:right="0" w:firstLine="0"/>
                    <w:jc w:val="left"/>
                  </w:pPr>
                  <w:r>
                    <w:rPr>
                      <w:rFonts w:ascii="TimesNewRomanPS" w:hAnsi="TimesNewRomanPS" w:eastAsia="TimesNewRomanPS"/>
                      <w:b/>
                      <w:i w:val="0"/>
                      <w:color w:val="323232"/>
                      <w:sz w:val="16"/>
                    </w:rPr>
                    <w:t>Qwen2.5-7B-Instruct</w:t>
                  </w:r>
                </w:p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2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323232"/>
                      <w:sz w:val="14"/>
                    </w:rPr>
                    <w:t>74.37</w:t>
                  </w:r>
                </w:p>
              </w:tc>
              <w:tc>
                <w:tcPr>
                  <w:tcW w:type="dxa" w:w="13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26" w:after="0"/>
                    <w:ind w:left="124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323232"/>
                      <w:sz w:val="14"/>
                    </w:rPr>
                    <w:t>75.79</w:t>
                  </w:r>
                </w:p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827"/>
                  <w:vMerge/>
                  <w:tcBorders/>
                </w:tcPr>
                <w:p/>
              </w:tc>
            </w:tr>
            <w:tr>
              <w:trPr>
                <w:trHeight w:hRule="exact" w:val="487"/>
              </w:trPr>
              <w:tc>
                <w:tcPr>
                  <w:tcW w:type="dxa" w:w="40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158" w:after="0"/>
                    <w:ind w:left="910" w:right="0" w:firstLine="0"/>
                    <w:jc w:val="left"/>
                  </w:pPr>
                  <w:r>
                    <w:rPr>
                      <w:rFonts w:ascii="TimesNewRomanPS" w:hAnsi="TimesNewRomanPS" w:eastAsia="TimesNewRomanPS"/>
                      <w:b/>
                      <w:i w:val="0"/>
                      <w:color w:val="323232"/>
                      <w:sz w:val="16"/>
                    </w:rPr>
                    <w:t>Qwen2.5-14B-Instruct</w:t>
                  </w:r>
                </w:p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1900"/>
                  <w:gridSpan w:val="3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08" w:after="0"/>
                    <w:ind w:left="0" w:right="58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323232"/>
                      <w:sz w:val="14"/>
                    </w:rPr>
                    <w:t>76.72</w:t>
                  </w:r>
                </w:p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827"/>
                  <w:vMerge/>
                  <w:tcBorders/>
                </w:tcPr>
                <w:p/>
              </w:tc>
            </w:tr>
            <w:tr>
              <w:trPr>
                <w:trHeight w:hRule="exact" w:val="508"/>
              </w:trPr>
              <w:tc>
                <w:tcPr>
                  <w:tcW w:type="dxa" w:w="40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168" w:after="0"/>
                    <w:ind w:left="910" w:right="0" w:firstLine="0"/>
                    <w:jc w:val="left"/>
                  </w:pPr>
                  <w:r>
                    <w:rPr>
                      <w:rFonts w:ascii="TimesNewRomanPS" w:hAnsi="TimesNewRomanPS" w:eastAsia="TimesNewRomanPS"/>
                      <w:b/>
                      <w:i w:val="0"/>
                      <w:color w:val="323232"/>
                      <w:sz w:val="16"/>
                    </w:rPr>
                    <w:t>Qwen2.5-32B-Instruct</w:t>
                  </w:r>
                </w:p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1900"/>
                  <w:gridSpan w:val="3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1282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323232"/>
                      <w:sz w:val="16"/>
                    </w:rPr>
                    <w:t>Doc-based Accuracy (%)</w:t>
                  </w:r>
                </w:p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4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18" w:after="0"/>
                    <w:ind w:left="26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323232"/>
                      <w:sz w:val="14"/>
                    </w:rPr>
                    <w:t>80.03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52" w:after="0"/>
                    <w:ind w:left="0" w:right="120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323232"/>
                      <w:sz w:val="14"/>
                    </w:rPr>
                    <w:t>82.01</w:t>
                  </w:r>
                </w:p>
              </w:tc>
              <w:tc>
                <w:tcPr>
                  <w:tcW w:type="dxa" w:w="827"/>
                  <w:vMerge/>
                  <w:tcBorders/>
                </w:tcPr>
                <w:p/>
              </w:tc>
            </w:tr>
            <w:tr>
              <w:trPr>
                <w:trHeight w:hRule="exact" w:val="554"/>
              </w:trPr>
              <w:tc>
                <w:tcPr>
                  <w:tcW w:type="dxa" w:w="40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158" w:after="0"/>
                    <w:ind w:left="84" w:right="0" w:firstLine="0"/>
                    <w:jc w:val="left"/>
                  </w:pPr>
                  <w:r>
                    <w:rPr>
                      <w:rFonts w:ascii="TimesNewRomanPS" w:hAnsi="TimesNewRomanPS" w:eastAsia="TimesNewRomanPS"/>
                      <w:b/>
                      <w:i w:val="0"/>
                      <w:color w:val="323232"/>
                      <w:sz w:val="16"/>
                    </w:rPr>
                    <w:t>Qwen2.5-72B-Instruct-GPTQ-int4</w:t>
                  </w:r>
                </w:p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2481"/>
                  <w:gridSpan w:val="3"/>
                  <w:vMerge/>
                  <w:tcBorders/>
                </w:tcPr>
                <w:p/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7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230" w:val="left"/>
                    </w:tabs>
                    <w:autoSpaceDE w:val="0"/>
                    <w:widowControl/>
                    <w:spacing w:line="245" w:lineRule="auto" w:before="108" w:after="0"/>
                    <w:ind w:left="54" w:right="144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323232"/>
                      <w:sz w:val="14"/>
                    </w:rPr>
                    <w:t xml:space="preserve">81.36 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323232"/>
                      <w:sz w:val="14"/>
                    </w:rPr>
                    <w:t>81.82</w:t>
                  </w:r>
                </w:p>
              </w:tc>
              <w:tc>
                <w:tcPr>
                  <w:tcW w:type="dxa" w:w="827"/>
                  <w:vMerge/>
                  <w:tcBorders/>
                </w:tcPr>
                <w:p/>
              </w:tc>
            </w:tr>
            <w:tr>
              <w:trPr>
                <w:trHeight w:hRule="exact" w:val="436"/>
              </w:trPr>
              <w:tc>
                <w:tcPr>
                  <w:tcW w:type="dxa" w:w="40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220" w:after="0"/>
                    <w:ind w:left="0" w:right="0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323232"/>
                      <w:sz w:val="16"/>
                    </w:rPr>
                    <w:t>Code-based Accuracy (%)</w:t>
                  </w:r>
                </w:p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2481"/>
                  <w:gridSpan w:val="3"/>
                  <w:vMerge/>
                  <w:tcBorders/>
                </w:tcPr>
                <w:p/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827"/>
                  <w:vMerge/>
                  <w:tcBorders/>
                </w:tcPr>
                <w:p/>
              </w:tc>
              <w:tc>
                <w:tcPr>
                  <w:tcW w:type="dxa" w:w="827"/>
                  <w:vMerge/>
                  <w:tcBorders/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33" w:lineRule="auto" w:before="330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Figure 3.1: Comparison on code-based accuracy and doc-based accuracy across Qwen2.5-Instruct models </w:t>
      </w:r>
    </w:p>
    <w:p>
      <w:pPr>
        <w:autoSpaceDN w:val="0"/>
        <w:autoSpaceDE w:val="0"/>
        <w:widowControl/>
        <w:spacing w:line="233" w:lineRule="auto" w:before="2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ranging from 7 billion to 72 billion parameters. The result reveals that the model accuracy shows consistent </w:t>
      </w:r>
    </w:p>
    <w:p>
      <w:pPr>
        <w:autoSpaceDN w:val="0"/>
        <w:autoSpaceDE w:val="0"/>
        <w:widowControl/>
        <w:spacing w:line="233" w:lineRule="auto" w:before="2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improvement with increasing parameter counts across both dataset types. Also, tests on doc-based datasets </w:t>
      </w:r>
    </w:p>
    <w:p>
      <w:pPr>
        <w:autoSpaceDN w:val="0"/>
        <w:autoSpaceDE w:val="0"/>
        <w:widowControl/>
        <w:spacing w:line="233" w:lineRule="auto" w:before="2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achieve higher accuracy over code-based datasets. </w:t>
      </w:r>
    </w:p>
    <w:p>
      <w:pPr>
        <w:sectPr>
          <w:pgSz w:w="11906" w:h="16838"/>
          <w:pgMar w:top="430" w:right="1440" w:bottom="12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2476500</wp:posOffset>
            </wp:positionH>
            <wp:positionV relativeFrom="page">
              <wp:posOffset>5105400</wp:posOffset>
            </wp:positionV>
            <wp:extent cx="2768600" cy="10541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68600" cy="1054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21 </w:t>
            </w:r>
          </w:p>
        </w:tc>
      </w:tr>
    </w:tbl>
    <w:p>
      <w:pPr>
        <w:autoSpaceDN w:val="0"/>
        <w:autoSpaceDE w:val="0"/>
        <w:widowControl/>
        <w:spacing w:line="410" w:lineRule="auto" w:before="418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3.2.3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Model-Scale vs. Performance Trade-offs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Figures 3.1 and 3.2 illustrate two key observations regarding the Qwen2.5 model series (7B to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72B parameters): 1. Accuracy-Parameter Relationship: A clear positive correlation exists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between model size and benchmark accuracy, with the 72B parameter model achieving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highest performance (81.36% code accuracy, 81.82% documentation accuracy). 2.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Computational Cost: This accuracy improvement comes with significantly increased inference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time, revealing a distinct performance-efficiency trade-off. The complete 72B model requires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substantially more computational resources than its smaller counterparts. </w:t>
      </w:r>
    </w:p>
    <w:p>
      <w:pPr>
        <w:autoSpaceDN w:val="0"/>
        <w:autoSpaceDE w:val="0"/>
        <w:widowControl/>
        <w:spacing w:line="391" w:lineRule="auto" w:before="384" w:after="338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Notably, the Qwen2.5-72B-Instruct-GPTQ-int4 variant (a 4-bit quantized version of the 72B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model through GPTQ compression) demonstrates deviation from this trend. Its accuracy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runtime characteristics reflect the unique constraints of quantization, rather than following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standard parameter scaling pattern observed in full-precision models.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78.0" w:type="dxa"/>
      </w:tblPr>
      <w:tblGrid>
        <w:gridCol w:w="9026"/>
      </w:tblGrid>
      <w:tr>
        <w:trPr>
          <w:trHeight w:hRule="exact" w:val="2618"/>
        </w:trPr>
        <w:tc>
          <w:tcPr>
            <w:tcW w:type="dxa" w:w="5044"/>
            <w:tcBorders>
              <w:start w:sz="12.0" w:val="single" w:color="#E0E0E0"/>
              <w:top w:sz="12.0" w:val="single" w:color="#E0E0E0"/>
              <w:end w:sz="12.0" w:val="single" w:color="#E0E0E0"/>
              <w:bottom w:sz="12.0" w:val="single" w:color="#E0E0E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2" w:after="98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>Qwen Runtime (min)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.00000000000023" w:type="dxa"/>
            </w:tblPr>
            <w:tblGrid>
              <w:gridCol w:w="1261"/>
              <w:gridCol w:w="1261"/>
              <w:gridCol w:w="1261"/>
              <w:gridCol w:w="1261"/>
            </w:tblGrid>
            <w:tr>
              <w:trPr>
                <w:trHeight w:hRule="exact" w:val="266"/>
              </w:trPr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6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16"/>
                    </w:rPr>
                    <w:t>300</w:t>
                  </w:r>
                </w:p>
              </w:tc>
              <w:tc>
                <w:tcPr>
                  <w:tcW w:type="dxa" w:w="15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52" w:after="0"/>
                    <w:ind w:left="0" w:right="34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515151"/>
                      <w:sz w:val="14"/>
                    </w:rPr>
                    <w:t>151.65</w:t>
                  </w:r>
                </w:p>
              </w:tc>
              <w:tc>
                <w:tcPr>
                  <w:tcW w:type="dxa" w:w="10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515151"/>
                      <w:sz w:val="14"/>
                    </w:rPr>
                    <w:t>253.72</w:t>
                  </w:r>
                </w:p>
              </w:tc>
              <w:tc>
                <w:tcPr>
                  <w:tcW w:type="dxa" w:w="100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46" w:after="0"/>
                    <w:ind w:left="0" w:right="26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515151"/>
                      <w:sz w:val="14"/>
                    </w:rPr>
                    <w:t>208.83</w:t>
                  </w:r>
                </w:p>
              </w:tc>
            </w:tr>
            <w:tr>
              <w:trPr>
                <w:trHeight w:hRule="exact" w:val="280"/>
              </w:trPr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2" w:after="0"/>
                    <w:ind w:left="6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16"/>
                    </w:rPr>
                    <w:t>250</w:t>
                  </w:r>
                </w:p>
              </w:tc>
              <w:tc>
                <w:tcPr>
                  <w:tcW w:type="dxa" w:w="1261"/>
                  <w:vMerge/>
                  <w:tcBorders/>
                </w:tcPr>
                <w:p/>
              </w:tc>
              <w:tc>
                <w:tcPr>
                  <w:tcW w:type="dxa" w:w="1261"/>
                  <w:vMerge/>
                  <w:tcBorders/>
                </w:tcPr>
                <w:p/>
              </w:tc>
              <w:tc>
                <w:tcPr>
                  <w:tcW w:type="dxa" w:w="1261"/>
                  <w:vMerge/>
                  <w:tcBorders/>
                </w:tcPr>
                <w:p/>
              </w:tc>
            </w:tr>
            <w:tr>
              <w:trPr>
                <w:trHeight w:hRule="exact" w:val="290"/>
              </w:trPr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0" w:after="0"/>
                    <w:ind w:left="6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16"/>
                    </w:rPr>
                    <w:t>200</w:t>
                  </w:r>
                </w:p>
              </w:tc>
              <w:tc>
                <w:tcPr>
                  <w:tcW w:type="dxa" w:w="1261"/>
                  <w:vMerge/>
                  <w:tcBorders/>
                </w:tcPr>
                <w:p/>
              </w:tc>
              <w:tc>
                <w:tcPr>
                  <w:tcW w:type="dxa" w:w="1261"/>
                  <w:vMerge/>
                  <w:tcBorders/>
                </w:tcPr>
                <w:p/>
              </w:tc>
              <w:tc>
                <w:tcPr>
                  <w:tcW w:type="dxa" w:w="1261"/>
                  <w:vMerge/>
                  <w:tcBorders/>
                </w:tcPr>
                <w:p/>
              </w:tc>
            </w:tr>
          </w:tbl>
          <w:p>
            <w:pPr>
              <w:autoSpaceDN w:val="0"/>
              <w:tabs>
                <w:tab w:pos="194" w:val="left"/>
                <w:tab w:pos="274" w:val="left"/>
                <w:tab w:pos="906" w:val="left"/>
              </w:tabs>
              <w:autoSpaceDE w:val="0"/>
              <w:widowControl/>
              <w:spacing w:line="322" w:lineRule="auto" w:before="28" w:after="4"/>
              <w:ind w:left="114" w:right="37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150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100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515151"/>
                <w:sz w:val="14"/>
              </w:rPr>
              <w:t xml:space="preserve">56.4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50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0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6.0000000000002" w:type="dxa"/>
            </w:tblPr>
            <w:tblGrid>
              <w:gridCol w:w="1261"/>
              <w:gridCol w:w="1261"/>
              <w:gridCol w:w="1261"/>
              <w:gridCol w:w="1261"/>
            </w:tblGrid>
            <w:tr>
              <w:trPr>
                <w:trHeight w:hRule="exact" w:val="224"/>
              </w:trPr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" w:after="0"/>
                    <w:ind w:left="0" w:right="120" w:firstLine="0"/>
                    <w:jc w:val="right"/>
                  </w:pPr>
                  <w:r>
                    <w:rPr>
                      <w:rFonts w:ascii="TimesNewRomanPS" w:hAnsi="TimesNewRomanPS" w:eastAsia="TimesNewRomanPS"/>
                      <w:b/>
                      <w:i w:val="0"/>
                      <w:color w:val="000000"/>
                      <w:sz w:val="16"/>
                    </w:rPr>
                    <w:t>7B-Instruct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" w:after="0"/>
                    <w:ind w:left="0" w:right="0" w:firstLine="0"/>
                    <w:jc w:val="center"/>
                  </w:pPr>
                  <w:r>
                    <w:rPr>
                      <w:rFonts w:ascii="TimesNewRomanPS" w:hAnsi="TimesNewRomanPS" w:eastAsia="TimesNewRomanPS"/>
                      <w:b/>
                      <w:i w:val="0"/>
                      <w:color w:val="000000"/>
                      <w:sz w:val="16"/>
                    </w:rPr>
                    <w:t>14B-Instruct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" w:after="0"/>
                    <w:ind w:left="0" w:right="0" w:firstLine="0"/>
                    <w:jc w:val="center"/>
                  </w:pPr>
                  <w:r>
                    <w:rPr>
                      <w:rFonts w:ascii="TimesNewRomanPS" w:hAnsi="TimesNewRomanPS" w:eastAsia="TimesNewRomanPS"/>
                      <w:b/>
                      <w:i w:val="0"/>
                      <w:color w:val="000000"/>
                      <w:sz w:val="16"/>
                    </w:rPr>
                    <w:t>32B-Instruct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" w:after="0"/>
                    <w:ind w:left="0" w:right="0" w:firstLine="0"/>
                    <w:jc w:val="center"/>
                  </w:pPr>
                  <w:r>
                    <w:rPr>
                      <w:rFonts w:ascii="TimesNewRomanPS" w:hAnsi="TimesNewRomanPS" w:eastAsia="TimesNewRomanPS"/>
                      <w:b/>
                      <w:i w:val="0"/>
                      <w:color w:val="000000"/>
                      <w:sz w:val="16"/>
                    </w:rPr>
                    <w:t>72B-Instruct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33" w:lineRule="auto" w:before="390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Figure 3.2: Comparison on runtime cost across Qwen2.5 models ranging from 7B to 72B parameters on </w:t>
      </w:r>
    </w:p>
    <w:p>
      <w:pPr>
        <w:autoSpaceDN w:val="0"/>
        <w:autoSpaceDE w:val="0"/>
        <w:widowControl/>
        <w:spacing w:line="233" w:lineRule="auto" w:before="2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code-based dataset. </w:t>
      </w:r>
    </w:p>
    <w:p>
      <w:pPr>
        <w:autoSpaceDN w:val="0"/>
        <w:autoSpaceDE w:val="0"/>
        <w:widowControl/>
        <w:spacing w:line="230" w:lineRule="auto" w:before="454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3.3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Error Analysis Error Analysis </w:t>
      </w:r>
    </w:p>
    <w:p>
      <w:pPr>
        <w:autoSpaceDN w:val="0"/>
        <w:autoSpaceDE w:val="0"/>
        <w:widowControl/>
        <w:spacing w:line="338" w:lineRule="auto" w:before="270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This section analyzes the error patterns observed during evaluation, including both systemic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limitations and model-specific failure modes. </w:t>
      </w:r>
    </w:p>
    <w:p>
      <w:pPr>
        <w:autoSpaceDN w:val="0"/>
        <w:autoSpaceDE w:val="0"/>
        <w:widowControl/>
        <w:spacing w:line="319" w:lineRule="auto" w:before="364" w:after="266"/>
        <w:ind w:left="360" w:right="532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3.3.1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General Error Patterns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Answer Matching Inconsistencies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4513"/>
        <w:gridCol w:w="4513"/>
      </w:tblGrid>
      <w:tr>
        <w:trPr>
          <w:trHeight w:hRule="exact" w:val="594"/>
        </w:trPr>
        <w:tc>
          <w:tcPr>
            <w:tcW w:type="dxa" w:w="57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60" w:after="0"/>
              <w:ind w:left="108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18"/>
              </w:rPr>
              <w:t xml:space="preserve">The p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1: </w:t>
            </w:r>
          </w:p>
        </w:tc>
        <w:tc>
          <w:tcPr>
            <w:tcW w:type="dxa" w:w="772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283" w:lineRule="auto" w:before="60" w:after="0"/>
              <w:ind w:left="0" w:right="2736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18"/>
              </w:rPr>
              <w:t xml:space="preserve">The p rompt used to query LLM responses for the Pymatgen datasets: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question_test_prompt = (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430" w:right="1440" w:bottom="9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p>
      <w:pPr>
        <w:autoSpaceDN w:val="0"/>
        <w:tabs>
          <w:tab w:pos="3428" w:val="left"/>
          <w:tab w:pos="8486" w:val="left"/>
        </w:tabs>
        <w:autoSpaceDE w:val="0"/>
        <w:widowControl/>
        <w:spacing w:line="230" w:lineRule="auto" w:before="0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Master's Dissertation (MSc)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University of Hong Kong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22 </w:t>
      </w:r>
    </w:p>
    <w:p>
      <w:pPr>
        <w:autoSpaceDN w:val="0"/>
        <w:tabs>
          <w:tab w:pos="1036" w:val="left"/>
          <w:tab w:pos="1256" w:val="left"/>
          <w:tab w:pos="1262" w:val="left"/>
        </w:tabs>
        <w:autoSpaceDE w:val="0"/>
        <w:widowControl/>
        <w:spacing w:line="290" w:lineRule="auto" w:before="422" w:after="36"/>
        <w:ind w:left="46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2: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"You are a materials scientist with expertise in Pymatgen for solving material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simulation problems. "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3: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"Below is a multiple-choice question related to Pymatgen. Please select the correct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answer based on your expertise.\n\n"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4: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"&lt;question&gt;{question}&lt;/question&gt;\n"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5: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"&lt;answer_choices&gt;\n"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6: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"    &lt;choice&gt;{first_choice}&lt;/choice&gt;\n"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7: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"    &lt;choice&gt;{second_choice}&lt;/choice&gt;\n"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8: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"    &lt;choice&gt;{third_choice}&lt;/choice&gt;\n"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9: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"    &lt;choice&gt;{fourth_choice}&lt;/choice&gt;\n"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10: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"&lt;/answer_choices&gt;\n\n"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11: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"Only provide your answer as a single letter (A, B, C, or D), formatted in tags as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follows:\n"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3009"/>
        <w:gridCol w:w="3009"/>
        <w:gridCol w:w="3009"/>
      </w:tblGrid>
      <w:tr>
        <w:trPr>
          <w:trHeight w:hRule="exact" w:val="298"/>
        </w:trPr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11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12: 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6" w:after="0"/>
              <w:ind w:left="0" w:right="3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) </w:t>
            </w:r>
          </w:p>
        </w:tc>
        <w:tc>
          <w:tcPr>
            <w:tcW w:type="dxa" w:w="5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5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"&lt;answer&gt;Your answer here&lt;/answer&gt;" </w:t>
            </w:r>
          </w:p>
        </w:tc>
      </w:tr>
      <w:tr>
        <w:trPr>
          <w:trHeight w:hRule="exact" w:val="324"/>
        </w:trPr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8" w:after="0"/>
              <w:ind w:left="0" w:right="11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13: 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0" w:lineRule="auto" w:before="36" w:after="36"/>
        <w:ind w:left="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14: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5.99999999999994" w:type="dxa"/>
      </w:tblPr>
      <w:tblGrid>
        <w:gridCol w:w="4513"/>
        <w:gridCol w:w="4513"/>
      </w:tblGrid>
      <w:tr>
        <w:trPr>
          <w:trHeight w:hRule="exact" w:val="624"/>
        </w:trPr>
        <w:tc>
          <w:tcPr>
            <w:tcW w:type="dxa" w:w="57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15: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16: </w:t>
            </w:r>
          </w:p>
        </w:tc>
        <w:tc>
          <w:tcPr>
            <w:tcW w:type="dxa" w:w="774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34" w:after="0"/>
              <w:ind w:left="116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extracted_answer =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llm_answer.strip().replace("&lt;answer&gt;", "").replace("&lt;/answer&gt;", "").strip() </w:t>
            </w:r>
          </w:p>
        </w:tc>
      </w:tr>
    </w:tbl>
    <w:p>
      <w:pPr>
        <w:autoSpaceDN w:val="0"/>
        <w:autoSpaceDE w:val="0"/>
        <w:widowControl/>
        <w:spacing w:line="233" w:lineRule="auto" w:before="75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While our prompt strictly requires models to output only a single letter (A/B/C/D) between </w:t>
      </w:r>
    </w:p>
    <w:p>
      <w:pPr>
        <w:autoSpaceDN w:val="0"/>
        <w:autoSpaceDE w:val="0"/>
        <w:widowControl/>
        <w:spacing w:line="230" w:lineRule="auto" w:before="224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&lt;answer&gt; and &lt;/answer&gt; tags, the observed model behaviors demonstrate notable deviations </w:t>
      </w:r>
    </w:p>
    <w:p>
      <w:pPr>
        <w:autoSpaceDN w:val="0"/>
        <w:autoSpaceDE w:val="0"/>
        <w:widowControl/>
        <w:spacing w:line="230" w:lineRule="auto" w:before="22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from this instruction. Specifically, we identify two recurring patterns of non-compliance: LLMs </w:t>
      </w:r>
    </w:p>
    <w:p>
      <w:pPr>
        <w:autoSpaceDN w:val="0"/>
        <w:autoSpaceDE w:val="0"/>
        <w:widowControl/>
        <w:spacing w:line="230" w:lineRule="auto" w:before="22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frequently output both the option letter and its corresponding content between the answer tags </w:t>
      </w:r>
    </w:p>
    <w:p>
      <w:pPr>
        <w:autoSpaceDN w:val="0"/>
        <w:autoSpaceDE w:val="0"/>
        <w:widowControl/>
        <w:spacing w:line="230" w:lineRule="auto" w:before="22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(e.g., &lt;answer&gt;B. lattice_vectors&lt;/answer&gt;), rather than providing just the letter as specified. </w:t>
      </w:r>
    </w:p>
    <w:p>
      <w:pPr>
        <w:autoSpaceDN w:val="0"/>
        <w:autoSpaceDE w:val="0"/>
        <w:widowControl/>
        <w:spacing w:line="230" w:lineRule="auto" w:before="22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Additionally, models employing chain-of-thought reasoning often insert their reasoning </w:t>
      </w:r>
    </w:p>
    <w:p>
      <w:pPr>
        <w:autoSpaceDN w:val="0"/>
        <w:autoSpaceDE w:val="0"/>
        <w:widowControl/>
        <w:spacing w:line="230" w:lineRule="auto" w:before="22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processes within the answer tags (e.g., &lt;answer&gt;Based on the crystal structure analysis, the </w:t>
      </w:r>
    </w:p>
    <w:p>
      <w:pPr>
        <w:autoSpaceDN w:val="0"/>
        <w:autoSpaceDE w:val="0"/>
        <w:widowControl/>
        <w:spacing w:line="230" w:lineRule="auto" w:before="226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correct answer is C&lt;/answer&gt;), despite explicit instructions to the contrary. </w:t>
      </w:r>
    </w:p>
    <w:p>
      <w:pPr>
        <w:autoSpaceDN w:val="0"/>
        <w:autoSpaceDE w:val="0"/>
        <w:widowControl/>
        <w:spacing w:line="230" w:lineRule="auto" w:before="38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These systematic deviations render our current answer extraction methodology, which simply </w:t>
      </w:r>
    </w:p>
    <w:p>
      <w:pPr>
        <w:autoSpaceDN w:val="0"/>
        <w:autoSpaceDE w:val="0"/>
        <w:widowControl/>
        <w:spacing w:line="230" w:lineRule="auto" w:before="22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preserves all content between the answer tags, inadequate for reliable evaluation. To address </w:t>
      </w:r>
    </w:p>
    <w:p>
      <w:pPr>
        <w:autoSpaceDN w:val="0"/>
        <w:autoSpaceDE w:val="0"/>
        <w:widowControl/>
        <w:spacing w:line="230" w:lineRule="auto" w:before="22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these extraction challenges, we will introduce a specialized parsing agent designed to precisely </w:t>
      </w:r>
    </w:p>
    <w:p>
      <w:pPr>
        <w:autoSpaceDN w:val="0"/>
        <w:autoSpaceDE w:val="0"/>
        <w:widowControl/>
        <w:spacing w:line="230" w:lineRule="auto" w:before="22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extract LLM responses using an optimized answer extraction methodology in the following </w:t>
      </w:r>
    </w:p>
    <w:p>
      <w:pPr>
        <w:autoSpaceDN w:val="0"/>
        <w:autoSpaceDE w:val="0"/>
        <w:widowControl/>
        <w:spacing w:line="230" w:lineRule="auto" w:before="226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chapter. </w:t>
      </w:r>
    </w:p>
    <w:p>
      <w:pPr>
        <w:autoSpaceDN w:val="0"/>
        <w:autoSpaceDE w:val="0"/>
        <w:widowControl/>
        <w:spacing w:line="233" w:lineRule="auto" w:before="384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Template Misalignment </w:t>
      </w:r>
    </w:p>
    <w:p>
      <w:pPr>
        <w:sectPr>
          <w:pgSz w:w="11906" w:h="16838"/>
          <w:pgMar w:top="430" w:right="1440" w:bottom="11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23 </w:t>
            </w:r>
          </w:p>
        </w:tc>
      </w:tr>
    </w:tbl>
    <w:p>
      <w:pPr>
        <w:autoSpaceDN w:val="0"/>
        <w:autoSpaceDE w:val="0"/>
        <w:widowControl/>
        <w:spacing w:line="422" w:lineRule="auto" w:before="440" w:after="0"/>
        <w:ind w:left="36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Domain-specialized models like Darwin and ChemDFM-v1.5-8B exhibit significant limitations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when processing open-ended prompts designed for general-purpose LLMs, primarily due to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their constrained training paradigms. These models, typically fine-tuned on narrow datasets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with fixed Q&amp;A formats, often fail to properly interpret more flexible prompt structures. A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common failure mode involves the models either literally outputting template placeholders like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"your answer here" as their response, or rigidly adhering to their training format by prefixing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answers with unnecessary labels (e.g., automatically adding "The answer is: " before responses).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This behavior stems from their encoder-focused architectures and limited exposure to diverse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instruction types during training. The issue is particularly pronounced in this experiment where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precise formatting and technical accuracy are crucial. </w:t>
      </w:r>
    </w:p>
    <w:p>
      <w:pPr>
        <w:autoSpaceDN w:val="0"/>
        <w:autoSpaceDE w:val="0"/>
        <w:widowControl/>
        <w:spacing w:line="401" w:lineRule="auto" w:before="364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3.3.2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Model-Specific Limitations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Our evaluation reveals distinct constraints across model categories. General-purpose LLMs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(Gemini/Qwen series) demonstrate fundamental domain knowledge gaps due to lacking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materials science-specific fine-tuning. Otherwise, these models’ performance is further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obscured by current exact-match method that fail to capture semantically equivalent but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syntactically varied responses. </w:t>
      </w:r>
    </w:p>
    <w:p>
      <w:pPr>
        <w:autoSpaceDN w:val="0"/>
        <w:autoSpaceDE w:val="0"/>
        <w:widowControl/>
        <w:spacing w:line="415" w:lineRule="auto" w:before="386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Conversely, domain-specialized models (Darwin1_v2 and ChemDFM-v1.5-8B) exhibit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opposite limitations: their rigid architectures, optimized for fixed-format queries in narrow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domains, struggle with the flexible prompt structures required for general benchmarking. This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specialization creates brittle input parsing behaviors and poor generalization beyond their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predefined task scopes, particularly when handling open-ended materials science problems.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dichotomy highlights an intrinsic tension between breadth and depth in LLM specialization for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scientific domains. </w:t>
      </w:r>
    </w:p>
    <w:p>
      <w:pPr>
        <w:autoSpaceDN w:val="0"/>
        <w:autoSpaceDE w:val="0"/>
        <w:widowControl/>
        <w:spacing w:line="230" w:lineRule="auto" w:before="432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3.4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Future Improvement Directions </w:t>
      </w:r>
    </w:p>
    <w:p>
      <w:pPr>
        <w:autoSpaceDN w:val="0"/>
        <w:autoSpaceDE w:val="0"/>
        <w:widowControl/>
        <w:spacing w:line="338" w:lineRule="auto" w:before="268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 address the identified limitations and improve the reliability of LLMs in materials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simulation, we propose two key enhancements to the standard workflow: </w:t>
      </w:r>
    </w:p>
    <w:p>
      <w:pPr>
        <w:autoSpaceDN w:val="0"/>
        <w:tabs>
          <w:tab w:pos="2040" w:val="left"/>
        </w:tabs>
        <w:autoSpaceDE w:val="0"/>
        <w:widowControl/>
        <w:spacing w:line="230" w:lineRule="auto" w:before="308" w:after="0"/>
        <w:ind w:left="15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Retrieval-Augmented Generation (RAG) Integration: </w:t>
      </w:r>
    </w:p>
    <w:p>
      <w:pPr>
        <w:sectPr>
          <w:pgSz w:w="11906" w:h="16838"/>
          <w:pgMar w:top="430" w:right="1440" w:bottom="10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24 </w:t>
            </w:r>
          </w:p>
        </w:tc>
      </w:tr>
    </w:tbl>
    <w:p>
      <w:pPr>
        <w:autoSpaceDN w:val="0"/>
        <w:autoSpaceDE w:val="0"/>
        <w:widowControl/>
        <w:spacing w:line="391" w:lineRule="auto" w:before="440" w:after="0"/>
        <w:ind w:left="360" w:right="288" w:firstLine="44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By incorporating specific knowledge about materials science repositories, the RAG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component is designed to mitigate domain-specific knowledge gaps prevalent in general-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purpose LLMs. This augmentation is particularly targeted at reducing factual inaccuracies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API usage and theoretical concepts. </w:t>
      </w:r>
    </w:p>
    <w:p>
      <w:pPr>
        <w:autoSpaceDN w:val="0"/>
        <w:autoSpaceDE w:val="0"/>
        <w:widowControl/>
        <w:spacing w:line="386" w:lineRule="auto" w:before="308" w:after="0"/>
        <w:ind w:left="1080" w:right="288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2.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LLM-Based Answer Extraction Agent: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 specialized extraction model will process raw LLM outputs to align responses with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evaluation standards, addressing current template mismatching problems. This agent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performs critical normalization of technical notations and structural reformatting of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answers. </w:t>
      </w:r>
    </w:p>
    <w:p>
      <w:pPr>
        <w:autoSpaceDN w:val="0"/>
        <w:autoSpaceDE w:val="0"/>
        <w:widowControl/>
        <w:spacing w:line="374" w:lineRule="auto" w:before="386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implementation details and empirical validation of these enhancements will be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systematically presented in the following chapter, including quantitative comparisons of pre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and post optimization performance metrics. </w:t>
      </w:r>
    </w:p>
    <w:p>
      <w:pPr>
        <w:sectPr>
          <w:pgSz w:w="11906" w:h="16838"/>
          <w:pgMar w:top="43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1346200</wp:posOffset>
            </wp:positionH>
            <wp:positionV relativeFrom="page">
              <wp:posOffset>6807200</wp:posOffset>
            </wp:positionV>
            <wp:extent cx="5067300" cy="15875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5875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54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0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2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6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25 </w:t>
            </w:r>
          </w:p>
        </w:tc>
      </w:tr>
      <w:tr>
        <w:trPr>
          <w:trHeight w:hRule="exact" w:val="82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4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>4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AGENT/RAG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4" w:after="0"/>
              <w:ind w:left="6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ENHANCED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4" w:after="0"/>
              <w:ind w:left="40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LLMS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4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FOR </w:t>
            </w:r>
          </w:p>
        </w:tc>
        <w:tc>
          <w:tcPr>
            <w:tcW w:type="dxa" w:w="2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4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MATERIALS </w:t>
            </w:r>
          </w:p>
        </w:tc>
      </w:tr>
      <w:tr>
        <w:trPr>
          <w:trHeight w:hRule="exact" w:val="536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8" w:after="0"/>
              <w:ind w:left="612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SIMULATION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8" w:after="0"/>
              <w:ind w:left="172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AGENT/RAG </w:t>
            </w:r>
          </w:p>
        </w:tc>
        <w:tc>
          <w:tcPr>
            <w:tcW w:type="dxa" w:w="2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8" w:after="0"/>
              <w:ind w:left="208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ENHANCED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8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LLMS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8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FOR </w:t>
            </w:r>
          </w:p>
        </w:tc>
      </w:tr>
    </w:tbl>
    <w:p>
      <w:pPr>
        <w:autoSpaceDN w:val="0"/>
        <w:autoSpaceDE w:val="0"/>
        <w:widowControl/>
        <w:spacing w:line="230" w:lineRule="auto" w:before="256" w:after="0"/>
        <w:ind w:left="79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MATERIALS SIMULATION </w:t>
      </w:r>
    </w:p>
    <w:p>
      <w:pPr>
        <w:autoSpaceDN w:val="0"/>
        <w:autoSpaceDE w:val="0"/>
        <w:widowControl/>
        <w:spacing w:line="230" w:lineRule="auto" w:before="434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4.1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Knowledge Base Construction </w:t>
      </w:r>
    </w:p>
    <w:p>
      <w:pPr>
        <w:autoSpaceDN w:val="0"/>
        <w:autoSpaceDE w:val="0"/>
        <w:widowControl/>
        <w:spacing w:line="418" w:lineRule="auto" w:before="268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 the previous chapter, we generated two Pymatgen-based question-answering datasets using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Gemini-2.0-flash model. To enhance the performance of large language models (LLMs)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materials simulation through Retrieve-Augmented Generation (RAG), the original JSON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source datasets must be converted into vector stores. This transformation enables the RAG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system to effectively process and understand the materials science data for improved retrieval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and generation process. In this chapter, we select two language models - Qwen2.5-7B-Instruct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and Darwin1_v2 - from our previously evaluated LLM candidates (Chapter 4) to assess their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performance on the same datasets using RAG and a format-checking agent. </w:t>
      </w:r>
    </w:p>
    <w:p>
      <w:pPr>
        <w:autoSpaceDN w:val="0"/>
        <w:autoSpaceDE w:val="0"/>
        <w:widowControl/>
        <w:spacing w:line="230" w:lineRule="auto" w:before="364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4.1.1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Vector Store Generation </w:t>
      </w:r>
    </w:p>
    <w:p>
      <w:pPr>
        <w:autoSpaceDN w:val="0"/>
        <w:autoSpaceDE w:val="0"/>
        <w:widowControl/>
        <w:spacing w:line="230" w:lineRule="auto" w:before="300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4.1.2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LLM Selection </w:t>
      </w:r>
    </w:p>
    <w:p>
      <w:pPr>
        <w:autoSpaceDN w:val="0"/>
        <w:autoSpaceDE w:val="0"/>
        <w:widowControl/>
        <w:spacing w:line="230" w:lineRule="auto" w:before="36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4.2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Enhanced RAG Workflow Architecture Enhanced RAG </w:t>
      </w:r>
    </w:p>
    <w:p>
      <w:pPr>
        <w:autoSpaceDN w:val="0"/>
        <w:autoSpaceDE w:val="0"/>
        <w:widowControl/>
        <w:spacing w:line="230" w:lineRule="auto" w:before="314" w:after="328"/>
        <w:ind w:left="93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Workflow Architecture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78"/>
        </w:trPr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0" w:right="106" w:firstLine="0"/>
              <w:jc w:val="right"/>
            </w:pPr>
            <w:r>
              <w:rPr>
                <w:w w:val="101.29588445027669"/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>User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8" w:after="0"/>
              <w:ind w:left="140" w:right="0" w:firstLine="0"/>
              <w:jc w:val="left"/>
            </w:pPr>
            <w:r>
              <w:rPr>
                <w:w w:val="103.10476848057337"/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Document</w:t>
            </w:r>
          </w:p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8" w:after="0"/>
              <w:ind w:left="304" w:right="0" w:firstLine="0"/>
              <w:jc w:val="left"/>
            </w:pPr>
            <w:r>
              <w:rPr>
                <w:w w:val="101.29588445027669"/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>Retrieval</w:t>
            </w:r>
          </w:p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8" w:after="0"/>
              <w:ind w:left="0" w:right="0" w:firstLine="0"/>
              <w:jc w:val="center"/>
            </w:pPr>
            <w:r>
              <w:rPr>
                <w:w w:val="101.29588445027669"/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>Argumentation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8" w:after="0"/>
              <w:ind w:left="0" w:right="0" w:firstLine="0"/>
              <w:jc w:val="center"/>
            </w:pPr>
            <w:r>
              <w:rPr>
                <w:w w:val="101.29588445027669"/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>Generation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260" w:firstLine="0"/>
              <w:jc w:val="right"/>
            </w:pPr>
            <w:r>
              <w:rPr>
                <w:w w:val="101.29588445027669"/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>RAG</w:t>
            </w:r>
          </w:p>
        </w:tc>
      </w:tr>
      <w:tr>
        <w:trPr>
          <w:trHeight w:hRule="exact" w:val="24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0" w:after="0"/>
              <w:ind w:left="0" w:right="0" w:firstLine="0"/>
              <w:jc w:val="center"/>
            </w:pPr>
            <w:r>
              <w:rPr>
                <w:w w:val="101.29588445027669"/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>Format Check</w:t>
            </w:r>
          </w:p>
        </w:tc>
      </w:tr>
      <w:tr>
        <w:trPr>
          <w:trHeight w:hRule="exact" w:val="264"/>
        </w:trPr>
        <w:tc>
          <w:tcPr>
            <w:tcW w:type="dxa" w:w="1504"/>
            <w:vMerge/>
            <w:tcBorders/>
          </w:tcPr>
          <w:p/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4" w:after="0"/>
              <w:ind w:left="200" w:right="0" w:firstLine="0"/>
              <w:jc w:val="left"/>
            </w:pPr>
            <w:r>
              <w:rPr>
                <w:w w:val="103.10476848057337"/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+ Query</w:t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0" w:lineRule="auto" w:before="632" w:after="248"/>
        <w:ind w:left="0" w:right="694" w:firstLine="0"/>
        <w:jc w:val="right"/>
      </w:pPr>
      <w:r>
        <w:rPr>
          <w:w w:val="103.10476848057337"/>
          <w:rFonts w:ascii="TimesNewRomanPSMT" w:hAnsi="TimesNewRomanPSMT" w:eastAsia="TimesNewRomanPSMT"/>
          <w:b w:val="0"/>
          <w:i w:val="0"/>
          <w:color w:val="000000"/>
          <w:sz w:val="14"/>
        </w:rPr>
        <w:t>Prompt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0.0" w:type="dxa"/>
      </w:tblPr>
      <w:tblGrid>
        <w:gridCol w:w="3009"/>
        <w:gridCol w:w="3009"/>
        <w:gridCol w:w="3009"/>
      </w:tblGrid>
      <w:tr>
        <w:trPr>
          <w:trHeight w:hRule="exact" w:val="256"/>
        </w:trPr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56" w:after="0"/>
              <w:ind w:left="0" w:right="1170" w:firstLine="0"/>
              <w:jc w:val="right"/>
            </w:pPr>
            <w:r>
              <w:rPr>
                <w:w w:val="101.29588445027669"/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Vector </w:t>
            </w:r>
          </w:p>
        </w:tc>
        <w:tc>
          <w:tcPr>
            <w:tcW w:type="dxa" w:w="2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8" w:after="0"/>
              <w:ind w:left="0" w:right="750" w:firstLine="0"/>
              <w:jc w:val="right"/>
            </w:pPr>
            <w:r>
              <w:rPr>
                <w:w w:val="101.29588445027669"/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>Response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8" w:after="0"/>
              <w:ind w:left="0" w:right="524" w:firstLine="0"/>
              <w:jc w:val="right"/>
            </w:pPr>
            <w:r>
              <w:rPr>
                <w:w w:val="101.29588445027669"/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>LLM</w:t>
            </w:r>
          </w:p>
        </w:tc>
      </w:tr>
      <w:tr>
        <w:trPr>
          <w:trHeight w:hRule="exact" w:val="284"/>
        </w:trPr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0" w:right="1146" w:firstLine="0"/>
              <w:jc w:val="right"/>
            </w:pPr>
            <w:r>
              <w:rPr>
                <w:w w:val="101.29588445027669"/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>database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466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Figure 4.1: Overview of the enhanced RAG workflow architecture </w:t>
      </w:r>
    </w:p>
    <w:p>
      <w:pPr>
        <w:autoSpaceDN w:val="0"/>
        <w:autoSpaceDE w:val="0"/>
        <w:widowControl/>
        <w:spacing w:line="338" w:lineRule="auto" w:before="408" w:after="0"/>
        <w:ind w:left="288" w:right="288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enhanced workflow architecture incorporating RAG with format verification function is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shown in Figure 4.1. This system extends the previous pipeline by first initializing two local </w:t>
      </w:r>
    </w:p>
    <w:p>
      <w:pPr>
        <w:sectPr>
          <w:pgSz w:w="11906" w:h="16838"/>
          <w:pgMar w:top="430" w:right="1440" w:bottom="9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26 </w:t>
            </w:r>
          </w:p>
        </w:tc>
      </w:tr>
    </w:tbl>
    <w:p>
      <w:pPr>
        <w:autoSpaceDN w:val="0"/>
        <w:autoSpaceDE w:val="0"/>
        <w:widowControl/>
        <w:spacing w:line="415" w:lineRule="auto" w:before="440" w:after="0"/>
        <w:ind w:left="360" w:right="25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LLMs (a primary generation model and a dedicated format verification model) along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pre-generated vector database. The core Retrieval-Augmented Generation process then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executes, handling queries through sequential stages of context retrieval, response generation,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and format validation. Finally, the evaluation module calculates accuracy rates using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standardized assessment protocols while maintaining detailed execution logs for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comprehensive performance analysis. This integrated architecture facilitates evaluation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RAG augmentation effects while ensuring output quality through systematic format verification. </w:t>
      </w:r>
    </w:p>
    <w:p>
      <w:pPr>
        <w:autoSpaceDN w:val="0"/>
        <w:autoSpaceDE w:val="0"/>
        <w:widowControl/>
        <w:spacing w:line="401" w:lineRule="auto" w:before="364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4.2.1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Components of RAG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Figure 5.1 presents the RAG architecture in this paper, implemented using LangGraph to create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 stateful multi-stage processing pipeline. The system comprises three core operational states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including retrieval state, generation state and format-checker state. Each state maintains its own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execution context while participating in the coordinated workflow. The following section will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provide detailed explanation of each component’s implementation and functions.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 xml:space="preserve">Workflow based on LangGraph </w:t>
      </w:r>
    </w:p>
    <w:p>
      <w:pPr>
        <w:autoSpaceDN w:val="0"/>
        <w:autoSpaceDE w:val="0"/>
        <w:widowControl/>
        <w:spacing w:line="233" w:lineRule="auto" w:before="348" w:after="50"/>
        <w:ind w:left="468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Workflow based on LangGraph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4513"/>
        <w:gridCol w:w="4513"/>
      </w:tblGrid>
      <w:tr>
        <w:trPr>
          <w:trHeight w:hRule="exact" w:val="1572"/>
        </w:trPr>
        <w:tc>
          <w:tcPr>
            <w:tcW w:type="dxa" w:w="56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42" w:after="0"/>
              <w:ind w:left="108" w:right="2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2: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3: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4: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5: </w:t>
            </w:r>
          </w:p>
        </w:tc>
        <w:tc>
          <w:tcPr>
            <w:tcW w:type="dxa" w:w="773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42" w:after="0"/>
              <w:ind w:left="438" w:right="1728" w:hanging="33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def build_graph(self):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workflow = StateGraph(State)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workflow.add_node("retrieve", self.retrieve)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workflow.add_node("generate", self.generate)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workflow.add_node("format_checker", self.format_checker)</w:t>
            </w:r>
          </w:p>
        </w:tc>
      </w:tr>
    </w:tbl>
    <w:p>
      <w:pPr>
        <w:autoSpaceDN w:val="0"/>
        <w:tabs>
          <w:tab w:pos="1366" w:val="left"/>
        </w:tabs>
        <w:autoSpaceDE w:val="0"/>
        <w:widowControl/>
        <w:spacing w:line="283" w:lineRule="auto" w:before="30" w:after="0"/>
        <w:ind w:left="468" w:right="288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6: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7: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workflow.add_edge(START, "retrieve")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8: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workflow.add_edge("retrieve", "generate")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workflow.add_edge("generate", "format_checker")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workflow.add_edge("format_checker", END) </w:t>
      </w:r>
    </w:p>
    <w:p>
      <w:pPr>
        <w:autoSpaceDN w:val="0"/>
        <w:autoSpaceDE w:val="0"/>
        <w:widowControl/>
        <w:spacing w:line="233" w:lineRule="auto" w:before="7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>Retrieval State</w:t>
      </w:r>
    </w:p>
    <w:p>
      <w:pPr>
        <w:autoSpaceDN w:val="0"/>
        <w:autoSpaceDE w:val="0"/>
        <w:widowControl/>
        <w:spacing w:line="391" w:lineRule="auto" w:before="384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Retrieval State queries the vector database with semantic similarity matching to extract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most relevant document fragments. This process identifies top-5 contextual passages that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maximally align with the query’s semantic content. Raw text content (page_content) of each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retrieved document is extracted and aggregated into a single string, with individual contexts </w:t>
      </w:r>
    </w:p>
    <w:p>
      <w:pPr>
        <w:sectPr>
          <w:pgSz w:w="11906" w:h="16838"/>
          <w:pgMar w:top="430" w:right="1440" w:bottom="93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27 </w:t>
            </w:r>
          </w:p>
        </w:tc>
      </w:tr>
    </w:tbl>
    <w:p>
      <w:pPr>
        <w:autoSpaceDN w:val="0"/>
        <w:autoSpaceDE w:val="0"/>
        <w:widowControl/>
        <w:spacing w:line="374" w:lineRule="auto" w:before="440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separated by distinctive demarcation lines to maintain clear boundaries between different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source materials. This state returns these compiled contexts packaged in a dictionary format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(context), providing properly formatted reference materials for subsequent Generation State.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>Generation State</w:t>
      </w:r>
    </w:p>
    <w:p>
      <w:pPr>
        <w:autoSpaceDN w:val="0"/>
        <w:autoSpaceDE w:val="0"/>
        <w:widowControl/>
        <w:spacing w:line="415" w:lineRule="auto" w:before="386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Generation State synthesizes answers by processing retrieved knowledge and input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questions through the main model while enforcing strict formatting protocols. With specific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prompt, the system configures the model as a materials science specialist with expertise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Pymatgen, constraining output answers to single-letter selections (A-D). This controlled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generation process transforms the formatted question and retrieved content into standardized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responses encapsulated within &lt;answer&gt;&lt;/answer&gt; tags, guaranteeing both technical accuracy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 materials simulation and structural consistency for downstream pipeline operations. </w:t>
      </w:r>
    </w:p>
    <w:p>
      <w:pPr>
        <w:autoSpaceDN w:val="0"/>
        <w:autoSpaceDE w:val="0"/>
        <w:widowControl/>
        <w:spacing w:line="230" w:lineRule="auto" w:before="38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2"/>
        </w:rPr>
        <w:t>Format-checker State</w:t>
      </w:r>
    </w:p>
    <w:p>
      <w:pPr>
        <w:autoSpaceDN w:val="0"/>
        <w:autoSpaceDE w:val="0"/>
        <w:widowControl/>
        <w:spacing w:line="415" w:lineRule="auto" w:before="384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The Format-checker State enforces output standardization by transforming raw model-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generated responses into strictly compliant single-letter answers. The system provides a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specialized prompt to a format-check model and ask it to extract only the essential answer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content by systematically eliminating all on-conforming elements. This validation mechanism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is expected to guarantee output consistency by converting potentially verbose or irregular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generation outputs into atomic answer units, effectively decoupling content accuracy from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presentation variability to ensure reliable downstream processing. </w:t>
      </w:r>
    </w:p>
    <w:p>
      <w:pPr>
        <w:autoSpaceDN w:val="0"/>
        <w:autoSpaceDE w:val="0"/>
        <w:widowControl/>
        <w:spacing w:line="415" w:lineRule="auto" w:before="364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4.2.2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Overall workflow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core architecture maintains consistency with our previously designed framework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Chapter 4, while incorporating the new RAG-enhanced components. The system follows a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standardized workflow: it initially generates properly formatted questions from the Pymatgen-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based datasets, then processes these questions through the RAG pipeline to obtain structured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answers. Following completion, the system automatically calculates overall accuracy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generates two types of output files for performance analysis - a detailed CSV report containing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quantitative evaluation results and a timestamped log file recording all processing details. This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enhanced version preserves the original architecture’s evaluation methodology while benefiting </w:t>
      </w:r>
    </w:p>
    <w:p>
      <w:pPr>
        <w:sectPr>
          <w:pgSz w:w="11906" w:h="16838"/>
          <w:pgMar w:top="430" w:right="1440" w:bottom="8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28 </w:t>
            </w:r>
          </w:p>
        </w:tc>
      </w:tr>
    </w:tbl>
    <w:p>
      <w:pPr>
        <w:autoSpaceDN w:val="0"/>
        <w:autoSpaceDE w:val="0"/>
        <w:widowControl/>
        <w:spacing w:line="391" w:lineRule="auto" w:before="440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from the improved answer quality enabled by the RAG augmentation, allowing for direct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comparison between baseline and enhanced model performance. The output files maintain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consistent formatting with our previous implementation to ensure continuity in experimental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tracking and result analysis across different phases of our research. </w:t>
      </w:r>
    </w:p>
    <w:p>
      <w:pPr>
        <w:autoSpaceDN w:val="0"/>
        <w:autoSpaceDE w:val="0"/>
        <w:widowControl/>
        <w:spacing w:line="230" w:lineRule="auto" w:before="432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4.3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Performance Evaluation </w:t>
      </w:r>
    </w:p>
    <w:p>
      <w:pPr>
        <w:autoSpaceDN w:val="0"/>
        <w:autoSpaceDE w:val="0"/>
        <w:widowControl/>
        <w:spacing w:line="374" w:lineRule="auto" w:before="270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Our evaluation assessed the RAG-enhanced performance of two models (Qwen2.5-7B-Instruct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and Darwin1_v2) with integrated format checker on both code-based and documentation-based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datasets. </w:t>
      </w:r>
    </w:p>
    <w:p>
      <w:pPr>
        <w:autoSpaceDN w:val="0"/>
        <w:autoSpaceDE w:val="0"/>
        <w:widowControl/>
        <w:spacing w:line="410" w:lineRule="auto" w:before="364" w:after="268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4.3.1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Overall Evaluation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Table 4.1 compares the RAG-enhanced performance of Qwen2.5-7B-Instruct and Darwin1_v2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models across code-based and document-based material science datasets. The results reveal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significant performance disparities: Qwen2.5-7B-Instruct achieves 77.10% accuracy on code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tasks and 82.92% on documentation tasks, demonstrating a consistent performance advantage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 text processing scenarios. In stark contrast, the domain-specific Darwin1_v2 model shows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negligible effectiveness (0.99% accuracy on both datasets), suggesting fundamental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incompatibility with these material science tasks.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2256"/>
        <w:gridCol w:w="2256"/>
        <w:gridCol w:w="2256"/>
        <w:gridCol w:w="2256"/>
      </w:tblGrid>
      <w:tr>
        <w:trPr>
          <w:trHeight w:hRule="exact" w:val="328"/>
        </w:trPr>
        <w:tc>
          <w:tcPr>
            <w:tcW w:type="dxa" w:w="896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Index </w:t>
            </w:r>
          </w:p>
        </w:tc>
        <w:tc>
          <w:tcPr>
            <w:tcW w:type="dxa" w:w="2798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430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Dataset </w:t>
            </w:r>
          </w:p>
        </w:tc>
        <w:tc>
          <w:tcPr>
            <w:tcW w:type="dxa" w:w="1692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Accuracy (%) </w:t>
            </w:r>
          </w:p>
        </w:tc>
      </w:tr>
      <w:tr>
        <w:trPr>
          <w:trHeight w:hRule="exact" w:val="318"/>
        </w:trPr>
        <w:tc>
          <w:tcPr>
            <w:tcW w:type="dxa" w:w="896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279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Qwen2.5-7B-Instruct </w:t>
            </w:r>
          </w:p>
        </w:tc>
        <w:tc>
          <w:tcPr>
            <w:tcW w:type="dxa" w:w="143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692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77.10 </w:t>
            </w:r>
          </w:p>
        </w:tc>
      </w:tr>
      <w:tr>
        <w:trPr>
          <w:trHeight w:hRule="exact" w:val="316"/>
        </w:trPr>
        <w:tc>
          <w:tcPr>
            <w:tcW w:type="dxa" w:w="8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2798"/>
            <w:vMerge w:val="restart"/>
            <w:tcBorders>
              <w:bottom w:sz="7.20000000000072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5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Darwin1_v2 </w:t>
            </w:r>
          </w:p>
        </w:tc>
        <w:tc>
          <w:tcPr>
            <w:tcW w:type="dxa" w:w="14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82.92 </w:t>
            </w:r>
          </w:p>
        </w:tc>
      </w:tr>
      <w:tr>
        <w:trPr>
          <w:trHeight w:hRule="exact" w:val="304"/>
        </w:trPr>
        <w:tc>
          <w:tcPr>
            <w:tcW w:type="dxa" w:w="8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2256"/>
            <w:vMerge/>
            <w:tcBorders>
              <w:bottom w:sz="7.200000000000728" w:val="single" w:color="#000000"/>
            </w:tcBorders>
          </w:tcPr>
          <w:p/>
        </w:tc>
        <w:tc>
          <w:tcPr>
            <w:tcW w:type="dxa" w:w="14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0.99+ </w:t>
            </w:r>
          </w:p>
        </w:tc>
      </w:tr>
      <w:tr>
        <w:trPr>
          <w:trHeight w:hRule="exact" w:val="324"/>
        </w:trPr>
        <w:tc>
          <w:tcPr>
            <w:tcW w:type="dxa" w:w="896"/>
            <w:tcBorders>
              <w:bottom w:sz="7.20000000000072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2256"/>
            <w:vMerge/>
            <w:tcBorders>
              <w:bottom w:sz="7.200000000000728" w:val="single" w:color="#000000"/>
            </w:tcBorders>
          </w:tcPr>
          <w:p/>
        </w:tc>
        <w:tc>
          <w:tcPr>
            <w:tcW w:type="dxa" w:w="1430"/>
            <w:tcBorders>
              <w:bottom w:sz="7.20000000000072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692"/>
            <w:tcBorders>
              <w:bottom w:sz="7.20000000000072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0.99+ </w:t>
            </w:r>
          </w:p>
        </w:tc>
      </w:tr>
    </w:tbl>
    <w:p>
      <w:pPr>
        <w:autoSpaceDN w:val="0"/>
        <w:autoSpaceDE w:val="0"/>
        <w:widowControl/>
        <w:spacing w:line="233" w:lineRule="auto" w:before="13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Table 4.1: Evaluation on RAG-enhanced LLMs on code-based and doc-based datasets. </w:t>
      </w:r>
    </w:p>
    <w:p>
      <w:pPr>
        <w:autoSpaceDN w:val="0"/>
        <w:autoSpaceDE w:val="0"/>
        <w:widowControl/>
        <w:spacing w:line="406" w:lineRule="auto" w:before="38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4.3.2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Qwen2.5-7B-Instruct with/without RAG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Table 4.2 presents a comparative analysis of Qwen2.5-7B-Instruct’s performance with 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without RAG enhancement across code-based and doc-based material simulation tasks.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results demonstrate consistent accuracy improvements through RAG augmentation, with a 2.73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percentage point increase on code-based tasks (from 74.37% to 77.10%) and a more substantial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7.13 percentage point gain on doc-based tasks (from 75.79% to 82.92%). Notably, the greater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performance boost observed in documentation processing (7.13% vs 2.73% for code) suggests </w:t>
      </w:r>
    </w:p>
    <w:p>
      <w:pPr>
        <w:sectPr>
          <w:pgSz w:w="11906" w:h="16838"/>
          <w:pgMar w:top="430" w:right="1440" w:bottom="93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29 </w:t>
            </w:r>
          </w:p>
        </w:tc>
      </w:tr>
    </w:tbl>
    <w:p>
      <w:pPr>
        <w:autoSpaceDN w:val="0"/>
        <w:autoSpaceDE w:val="0"/>
        <w:widowControl/>
        <w:spacing w:line="374" w:lineRule="auto" w:before="440" w:after="266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RAG’s particular effectiveness in enhancing text-based material simulation applications.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consistent positive differentials across both dataset types confirm the value of retrieval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augmentation for this general-purpose model in materials simulation applications.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330"/>
        </w:trPr>
        <w:tc>
          <w:tcPr>
            <w:tcW w:type="dxa" w:w="1238"/>
            <w:tcBorders>
              <w:top w:sz="7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Feature </w:t>
            </w:r>
          </w:p>
        </w:tc>
        <w:tc>
          <w:tcPr>
            <w:tcW w:type="dxa" w:w="1410"/>
            <w:tcBorders>
              <w:top w:sz="7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Dataset </w:t>
            </w:r>
          </w:p>
        </w:tc>
        <w:tc>
          <w:tcPr>
            <w:tcW w:type="dxa" w:w="1240"/>
            <w:tcBorders>
              <w:top w:sz="7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Standard </w:t>
            </w:r>
          </w:p>
        </w:tc>
        <w:tc>
          <w:tcPr>
            <w:tcW w:type="dxa" w:w="1238"/>
            <w:tcBorders>
              <w:top w:sz="7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RAG </w:t>
            </w:r>
          </w:p>
        </w:tc>
        <w:tc>
          <w:tcPr>
            <w:tcW w:type="dxa" w:w="1460"/>
            <w:tcBorders>
              <w:top w:sz="7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Differences </w:t>
            </w:r>
          </w:p>
        </w:tc>
      </w:tr>
      <w:tr>
        <w:trPr>
          <w:trHeight w:hRule="exact" w:val="318"/>
        </w:trPr>
        <w:tc>
          <w:tcPr>
            <w:tcW w:type="dxa" w:w="123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Accuracy </w:t>
            </w:r>
          </w:p>
        </w:tc>
        <w:tc>
          <w:tcPr>
            <w:tcW w:type="dxa" w:w="141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74.37 </w:t>
            </w:r>
          </w:p>
        </w:tc>
        <w:tc>
          <w:tcPr>
            <w:tcW w:type="dxa" w:w="123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77.10 </w:t>
            </w:r>
          </w:p>
        </w:tc>
        <w:tc>
          <w:tcPr>
            <w:tcW w:type="dxa" w:w="146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+2.73 </w:t>
            </w:r>
          </w:p>
        </w:tc>
      </w:tr>
      <w:tr>
        <w:trPr>
          <w:trHeight w:hRule="exact" w:val="320"/>
        </w:trPr>
        <w:tc>
          <w:tcPr>
            <w:tcW w:type="dxa" w:w="123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(%) </w:t>
            </w:r>
          </w:p>
        </w:tc>
        <w:tc>
          <w:tcPr>
            <w:tcW w:type="dxa" w:w="14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75.79 </w:t>
            </w:r>
          </w:p>
        </w:tc>
        <w:tc>
          <w:tcPr>
            <w:tcW w:type="dxa" w:w="123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82.92 </w:t>
            </w:r>
          </w:p>
        </w:tc>
        <w:tc>
          <w:tcPr>
            <w:tcW w:type="dxa" w:w="14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+7.13 </w:t>
            </w:r>
          </w:p>
        </w:tc>
      </w:tr>
    </w:tbl>
    <w:p>
      <w:pPr>
        <w:autoSpaceDN w:val="0"/>
        <w:autoSpaceDE w:val="0"/>
        <w:widowControl/>
        <w:spacing w:line="233" w:lineRule="auto" w:before="140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Table 4.2: Comparison of Qwen2.5-7B-Instruct with/without RAG enhancement performance. </w:t>
      </w:r>
    </w:p>
    <w:p>
      <w:pPr>
        <w:autoSpaceDN w:val="0"/>
        <w:autoSpaceDE w:val="0"/>
        <w:widowControl/>
        <w:spacing w:line="418" w:lineRule="auto" w:before="386" w:after="268"/>
        <w:ind w:left="36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4.3.3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Darwin1_v2 with/without RAG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Table 4.3 reveals fundamental limitations in Darwin1_v2’s performance across material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application tasks, showing near-zero baseline accuracy (0.01%) that improves only marginally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 0.99% with RAG enhancement. The identical nearly 1.00 percentage point improvement for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both code-based and doc-based tasks suggests systemic constraints in the model’s architecture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or configuration rather than dataset-specific deficiencies. This consistent pattern across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experimental conditions implies that neither standard implementation nor RAG augmentation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can overcome Darwin1_v2’s inherent incompatibility with these material simulation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applications. The results strongly suggest the need for architectural reconsideration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configuration modification rather than supplementary techniques to achieve viable performance.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328"/>
        </w:trPr>
        <w:tc>
          <w:tcPr>
            <w:tcW w:type="dxa" w:w="1238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Feature </w:t>
            </w:r>
          </w:p>
        </w:tc>
        <w:tc>
          <w:tcPr>
            <w:tcW w:type="dxa" w:w="1410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Dataset </w:t>
            </w:r>
          </w:p>
        </w:tc>
        <w:tc>
          <w:tcPr>
            <w:tcW w:type="dxa" w:w="1240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Standard </w:t>
            </w:r>
          </w:p>
        </w:tc>
        <w:tc>
          <w:tcPr>
            <w:tcW w:type="dxa" w:w="1238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RAG </w:t>
            </w:r>
          </w:p>
        </w:tc>
        <w:tc>
          <w:tcPr>
            <w:tcW w:type="dxa" w:w="1460"/>
            <w:tcBorders>
              <w:top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Differences </w:t>
            </w:r>
          </w:p>
        </w:tc>
      </w:tr>
      <w:tr>
        <w:trPr>
          <w:trHeight w:hRule="exact" w:val="304"/>
        </w:trPr>
        <w:tc>
          <w:tcPr>
            <w:tcW w:type="dxa" w:w="123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Accuracy </w:t>
            </w:r>
          </w:p>
        </w:tc>
        <w:tc>
          <w:tcPr>
            <w:tcW w:type="dxa" w:w="141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</w:t>
            </w:r>
          </w:p>
        </w:tc>
        <w:tc>
          <w:tcPr>
            <w:tcW w:type="dxa" w:w="12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0.01 </w:t>
            </w:r>
          </w:p>
        </w:tc>
        <w:tc>
          <w:tcPr>
            <w:tcW w:type="dxa" w:w="123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0.99 </w:t>
            </w:r>
          </w:p>
        </w:tc>
        <w:tc>
          <w:tcPr>
            <w:tcW w:type="dxa" w:w="146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+0.98 </w:t>
            </w:r>
          </w:p>
        </w:tc>
      </w:tr>
      <w:tr>
        <w:trPr>
          <w:trHeight w:hRule="exact" w:val="334"/>
        </w:trPr>
        <w:tc>
          <w:tcPr>
            <w:tcW w:type="dxa" w:w="123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(%) </w:t>
            </w:r>
          </w:p>
        </w:tc>
        <w:tc>
          <w:tcPr>
            <w:tcW w:type="dxa" w:w="14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Doc </w:t>
            </w:r>
          </w:p>
        </w:tc>
        <w:tc>
          <w:tcPr>
            <w:tcW w:type="dxa" w:w="12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0.01 </w:t>
            </w:r>
          </w:p>
        </w:tc>
        <w:tc>
          <w:tcPr>
            <w:tcW w:type="dxa" w:w="123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0.99 </w:t>
            </w:r>
          </w:p>
        </w:tc>
        <w:tc>
          <w:tcPr>
            <w:tcW w:type="dxa" w:w="14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+0.98 </w:t>
            </w:r>
          </w:p>
        </w:tc>
      </w:tr>
    </w:tbl>
    <w:p>
      <w:pPr>
        <w:autoSpaceDN w:val="0"/>
        <w:autoSpaceDE w:val="0"/>
        <w:widowControl/>
        <w:spacing w:line="233" w:lineRule="auto" w:before="13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Table 4.3: Comparison of Darwin1_v2 with/without RAG enhancement performance. </w:t>
      </w:r>
    </w:p>
    <w:p>
      <w:pPr>
        <w:autoSpaceDN w:val="0"/>
        <w:autoSpaceDE w:val="0"/>
        <w:widowControl/>
        <w:spacing w:line="230" w:lineRule="auto" w:before="454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4.4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Discussion </w:t>
      </w:r>
    </w:p>
    <w:p>
      <w:pPr>
        <w:autoSpaceDN w:val="0"/>
        <w:autoSpaceDE w:val="0"/>
        <w:widowControl/>
        <w:spacing w:line="408" w:lineRule="auto" w:before="268" w:after="0"/>
        <w:ind w:left="360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Three primary categories of errors emerged from our previous assessment in chapter 4: (1)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content generation of errors emerged from domain knowledge gaps; (2) answer format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violations; (3) model-specific abnormal behaviors. The Qwen2.5-7B-Instruct predominantly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exhibited type (1) and (2) errors, reflecting its general-purpose architecture’s limitations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specialized materials science applications. In contrast, Darwin1_v2 demonstrated near-total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type (3) failures, suggesting fundamental incompatibility with the task requirements. </w:t>
      </w:r>
    </w:p>
    <w:p>
      <w:pPr>
        <w:sectPr>
          <w:pgSz w:w="11906" w:h="16838"/>
          <w:pgMar w:top="430" w:right="1440" w:bottom="12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30 </w:t>
            </w:r>
          </w:p>
        </w:tc>
      </w:tr>
    </w:tbl>
    <w:p>
      <w:pPr>
        <w:autoSpaceDN w:val="0"/>
        <w:autoSpaceDE w:val="0"/>
        <w:widowControl/>
        <w:spacing w:line="374" w:lineRule="auto" w:before="440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With the enhance of RAG, Qwen2.5-7B-Instruct showed meaningful improvements with 7.13%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increase in accuracy on doc-based datasets. However, RAG has a marginal impact 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Darwin1_v2, which suggests deeper architectural or training flaws of this model. </w:t>
      </w:r>
    </w:p>
    <w:p>
      <w:pPr>
        <w:autoSpaceDN w:val="0"/>
        <w:autoSpaceDE w:val="0"/>
        <w:widowControl/>
        <w:spacing w:line="406" w:lineRule="auto" w:before="364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4.4.1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Qwen2.5-7B-Instruct Analysis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Three primary categories of errors emerged from our previous assessment in chapter 4: (1)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content generation of errors emerged from domain knowledge gaps; (2) answer format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violations; (3) model-specific abnormal behaviors. The Qwen2.5-7B-Instruct predominantly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exhibited type (1) and (2) errors, reflecting its general-purpose architecture’s limitations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specialized materials science applications. In contrast, Darwin1_v2 demonstrated near-total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type (3) failures, suggesting fundamental incompatibility with the task requirements. </w:t>
      </w:r>
    </w:p>
    <w:p>
      <w:pPr>
        <w:autoSpaceDN w:val="0"/>
        <w:autoSpaceDE w:val="0"/>
        <w:widowControl/>
        <w:spacing w:line="374" w:lineRule="auto" w:before="386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With the enhance of RAG, Qwen2.5-7B-Instruct showed meaningful improvements with 7.13%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increase in accuracy on doc-based datasets. However, RAG has a marginal impact 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Darwin1_v2, which suggests deeper architectural or training flaws of this model. </w:t>
      </w:r>
    </w:p>
    <w:p>
      <w:pPr>
        <w:autoSpaceDN w:val="0"/>
        <w:autoSpaceDE w:val="0"/>
        <w:widowControl/>
        <w:spacing w:line="420" w:lineRule="auto" w:before="364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4.4.2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Darwin1_v2 Analysis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demonstrated accuracy improvements in Qwen2.5-7B-Instruct strongly suggest that RAG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augmentation can effectively enhance LLM performance in materials science applications.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contrast, Darwin1_v2’s persistent poor performance appears primarily attributable to chat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template incompatibility. Since Darwin1_v2 lacks a native chat template as a LLaMA-based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model, we implemented a basic LLaMA-style template for experimentation. However,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extensive error analysis reveals the model consistently failed to interpret structured prompt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elements, particularly evident in its frequent disregard for &lt;answer&gt; tags and inability to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process hybrid RAG instructions. This fundamental template mismatch suggests that simply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adopting architecture-appropriate formatting schemes may be insufficient for domain-specific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models to adapt to complex, retrieval-augmented workflows. </w:t>
      </w:r>
    </w:p>
    <w:p>
      <w:pPr>
        <w:autoSpaceDN w:val="0"/>
        <w:autoSpaceDE w:val="0"/>
        <w:widowControl/>
        <w:spacing w:line="230" w:lineRule="auto" w:before="432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4.5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Limitations and Future Improvement Directions </w:t>
      </w:r>
    </w:p>
    <w:p>
      <w:pPr>
        <w:autoSpaceDN w:val="0"/>
        <w:autoSpaceDE w:val="0"/>
        <w:widowControl/>
        <w:spacing w:line="358" w:lineRule="auto" w:before="368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4.5.1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Current Limitations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study reveals two critical limitations including hardware constraints and chat template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incompatibility: </w:t>
      </w:r>
    </w:p>
    <w:p>
      <w:pPr>
        <w:sectPr>
          <w:pgSz w:w="11906" w:h="16838"/>
          <w:pgMar w:top="430" w:right="1440" w:bottom="7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31 </w:t>
            </w:r>
          </w:p>
        </w:tc>
      </w:tr>
    </w:tbl>
    <w:p>
      <w:pPr>
        <w:autoSpaceDN w:val="0"/>
        <w:tabs>
          <w:tab w:pos="1160" w:val="left"/>
        </w:tabs>
        <w:autoSpaceDE w:val="0"/>
        <w:widowControl/>
        <w:spacing w:line="396" w:lineRule="auto" w:before="362" w:after="0"/>
        <w:ind w:left="720" w:right="288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(1)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Hardware Constraints: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Due to GPU memory limitations, the current implementation fails to load two different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local models at the same time (e.g., Darwin1_v2 as the main model and Qwen2.5-7B-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Instruct as the format checker model), which restricts the ability to test optimal model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combinations for improved accuracy. The current experiments were limited to demand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same model to be both roles, potentially missing better synergies. </w:t>
      </w:r>
    </w:p>
    <w:p>
      <w:pPr>
        <w:autoSpaceDN w:val="0"/>
        <w:tabs>
          <w:tab w:pos="1160" w:val="left"/>
        </w:tabs>
        <w:autoSpaceDE w:val="0"/>
        <w:widowControl/>
        <w:spacing w:line="386" w:lineRule="auto" w:before="148" w:after="0"/>
        <w:ind w:left="720" w:right="288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(2)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Inappropriate Chat Template of Darwin1_v2: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currently adopted LLaMA-style chat template misaligns with the prompt structure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we use in the experiment, resulting in the situation that the model can’t fully understand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queries from users and generate effective outputs. Also, Darwin model consistently fails to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adhere to the required output format. </w:t>
      </w:r>
    </w:p>
    <w:p>
      <w:pPr>
        <w:autoSpaceDN w:val="0"/>
        <w:autoSpaceDE w:val="0"/>
        <w:widowControl/>
        <w:spacing w:line="358" w:lineRule="auto" w:before="364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>4.5.2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Future Improvements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Future work should prioritize multi-model deployment and template redesign for domain-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specific models: </w:t>
      </w:r>
    </w:p>
    <w:p>
      <w:pPr>
        <w:autoSpaceDN w:val="0"/>
        <w:autoSpaceDE w:val="0"/>
        <w:widowControl/>
        <w:spacing w:line="276" w:lineRule="auto" w:before="308" w:after="0"/>
        <w:ind w:left="720" w:right="288" w:firstLine="44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(1)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To address the GPU memory resource shortage, we can implement memory-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efficient loading techniques and select remote LLMs to identify optimal main-checker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models combinations. </w:t>
      </w:r>
    </w:p>
    <w:p>
      <w:pPr>
        <w:autoSpaceDN w:val="0"/>
        <w:autoSpaceDE w:val="0"/>
        <w:widowControl/>
        <w:spacing w:line="281" w:lineRule="auto" w:before="68" w:after="0"/>
        <w:ind w:left="720" w:right="250" w:firstLine="4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(2)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By analyzing raw responses of Darwin1_v2 model, we can identify the common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failure patterns and modify the chat template to better align with current workflow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requirements. This modification is expected to improve both accuracy and format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compliance, thereby reducing the performance gap with general-purpose models like Qwen. </w:t>
      </w:r>
    </w:p>
    <w:p>
      <w:pPr>
        <w:sectPr>
          <w:pgSz w:w="11906" w:h="16838"/>
          <w:pgMar w:top="43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32 </w:t>
            </w:r>
          </w:p>
        </w:tc>
      </w:tr>
    </w:tbl>
    <w:p>
      <w:pPr>
        <w:autoSpaceDN w:val="0"/>
        <w:autoSpaceDE w:val="0"/>
        <w:widowControl/>
        <w:spacing w:line="230" w:lineRule="auto" w:before="646" w:after="0"/>
        <w:ind w:left="36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5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CONCLUSION </w:t>
      </w:r>
    </w:p>
    <w:p>
      <w:pPr>
        <w:autoSpaceDN w:val="0"/>
        <w:autoSpaceDE w:val="0"/>
        <w:widowControl/>
        <w:spacing w:line="233" w:lineRule="auto" w:before="308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main work of this dissertation is summarized as following: </w:t>
      </w:r>
    </w:p>
    <w:p>
      <w:pPr>
        <w:autoSpaceDN w:val="0"/>
        <w:autoSpaceDE w:val="0"/>
        <w:widowControl/>
        <w:spacing w:line="415" w:lineRule="auto" w:before="384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By systematically reviewing domestic and international literature on large language models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(LLMs) in materials science, this paper provides a comprehensive overview of current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applications of LLMs in specialized scientific domains while critically analyzing the strengths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and limitations of conventional methodologies. To address the key challenges of outdated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knowledge bases and inadequate simulation performance in traditional LLM-based material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simulations, we propose a framework integrating LLMs with Retrieval-Augmented Generation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(RAG) and AI agent technologies, establishing the foundational research direction for the study. </w:t>
      </w:r>
    </w:p>
    <w:p>
      <w:pPr>
        <w:autoSpaceDN w:val="0"/>
        <w:autoSpaceDE w:val="0"/>
        <w:widowControl/>
        <w:spacing w:line="422" w:lineRule="auto" w:before="384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As the theoretical basis, this paper briefly introduced the core principles and architectural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frameworks of LLM, RAG and agent, then further analyzed the feasibility and reliability of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their integration for materials simulation applications. To evaluate the performance of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individual LLMs on this domain, we generated a code-based and a doc-based dataset related to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Pymatgen through the Gemini-2.0-flash model. Thirteen representative LLMs, including both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general-purposed and domain-specific models, were selected to for performance evaluation 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these datasets using properly designed prompts. The Benchmark results demonstrate that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general-purpose models significantly outperformed domain-specific models, owing to their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superior natural language comprehension and instruction-following capabilities developed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through broad pretraining. </w:t>
      </w:r>
    </w:p>
    <w:p>
      <w:pPr>
        <w:autoSpaceDN w:val="0"/>
        <w:autoSpaceDE w:val="0"/>
        <w:widowControl/>
        <w:spacing w:line="420" w:lineRule="auto" w:before="386" w:after="0"/>
        <w:ind w:left="288" w:right="288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 further improve the abilities of LLMs in materials simulation, we proposed an enhanced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framework integrating RAG and format validation. This framework addresses LLMs’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knowledge limitations in materials science via dynamic retrieval augmentation and guarantees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output reliability through strict format validation. With RAG enhancement, the Qwen2.5-7B-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Instruct model demonstrates measurable performance gains on both datasets (+2.73% on code-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based tasks and +7.13% on doc-based tasks), while Darwin1_v2 maintains consistently poor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performance due to architectural incompatibilities. The experimental results demonstrate the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effectiveness of the RAG-enhanced framework for materials simulation applications while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revealing several limitations that require attention in future implementations. Notably, the </w:t>
      </w:r>
    </w:p>
    <w:p>
      <w:pPr>
        <w:sectPr>
          <w:pgSz w:w="11906" w:h="16838"/>
          <w:pgMar w:top="430" w:right="1440" w:bottom="7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33 </w:t>
            </w:r>
          </w:p>
        </w:tc>
      </w:tr>
    </w:tbl>
    <w:p>
      <w:pPr>
        <w:autoSpaceDN w:val="0"/>
        <w:autoSpaceDE w:val="0"/>
        <w:widowControl/>
        <w:spacing w:line="338" w:lineRule="auto" w:before="440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framework’s modular architecture shows significant potential for broader adaptation across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diverse scientific domains. </w:t>
      </w:r>
    </w:p>
    <w:p>
      <w:pPr>
        <w:autoSpaceDN w:val="0"/>
        <w:autoSpaceDE w:val="0"/>
        <w:widowControl/>
        <w:spacing w:line="401" w:lineRule="auto" w:before="386" w:after="0"/>
        <w:ind w:left="36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Due to time limitation, certain aspects of this study require further improvement and refinement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 future research: First, the configuration of domain-specific models (e.g., the chat template of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Darwin1_v2) requires optimization to enhance their compatibility with the experimental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framework; Second, a more comprehensive evaluation of diverse LLMs is necessary to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determine the most effective pairing for the main model and format validation agent. </w:t>
      </w:r>
    </w:p>
    <w:p>
      <w:pPr>
        <w:sectPr>
          <w:pgSz w:w="11906" w:h="16838"/>
          <w:pgMar w:top="43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34 </w:t>
            </w:r>
          </w:p>
        </w:tc>
      </w:tr>
    </w:tbl>
    <w:p>
      <w:pPr>
        <w:autoSpaceDN w:val="0"/>
        <w:autoSpaceDE w:val="0"/>
        <w:widowControl/>
        <w:spacing w:line="230" w:lineRule="auto" w:before="646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REFERENCES </w:t>
      </w:r>
    </w:p>
    <w:p>
      <w:pPr>
        <w:autoSpaceDN w:val="0"/>
        <w:tabs>
          <w:tab w:pos="800" w:val="left"/>
        </w:tabs>
        <w:autoSpaceDE w:val="0"/>
        <w:widowControl/>
        <w:spacing w:line="338" w:lineRule="auto" w:before="308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[1]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S. Minaee et al., “Large language models: A survey,” Mar. 23, 2025, arXiv: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arXiv:2402.06196. doi: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hyperlink r:id="rId18" w:history="1">
          <w:r>
            <w:rPr>
              <w:rStyle w:val="Hyperlink"/>
            </w:rPr>
            <w:t xml:space="preserve"> 10.48550/arXiv.2402.06196.</w:t>
          </w:r>
        </w:hyperlink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391" w:lineRule="auto" w:before="224" w:after="0"/>
        <w:ind w:left="800" w:right="144" w:hanging="44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[2]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A. Singh, "Exploring Language Models: A Comprehensive Survey and Analysis," 2023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International Conference on Research Methodologies in Knowledge Management,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Artificial Intelligence and Telecommunication Engineering (RMKMATE), Chennai, India,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2023, pp. 1-4, doi: 10.1109/RMKMATE59243.2023.10369423. </w:t>
      </w:r>
    </w:p>
    <w:p>
      <w:pPr>
        <w:autoSpaceDN w:val="0"/>
        <w:tabs>
          <w:tab w:pos="800" w:val="left"/>
        </w:tabs>
        <w:autoSpaceDE w:val="0"/>
        <w:widowControl/>
        <w:spacing w:line="338" w:lineRule="auto" w:before="22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[3]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L. Ouyang et al., “Training language models to follow instructions with human feedback,”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Mar. 04, 2022, arXiv: arXiv:2203.02155. doi: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hyperlink r:id="rId19" w:history="1">
          <w:r>
            <w:rPr>
              <w:rStyle w:val="Hyperlink"/>
            </w:rPr>
            <w:t xml:space="preserve"> 10.48550/arXiv.2203.02155.</w:t>
          </w:r>
        </w:hyperlink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</w:t>
      </w:r>
    </w:p>
    <w:p>
      <w:pPr>
        <w:autoSpaceDN w:val="0"/>
        <w:tabs>
          <w:tab w:pos="800" w:val="left"/>
        </w:tabs>
        <w:autoSpaceDE w:val="0"/>
        <w:widowControl/>
        <w:spacing w:line="338" w:lineRule="auto" w:before="22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[4]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OpenAI et al., “GPT-4 technical report,” Mar. 04, 2024, arXiv: arXiv:2303.08774. doi: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hyperlink r:id="rId20" w:history="1">
          <w:r>
            <w:rPr>
              <w:rStyle w:val="Hyperlink"/>
            </w:rPr>
            <w:t>10.48550/arXiv.2303.08774.</w:t>
          </w:r>
        </w:hyperlink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</w:t>
      </w:r>
    </w:p>
    <w:p>
      <w:pPr>
        <w:autoSpaceDN w:val="0"/>
        <w:tabs>
          <w:tab w:pos="800" w:val="left"/>
        </w:tabs>
        <w:autoSpaceDE w:val="0"/>
        <w:widowControl/>
        <w:spacing w:line="338" w:lineRule="auto" w:before="22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[5]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J. Wei et al., “Emergent abilities of large language models,” Oct. 26, 2022, arXiv: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arXiv:2206.07682. doi: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hyperlink r:id="rId21" w:history="1">
          <w:r>
            <w:rPr>
              <w:rStyle w:val="Hyperlink"/>
            </w:rPr>
            <w:t xml:space="preserve"> 10.48550/arXiv.2206.07682.</w:t>
          </w:r>
        </w:hyperlink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343" w:lineRule="auto" w:before="226" w:after="0"/>
        <w:ind w:left="800" w:right="304" w:hanging="4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[6]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N. Shinn, F. Cassano, E. Berman, A. Gopinath, K. Narasimhan, and S. Yao,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Reflexion: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Language agents with verbal reinforcement learning,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 Oct. 10, 2023, arXiv: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arXiv:2303.11366. doi: 10.48550/arXiv.2303.11366. </w:t>
      </w:r>
    </w:p>
    <w:p>
      <w:pPr>
        <w:autoSpaceDN w:val="0"/>
        <w:tabs>
          <w:tab w:pos="800" w:val="left"/>
        </w:tabs>
        <w:autoSpaceDE w:val="0"/>
        <w:widowControl/>
        <w:spacing w:line="317" w:lineRule="auto" w:before="22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[7]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G. Wang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Voyager: An open-ended embodied agent with large language models,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Oct. 19, 2023, arXiv: arXiv:2305.16291. doi: 10.48550/arXiv.2305.16291. </w:t>
      </w:r>
    </w:p>
    <w:p>
      <w:pPr>
        <w:autoSpaceDN w:val="0"/>
        <w:tabs>
          <w:tab w:pos="800" w:val="left"/>
        </w:tabs>
        <w:autoSpaceDE w:val="0"/>
        <w:widowControl/>
        <w:spacing w:line="317" w:lineRule="auto" w:before="22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[8]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J. Wei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Emergent abilities of large language models,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Oct. 26, 2022, arXiv: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arXiv:2206.07682. doi: 10.48550/arXiv.2206.07682. </w:t>
      </w:r>
    </w:p>
    <w:p>
      <w:pPr>
        <w:autoSpaceDN w:val="0"/>
        <w:tabs>
          <w:tab w:pos="800" w:val="left"/>
        </w:tabs>
        <w:autoSpaceDE w:val="0"/>
        <w:widowControl/>
        <w:spacing w:line="317" w:lineRule="auto" w:before="22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[9]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S. Yao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ReAct: Synergizing reasoning and acting in language models,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Mar. 10,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2023, arXiv: arXiv:2210.03629. doi: 10.48550/arXiv.2210.03629. </w:t>
      </w:r>
    </w:p>
    <w:p>
      <w:pPr>
        <w:autoSpaceDN w:val="0"/>
        <w:tabs>
          <w:tab w:pos="800" w:val="left"/>
        </w:tabs>
        <w:autoSpaceDE w:val="0"/>
        <w:widowControl/>
        <w:spacing w:line="317" w:lineRule="auto" w:before="226" w:after="0"/>
        <w:ind w:left="35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[10]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R. Nakano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WebGPT: Browser-assisted question-answering with human feedback,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Jun. 01, 2022, arXiv: arXiv:2112.09332. doi: 10.48550/arXiv.2112.09332. </w:t>
      </w:r>
    </w:p>
    <w:p>
      <w:pPr>
        <w:autoSpaceDN w:val="0"/>
        <w:tabs>
          <w:tab w:pos="800" w:val="left"/>
        </w:tabs>
        <w:autoSpaceDE w:val="0"/>
        <w:widowControl/>
        <w:spacing w:line="317" w:lineRule="auto" w:before="226" w:after="0"/>
        <w:ind w:left="35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[11]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J. Wei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Finetuned language models are zero-shot learners,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Feb. 08, 2022, arXiv: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arXiv:2109.01652. doi: 10.48550/arXiv.2109.01652. </w:t>
      </w:r>
    </w:p>
    <w:p>
      <w:pPr>
        <w:autoSpaceDN w:val="0"/>
        <w:tabs>
          <w:tab w:pos="800" w:val="left"/>
          <w:tab w:pos="8134" w:val="left"/>
        </w:tabs>
        <w:autoSpaceDE w:val="0"/>
        <w:widowControl/>
        <w:spacing w:line="317" w:lineRule="auto" w:before="22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[12]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V. Sanh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Multitask prompted training enables zero-shot task generalization,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Mar.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17, 2022, arXiv: arXiv:2110.08207. doi: 10.48550/arXiv.2110.08207. </w:t>
      </w:r>
    </w:p>
    <w:p>
      <w:pPr>
        <w:sectPr>
          <w:pgSz w:w="11906" w:h="16838"/>
          <w:pgMar w:top="430" w:right="1440" w:bottom="10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35 </w:t>
            </w:r>
          </w:p>
        </w:tc>
      </w:tr>
    </w:tbl>
    <w:p>
      <w:pPr>
        <w:autoSpaceDN w:val="0"/>
        <w:tabs>
          <w:tab w:pos="800" w:val="left"/>
        </w:tabs>
        <w:autoSpaceDE w:val="0"/>
        <w:widowControl/>
        <w:spacing w:line="317" w:lineRule="auto" w:before="440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[13]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T. B. Brown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Language models are few-shot learners,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Jul. 22, 2020, arXiv: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arXiv:2005.14165. doi: 10.48550/arXiv.2005.14165. </w:t>
      </w:r>
    </w:p>
    <w:p>
      <w:pPr>
        <w:autoSpaceDN w:val="0"/>
        <w:autoSpaceDE w:val="0"/>
        <w:widowControl/>
        <w:spacing w:line="204" w:lineRule="auto" w:before="22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[14]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L. Wang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A survey on large language model based autonomous agents,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Front. </w:t>
      </w:r>
    </w:p>
    <w:p>
      <w:pPr>
        <w:autoSpaceDN w:val="0"/>
        <w:tabs>
          <w:tab w:pos="800" w:val="left"/>
        </w:tabs>
        <w:autoSpaceDE w:val="0"/>
        <w:widowControl/>
        <w:spacing w:line="367" w:lineRule="auto" w:before="226" w:after="0"/>
        <w:ind w:left="360" w:right="288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Comput. Sci., vol. 18, no. 6, p. 186345, Dec. 2024, doi: 10.1007/s11704-024-40231-1.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[15]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Z. He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ChatEDA: A large language model powered autonomous agent for EDA,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IEEE Trans. Comput.-Aided Des. Integr. Circuits Syst., vol. 43, no. 10, pp. 3184</w:t>
      </w:r>
      <w:r>
        <w:rPr>
          <w:rFonts w:ascii="SimSun" w:hAnsi="SimSun" w:eastAsia="SimSun"/>
          <w:b w:val="0"/>
          <w:i w:val="0"/>
          <w:color w:val="000000"/>
          <w:sz w:val="22"/>
        </w:rPr>
        <w:t>–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3197,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Oct. 2024, doi: 10.1109/TCAD.2024.3383347. </w:t>
      </w:r>
    </w:p>
    <w:p>
      <w:pPr>
        <w:autoSpaceDN w:val="0"/>
        <w:autoSpaceDE w:val="0"/>
        <w:widowControl/>
        <w:spacing w:line="343" w:lineRule="auto" w:before="226" w:after="0"/>
        <w:ind w:left="800" w:right="304" w:hanging="4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[16]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S. S. Chong, Y. S. Ng, H.-Q. Wang, and J.-C. Zheng,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Advances of machine learning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materials science: Ideas and techniques,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Front. Phys., vol. 19, no. 1, p. 13501, Feb. 2024,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doi: 10.1007/s11467-023-1325-z. </w:t>
      </w:r>
    </w:p>
    <w:p>
      <w:pPr>
        <w:autoSpaceDN w:val="0"/>
        <w:autoSpaceDE w:val="0"/>
        <w:widowControl/>
        <w:spacing w:line="343" w:lineRule="auto" w:before="226" w:after="0"/>
        <w:ind w:left="800" w:right="288" w:hanging="44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[17]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T. Weiss, E. Mayo Yanes, S. Chakraborty, L. Cosmo, A. M. Bronstein, and R. Gershoni-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Poranne,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Guided diffusion for inverse molecular design,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Nat Comput Sci, vol. 3, no.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10, pp. 873</w:t>
      </w:r>
      <w:r>
        <w:rPr>
          <w:rFonts w:ascii="SimSun" w:hAnsi="SimSun" w:eastAsia="SimSun"/>
          <w:b w:val="0"/>
          <w:i w:val="0"/>
          <w:color w:val="000000"/>
          <w:sz w:val="22"/>
        </w:rPr>
        <w:t>–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882, Oct. 2023, doi: 10.1038/s43588-023-00532-0. </w:t>
      </w:r>
    </w:p>
    <w:p>
      <w:pPr>
        <w:autoSpaceDN w:val="0"/>
        <w:tabs>
          <w:tab w:pos="800" w:val="left"/>
          <w:tab w:pos="4414" w:val="left"/>
        </w:tabs>
        <w:autoSpaceDE w:val="0"/>
        <w:widowControl/>
        <w:spacing w:line="343" w:lineRule="auto" w:before="226" w:after="0"/>
        <w:ind w:left="36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[18]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S. S. Chong, Y. S. Ng, H.-Q. Wang, and J.-C. Zheng,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Advances of machine learning in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Front. Phys., vol. 19, no. 1, p. 13501, Feb. 2024,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materials science: Ideas and techniques,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doi: 10.1007/s11467-023-1325-z. </w:t>
      </w:r>
    </w:p>
    <w:p>
      <w:pPr>
        <w:autoSpaceDN w:val="0"/>
        <w:autoSpaceDE w:val="0"/>
        <w:widowControl/>
        <w:spacing w:line="343" w:lineRule="auto" w:before="224" w:after="0"/>
        <w:ind w:left="800" w:right="304" w:hanging="4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[19]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A. Singh, A. Ehtesham, S. Kumar, and T. T. Khoei,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Agentic retrieval-augmented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generation: A survey on agentic RAG,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Feb. 04, 2025, arXiv: arXiv:2501.09136. doi: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10.48550/arXiv.2501.09136. </w:t>
      </w:r>
    </w:p>
    <w:p>
      <w:pPr>
        <w:autoSpaceDN w:val="0"/>
        <w:tabs>
          <w:tab w:pos="800" w:val="left"/>
        </w:tabs>
        <w:autoSpaceDE w:val="0"/>
        <w:widowControl/>
        <w:spacing w:line="317" w:lineRule="auto" w:before="224" w:after="0"/>
        <w:ind w:left="36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[20]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P. Lewis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Retrieval-augmented generation for knowledge-intensive NLP tasks,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Apr. 12, 2021, arXiv: arXiv:2005.11401. doi: 10.48550/arXiv.2005.11401. </w:t>
      </w:r>
    </w:p>
    <w:p>
      <w:pPr>
        <w:autoSpaceDN w:val="0"/>
        <w:autoSpaceDE w:val="0"/>
        <w:widowControl/>
        <w:spacing w:line="343" w:lineRule="auto" w:before="224" w:after="0"/>
        <w:ind w:left="800" w:right="304" w:hanging="4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[21]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K. Guu, K. Lee, Z. Tung, P. Pasupat, and M.-W. Chang,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REALM: Retrieval-augmented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language model pre-training,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 Feb. 10, 2020, arXiv: arXiv:2002.08909. doi: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10.48550/arXiv.2002.08909. </w:t>
      </w:r>
    </w:p>
    <w:p>
      <w:pPr>
        <w:autoSpaceDN w:val="0"/>
        <w:tabs>
          <w:tab w:pos="800" w:val="left"/>
        </w:tabs>
        <w:autoSpaceDE w:val="0"/>
        <w:widowControl/>
        <w:spacing w:line="317" w:lineRule="auto" w:before="224" w:after="0"/>
        <w:ind w:left="36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[22]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S. Borgeaud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Improving language models by retrieving from trillions of tokens,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Feb. 07, 2022, arXiv: arXiv:2112.04426. doi: 10.48550/arXiv.2112.04426. </w:t>
      </w:r>
    </w:p>
    <w:p>
      <w:pPr>
        <w:autoSpaceDN w:val="0"/>
        <w:autoSpaceDE w:val="0"/>
        <w:widowControl/>
        <w:spacing w:line="204" w:lineRule="auto" w:before="224" w:after="164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[23]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B. Wang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Shall we pretrain autoregressive language models with retrieval? 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rHeight w:hRule="exact" w:val="364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comprehensive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study,</w:t>
            </w:r>
            <w:r>
              <w:rPr>
                <w:rFonts w:ascii="SimSun" w:hAnsi="SimSun" w:eastAsia="SimSun"/>
                <w:b w:val="0"/>
                <w:i w:val="0"/>
                <w:color w:val="000000"/>
                <w:sz w:val="22"/>
              </w:rPr>
              <w:t xml:space="preserve"> ”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7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Dec.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21,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2023,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arXiv: 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arXiv:2304.06762.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doi: </w:t>
            </w:r>
          </w:p>
        </w:tc>
      </w:tr>
    </w:tbl>
    <w:p>
      <w:pPr>
        <w:autoSpaceDN w:val="0"/>
        <w:autoSpaceDE w:val="0"/>
        <w:widowControl/>
        <w:spacing w:line="233" w:lineRule="auto" w:before="164" w:after="0"/>
        <w:ind w:left="8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10.48550/arXiv.2304.06762. </w:t>
      </w:r>
    </w:p>
    <w:p>
      <w:pPr>
        <w:sectPr>
          <w:pgSz w:w="11906" w:h="16838"/>
          <w:pgMar w:top="430" w:right="1440" w:bottom="96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009"/>
        <w:gridCol w:w="3009"/>
        <w:gridCol w:w="3009"/>
      </w:tblGrid>
      <w:tr>
        <w:trPr>
          <w:trHeight w:hRule="exact" w:val="258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Master's Dissertation (MSc) 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The University of Hong Kong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36 </w:t>
            </w:r>
          </w:p>
        </w:tc>
      </w:tr>
    </w:tbl>
    <w:p>
      <w:pPr>
        <w:autoSpaceDN w:val="0"/>
        <w:autoSpaceDE w:val="0"/>
        <w:widowControl/>
        <w:spacing w:line="343" w:lineRule="auto" w:before="440" w:after="0"/>
        <w:ind w:left="800" w:right="304" w:hanging="4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[24]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Z. Yu, C. Xiong, S. Yu, and Z. Liu,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Augmentation-adapted retriever improves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generalization of language models as generic plug-in,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 May 27, 2023, arXiv: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arXiv:2305.17331. doi: 10.48550/arXiv.2305.17331. </w:t>
      </w:r>
    </w:p>
    <w:p>
      <w:pPr>
        <w:autoSpaceDN w:val="0"/>
        <w:tabs>
          <w:tab w:pos="800" w:val="left"/>
          <w:tab w:pos="2154" w:val="left"/>
        </w:tabs>
        <w:autoSpaceDE w:val="0"/>
        <w:widowControl/>
        <w:spacing w:line="317" w:lineRule="auto" w:before="226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[25]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D. Cheng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UPRISE: Universal prompt retrieval for improving zero-shot evaluation,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Dec. 16, 2023, arXiv: arXiv:2303.08518. doi: 10.48550/arXiv.2303.08518. </w:t>
      </w:r>
    </w:p>
    <w:p>
      <w:pPr>
        <w:autoSpaceDN w:val="0"/>
        <w:autoSpaceDE w:val="0"/>
        <w:widowControl/>
        <w:spacing w:line="204" w:lineRule="auto" w:before="226" w:after="166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[26]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X. Li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Structure-aware language model pretraining improves dense retrieval 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rHeight w:hRule="exact" w:val="362"/>
        </w:trPr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2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structured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data,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66" w:after="0"/>
              <w:ind w:left="130" w:right="0" w:firstLine="0"/>
              <w:jc w:val="left"/>
            </w:pPr>
            <w:r>
              <w:rPr>
                <w:rFonts w:ascii="SimSun" w:hAnsi="SimSun" w:eastAsia="SimSun"/>
                <w:b w:val="0"/>
                <w:i w:val="0"/>
                <w:color w:val="000000"/>
                <w:sz w:val="22"/>
              </w:rPr>
              <w:t>”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1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May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31,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2023,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arXiv: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arXiv:2305.19912.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doi: </w:t>
            </w:r>
          </w:p>
        </w:tc>
      </w:tr>
    </w:tbl>
    <w:p>
      <w:pPr>
        <w:autoSpaceDN w:val="0"/>
        <w:autoSpaceDE w:val="0"/>
        <w:widowControl/>
        <w:spacing w:line="230" w:lineRule="auto" w:before="166" w:after="0"/>
        <w:ind w:left="8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10.48550/arXiv.2305.19912. </w:t>
      </w:r>
    </w:p>
    <w:p>
      <w:pPr>
        <w:autoSpaceDN w:val="0"/>
        <w:autoSpaceDE w:val="0"/>
        <w:widowControl/>
        <w:spacing w:line="343" w:lineRule="auto" w:before="226" w:after="0"/>
        <w:ind w:left="802" w:right="304" w:hanging="44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[27]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Z. Guo, S. Cheng, Y. Wang, P. Li, and Y. Liu,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Prompt-guided retrieval augmentation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for non-knowledge-intensive tasks,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May 28, 2023, arXiv: arXiv:2305.17653. doi: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10.48550/arXiv.2305.17653. </w:t>
      </w:r>
    </w:p>
    <w:p>
      <w:pPr>
        <w:autoSpaceDN w:val="0"/>
        <w:autoSpaceDE w:val="0"/>
        <w:widowControl/>
        <w:spacing w:line="343" w:lineRule="auto" w:before="226" w:after="0"/>
        <w:ind w:left="802" w:right="288" w:hanging="442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[28]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Z. Shao, Y. Gong, Y. Shen, M. Huang, N. Duan, and W. Chen,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Enhancing retrieval-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augmented large language models with iterative retrieval-generation synergy,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Oct. 23,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2023, arXiv: arXiv:2305.15294. doi: 10.48550/arXiv.2305.15294. </w:t>
      </w:r>
    </w:p>
    <w:p>
      <w:pPr>
        <w:autoSpaceDN w:val="0"/>
        <w:autoSpaceDE w:val="0"/>
        <w:widowControl/>
        <w:spacing w:line="372" w:lineRule="auto" w:before="226" w:after="0"/>
        <w:ind w:left="802" w:right="302" w:hanging="44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[29]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H. Trivedi, N. Balasubramanian, T. Khot, and A. Sabharwal,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Interleaving retrieval with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chain-of-thought reasoning for knowledge-intensive multi-step questions,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 in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Proceedings of the 61st Annual Meeting of the Association for Computational Linguistics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(Volume 1: Long Papers), Toronto, Canada: Association for Computational Linguistics,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2023, pp. 10014</w:t>
      </w:r>
      <w:r>
        <w:rPr>
          <w:rFonts w:ascii="SimSun" w:hAnsi="SimSun" w:eastAsia="SimSun"/>
          <w:b w:val="0"/>
          <w:i w:val="0"/>
          <w:color w:val="000000"/>
          <w:sz w:val="22"/>
        </w:rPr>
        <w:t>–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10037. doi: 10.18653/v1/2023.acl-long.557. </w:t>
      </w:r>
    </w:p>
    <w:p>
      <w:pPr>
        <w:autoSpaceDN w:val="0"/>
        <w:tabs>
          <w:tab w:pos="802" w:val="left"/>
        </w:tabs>
        <w:autoSpaceDE w:val="0"/>
        <w:widowControl/>
        <w:spacing w:line="317" w:lineRule="auto" w:before="224" w:after="0"/>
        <w:ind w:left="36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[30]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J. Wei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Chain-of-thought prompting elicits reasoning in large language models,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Jan. 10, 2023, arXiv: arXiv:2201.11903. doi: 10.48550/arXiv.2201.11903. </w:t>
      </w:r>
    </w:p>
    <w:p>
      <w:pPr>
        <w:autoSpaceDN w:val="0"/>
        <w:autoSpaceDE w:val="0"/>
        <w:widowControl/>
        <w:spacing w:line="300" w:lineRule="auto" w:before="224" w:after="0"/>
        <w:ind w:left="802" w:right="288" w:hanging="442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[31]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Q. Long et al., </w:t>
      </w:r>
      <w:r>
        <w:rPr>
          <w:rFonts w:ascii="SimSun" w:hAnsi="SimSun" w:eastAsia="SimSun"/>
          <w:b w:val="0"/>
          <w:i w:val="0"/>
          <w:color w:val="000000"/>
          <w:sz w:val="22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Autonomous planning and processing framework for complex tasks based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on large language models,</w:t>
      </w:r>
      <w:r>
        <w:rPr>
          <w:rFonts w:ascii="SimSun" w:hAnsi="SimSun" w:eastAsia="SimSun"/>
          <w:b w:val="0"/>
          <w:i w:val="0"/>
          <w:color w:val="000000"/>
          <w:sz w:val="22"/>
        </w:rPr>
        <w:t>”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Zidonghua Xuebao, vol. 50, no. 4, pp. 1-11, Apr. 2024. </w:t>
      </w:r>
    </w:p>
    <w:p>
      <w:pPr>
        <w:autoSpaceDN w:val="0"/>
        <w:autoSpaceDE w:val="0"/>
        <w:widowControl/>
        <w:spacing w:line="233" w:lineRule="auto" w:before="224" w:after="0"/>
        <w:ind w:left="80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[Chinese] </w:t>
      </w:r>
    </w:p>
    <w:sectPr w:rsidR="00FC693F" w:rsidRPr="0006063C" w:rsidSect="00034616">
      <w:pgSz w:w="11906" w:h="16838"/>
      <w:pgMar w:top="430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hyperlink" Target="https://doi.org/10.48550/arXiv.2402.06196" TargetMode="External"/><Relationship Id="rId19" Type="http://schemas.openxmlformats.org/officeDocument/2006/relationships/hyperlink" Target="https://doi.org/10.48550/arXiv.2203.02155" TargetMode="External"/><Relationship Id="rId20" Type="http://schemas.openxmlformats.org/officeDocument/2006/relationships/hyperlink" Target="https://doi.org/10.48550/arXiv.2303.08774" TargetMode="External"/><Relationship Id="rId21" Type="http://schemas.openxmlformats.org/officeDocument/2006/relationships/hyperlink" Target="https://doi.org/10.48550/arXiv.2206.0768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