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4D2" w:rsidRPr="002726C5" w:rsidRDefault="002B24D2" w:rsidP="002B24D2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2726C5">
        <w:rPr>
          <w:rFonts w:ascii="方正仿宋简体" w:eastAsia="方正仿宋简体" w:hAnsi="华文中宋" w:hint="eastAsia"/>
          <w:sz w:val="32"/>
          <w:szCs w:val="32"/>
        </w:rPr>
        <w:t>附件</w:t>
      </w:r>
      <w:r w:rsidR="00B73246">
        <w:rPr>
          <w:rFonts w:ascii="方正仿宋简体" w:eastAsia="方正仿宋简体" w:hAnsi="华文中宋" w:hint="eastAsia"/>
          <w:sz w:val="32"/>
          <w:szCs w:val="32"/>
        </w:rPr>
        <w:t>13</w:t>
      </w:r>
    </w:p>
    <w:p w:rsidR="002B24D2" w:rsidRPr="004B26D2" w:rsidRDefault="00B73246" w:rsidP="00B73246">
      <w:pPr>
        <w:snapToGrid w:val="0"/>
        <w:spacing w:afterLines="50" w:after="156" w:line="440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>
        <w:rPr>
          <w:rFonts w:ascii="方正小标宋简体" w:eastAsia="方正小标宋简体" w:hAnsi="华文中宋" w:hint="eastAsia"/>
          <w:sz w:val="32"/>
          <w:szCs w:val="32"/>
        </w:rPr>
        <w:t>2015</w:t>
      </w:r>
      <w:r w:rsidR="002B24D2" w:rsidRPr="004B26D2">
        <w:rPr>
          <w:rFonts w:ascii="方正小标宋简体" w:eastAsia="方正小标宋简体" w:hAnsi="华文中宋" w:hint="eastAsia"/>
          <w:sz w:val="32"/>
          <w:szCs w:val="32"/>
        </w:rPr>
        <w:t>年</w:t>
      </w:r>
      <w:proofErr w:type="gramStart"/>
      <w:r w:rsidR="00C02D71">
        <w:rPr>
          <w:rFonts w:ascii="方正小标宋简体" w:eastAsia="方正小标宋简体" w:hAnsi="华文中宋" w:hint="eastAsia"/>
          <w:sz w:val="32"/>
          <w:szCs w:val="32"/>
        </w:rPr>
        <w:t>橡</w:t>
      </w:r>
      <w:proofErr w:type="gramEnd"/>
      <w:r w:rsidR="00C02D71">
        <w:rPr>
          <w:rFonts w:ascii="方正小标宋简体" w:eastAsia="方正小标宋简体" w:hAnsi="华文中宋" w:hint="eastAsia"/>
          <w:sz w:val="32"/>
          <w:szCs w:val="32"/>
        </w:rPr>
        <w:t>套</w:t>
      </w:r>
      <w:r w:rsidR="002B24D2" w:rsidRPr="004B26D2">
        <w:rPr>
          <w:rFonts w:ascii="方正小标宋简体" w:eastAsia="方正小标宋简体" w:hAnsi="华文中宋" w:hint="eastAsia"/>
          <w:sz w:val="32"/>
          <w:szCs w:val="32"/>
        </w:rPr>
        <w:t>电缆产品质量全国联动监督抽查结果</w:t>
      </w:r>
    </w:p>
    <w:p w:rsidR="002B24D2" w:rsidRPr="00C02D71" w:rsidRDefault="002B24D2" w:rsidP="004B26D2">
      <w:pPr>
        <w:pStyle w:val="a3"/>
        <w:tabs>
          <w:tab w:val="left" w:pos="468"/>
          <w:tab w:val="left" w:pos="2088"/>
        </w:tabs>
        <w:adjustRightInd w:val="0"/>
        <w:snapToGrid w:val="0"/>
        <w:spacing w:before="0" w:beforeAutospacing="0" w:after="0" w:afterAutospacing="0" w:line="520" w:lineRule="exact"/>
        <w:ind w:firstLineChars="200" w:firstLine="560"/>
        <w:jc w:val="both"/>
        <w:rPr>
          <w:rFonts w:ascii="方正仿宋简体" w:eastAsia="方正仿宋简体" w:hAnsi="Calibri" w:cs="Times New Roman"/>
          <w:kern w:val="2"/>
          <w:sz w:val="28"/>
          <w:szCs w:val="28"/>
        </w:rPr>
      </w:pPr>
      <w:r w:rsidRPr="00C02D71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201</w:t>
      </w:r>
      <w:r w:rsidR="00C02D71" w:rsidRPr="00C02D71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5</w:t>
      </w:r>
      <w:r w:rsidRPr="00C02D71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年共抽查了</w:t>
      </w:r>
      <w:r w:rsidR="00C02D71" w:rsidRPr="00C02D71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天津、河北、辽宁、上海、江苏、浙江、安徽、福建、河南、湖北、湖南、广东、重庆、四川</w:t>
      </w:r>
      <w:r w:rsidRPr="00C02D71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等</w:t>
      </w:r>
      <w:r w:rsidR="00C02D71" w:rsidRPr="00C02D71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14</w:t>
      </w:r>
      <w:r w:rsidRPr="00C02D71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个</w:t>
      </w:r>
      <w:r w:rsidR="00C02D71" w:rsidRPr="00C02D71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省（</w:t>
      </w:r>
      <w:r w:rsidRPr="00C02D71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区、市</w:t>
      </w:r>
      <w:r w:rsidR="00C02D71" w:rsidRPr="00C02D71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）239</w:t>
      </w:r>
      <w:r w:rsidRPr="00C02D71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家企业生产的</w:t>
      </w:r>
      <w:r w:rsidR="00C02D71" w:rsidRPr="00C02D71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239</w:t>
      </w:r>
      <w:r w:rsidRPr="00C02D71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批次</w:t>
      </w:r>
      <w:proofErr w:type="gramStart"/>
      <w:r w:rsidR="008D2A39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橡</w:t>
      </w:r>
      <w:proofErr w:type="gramEnd"/>
      <w:r w:rsidR="008D2A39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套</w:t>
      </w:r>
      <w:r w:rsidRPr="00C02D71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电缆产品。</w:t>
      </w:r>
    </w:p>
    <w:p w:rsidR="00BC1B64" w:rsidRDefault="00BC1B64" w:rsidP="008D2A39">
      <w:pPr>
        <w:pStyle w:val="a3"/>
        <w:tabs>
          <w:tab w:val="left" w:pos="468"/>
          <w:tab w:val="left" w:pos="2088"/>
        </w:tabs>
        <w:adjustRightInd w:val="0"/>
        <w:snapToGrid w:val="0"/>
        <w:spacing w:before="0" w:beforeAutospacing="0" w:after="0" w:afterAutospacing="0" w:line="520" w:lineRule="exact"/>
        <w:ind w:firstLineChars="200" w:firstLine="560"/>
        <w:jc w:val="both"/>
        <w:rPr>
          <w:rFonts w:ascii="方正仿宋简体" w:eastAsia="方正仿宋简体"/>
          <w:sz w:val="32"/>
          <w:szCs w:val="32"/>
        </w:rPr>
      </w:pPr>
      <w:r w:rsidRPr="008F2D8C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本次抽查对结构尺寸、机械物理性能、电性能、</w:t>
      </w:r>
      <w:r w:rsidR="00C02D71" w:rsidRPr="008F2D8C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成品电缆机械性能</w:t>
      </w:r>
      <w:r w:rsidRPr="008F2D8C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等重点项目进行了检测，共发现</w:t>
      </w:r>
      <w:r w:rsidR="00C02D71" w:rsidRPr="008F2D8C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14</w:t>
      </w:r>
      <w:r w:rsidR="0086060A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批次不合格，不合格项目涉及</w:t>
      </w:r>
      <w:r w:rsidR="0086060A" w:rsidRPr="0086060A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护套老化前抗张强度、护套老化前断裂伸长率、护套老化后断裂伸长率、耐臭氧试验、绝缘热延伸试验和护套热延伸试验</w:t>
      </w:r>
      <w:r w:rsidR="0086060A" w:rsidRPr="008F2D8C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各有</w:t>
      </w:r>
      <w:r w:rsidR="0086060A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1</w:t>
      </w:r>
      <w:r w:rsidR="0086060A" w:rsidRPr="008F2D8C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批次不合格，分别占不合格总数的</w:t>
      </w:r>
      <w:r w:rsidR="0086060A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7.1</w:t>
      </w:r>
      <w:r w:rsidR="0086060A" w:rsidRPr="008F2D8C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%；</w:t>
      </w:r>
      <w:r w:rsidR="00C02D71" w:rsidRPr="008F2D8C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绝缘平均厚度、绝缘老化前断裂伸长率</w:t>
      </w:r>
      <w:r w:rsidR="008F2D8C" w:rsidRPr="008F2D8C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、绝缘老化后抗张强度变化率、绝缘空气弹老化后抗张强度变化率</w:t>
      </w:r>
      <w:r w:rsidR="0086060A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、</w:t>
      </w:r>
      <w:r w:rsidR="0086060A" w:rsidRPr="0086060A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绝缘空气弹老化后断裂伸长率变化率</w:t>
      </w:r>
      <w:r w:rsidR="008F2D8C" w:rsidRPr="008F2D8C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和</w:t>
      </w:r>
      <w:proofErr w:type="gramStart"/>
      <w:r w:rsidR="008F2D8C" w:rsidRPr="008F2D8C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曲挠</w:t>
      </w:r>
      <w:proofErr w:type="gramEnd"/>
      <w:r w:rsidR="008F2D8C" w:rsidRPr="008F2D8C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试验项目各有2批次不合格，分别占不合格总数的14.</w:t>
      </w:r>
      <w:r w:rsidR="0086060A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2</w:t>
      </w:r>
      <w:r w:rsidR="008F2D8C" w:rsidRPr="008F2D8C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%；</w:t>
      </w:r>
      <w:r w:rsidR="0086060A" w:rsidRPr="0086060A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绝缘最薄处厚度、绝缘老化后断裂伸长率</w:t>
      </w:r>
      <w:r w:rsidR="0086060A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和</w:t>
      </w:r>
      <w:r w:rsidR="0086060A" w:rsidRPr="0086060A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绝缘老化后断裂伸长率变化率</w:t>
      </w:r>
      <w:r w:rsidR="0086060A" w:rsidRPr="008F2D8C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各有</w:t>
      </w:r>
      <w:r w:rsidR="0086060A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3</w:t>
      </w:r>
      <w:r w:rsidR="0086060A" w:rsidRPr="008F2D8C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批次不合格，分别占不合格总数的</w:t>
      </w:r>
      <w:r w:rsidR="0086060A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21.4</w:t>
      </w:r>
      <w:r w:rsidR="0086060A" w:rsidRPr="008F2D8C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%；</w:t>
      </w:r>
      <w:r w:rsidR="0086060A" w:rsidRPr="008D2A39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绝缘老化后抗张强度</w:t>
      </w:r>
      <w:r w:rsidR="0086060A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4</w:t>
      </w:r>
      <w:r w:rsidR="0086060A" w:rsidRPr="008F2D8C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批次不合格，占不合格总数的</w:t>
      </w:r>
      <w:r w:rsidR="0086060A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28.6</w:t>
      </w:r>
      <w:r w:rsidR="0086060A" w:rsidRPr="008F2D8C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%；</w:t>
      </w:r>
      <w:r w:rsidR="008D2A39" w:rsidRPr="00657593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绝缘老化前抗张强度</w:t>
      </w:r>
      <w:r w:rsidR="008D2A39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7</w:t>
      </w:r>
      <w:r w:rsidR="008D2A39" w:rsidRPr="008F2D8C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批次不合格，占不合格总数的</w:t>
      </w:r>
      <w:r w:rsidR="008D2A39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50.0</w:t>
      </w:r>
      <w:r w:rsidR="008D2A39" w:rsidRPr="008F2D8C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%</w:t>
      </w:r>
      <w:r w:rsidR="00657593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。</w:t>
      </w:r>
    </w:p>
    <w:p w:rsidR="00BC1B64" w:rsidRPr="008D2A39" w:rsidRDefault="00BC1B64" w:rsidP="00BC1B64">
      <w:pPr>
        <w:jc w:val="center"/>
        <w:rPr>
          <w:rFonts w:hAnsi="宋体"/>
          <w:b/>
          <w:color w:val="000000"/>
          <w:sz w:val="24"/>
        </w:rPr>
      </w:pPr>
      <w:r w:rsidRPr="0083585C">
        <w:rPr>
          <w:rFonts w:hAnsi="宋体" w:hint="eastAsia"/>
          <w:b/>
          <w:color w:val="000000"/>
          <w:sz w:val="24"/>
        </w:rPr>
        <w:t>201</w:t>
      </w:r>
      <w:r w:rsidR="008D2A39">
        <w:rPr>
          <w:rFonts w:hAnsi="宋体" w:hint="eastAsia"/>
          <w:b/>
          <w:color w:val="000000"/>
          <w:sz w:val="24"/>
        </w:rPr>
        <w:t>5</w:t>
      </w:r>
      <w:r w:rsidRPr="0083585C">
        <w:rPr>
          <w:rFonts w:hAnsi="宋体" w:hint="eastAsia"/>
          <w:b/>
          <w:color w:val="000000"/>
          <w:sz w:val="24"/>
        </w:rPr>
        <w:t>年</w:t>
      </w:r>
      <w:proofErr w:type="gramStart"/>
      <w:r w:rsidR="008D2A39" w:rsidRPr="008D2A39">
        <w:rPr>
          <w:rFonts w:hAnsi="宋体" w:hint="eastAsia"/>
          <w:b/>
          <w:color w:val="000000"/>
          <w:sz w:val="24"/>
        </w:rPr>
        <w:t>橡</w:t>
      </w:r>
      <w:proofErr w:type="gramEnd"/>
      <w:r w:rsidR="008D2A39" w:rsidRPr="008D2A39">
        <w:rPr>
          <w:rFonts w:hAnsi="宋体" w:hint="eastAsia"/>
          <w:b/>
          <w:color w:val="000000"/>
          <w:sz w:val="24"/>
        </w:rPr>
        <w:t>套电缆</w:t>
      </w:r>
      <w:r w:rsidRPr="0083585C">
        <w:rPr>
          <w:rFonts w:hAnsi="宋体" w:hint="eastAsia"/>
          <w:b/>
          <w:color w:val="000000"/>
          <w:sz w:val="24"/>
        </w:rPr>
        <w:t>产品质量全国联动抽查情况汇总表</w:t>
      </w:r>
    </w:p>
    <w:tbl>
      <w:tblPr>
        <w:tblW w:w="764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63"/>
        <w:gridCol w:w="1064"/>
        <w:gridCol w:w="1064"/>
        <w:gridCol w:w="1064"/>
        <w:gridCol w:w="1064"/>
        <w:gridCol w:w="1064"/>
        <w:gridCol w:w="1265"/>
      </w:tblGrid>
      <w:tr w:rsidR="00657593" w:rsidRPr="00EF5B68" w:rsidTr="004B26D2">
        <w:trPr>
          <w:trHeight w:val="284"/>
          <w:tblHeader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57593" w:rsidRPr="0083585C" w:rsidRDefault="00657593" w:rsidP="000D602B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57593" w:rsidRPr="0083585C" w:rsidRDefault="00657593" w:rsidP="000D602B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企业</w:t>
            </w:r>
          </w:p>
          <w:p w:rsidR="00657593" w:rsidRPr="0083585C" w:rsidRDefault="00657593" w:rsidP="000D602B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所在地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57593" w:rsidRPr="0083585C" w:rsidRDefault="00657593" w:rsidP="00657593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抽查企业数（家）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57593" w:rsidRPr="0083585C" w:rsidRDefault="00657593" w:rsidP="00657593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抽查产品数（</w:t>
            </w: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批次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57593" w:rsidRPr="0083585C" w:rsidRDefault="00657593" w:rsidP="00657593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合格产品数（</w:t>
            </w: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批次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57593" w:rsidRPr="0083585C" w:rsidRDefault="00657593" w:rsidP="00657593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抽查合格率</w:t>
            </w:r>
            <w:bookmarkStart w:id="0" w:name="_GoBack"/>
            <w:bookmarkEnd w:id="0"/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（％）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7593" w:rsidRPr="0083585C" w:rsidRDefault="00657593" w:rsidP="000D602B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不合格产品检出率（％）</w:t>
            </w:r>
          </w:p>
        </w:tc>
      </w:tr>
      <w:tr w:rsidR="008D2A39" w:rsidRPr="00EF5B68" w:rsidTr="008D2A39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43FF0" w:rsidRDefault="008D2A39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1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天津</w:t>
            </w:r>
            <w:r w:rsidR="00EF40B3">
              <w:rPr>
                <w:rFonts w:asciiTheme="minorEastAsia" w:eastAsiaTheme="minorEastAsia" w:hAnsiTheme="minorEastAsia" w:cs="宋体" w:hint="eastAsia"/>
                <w:szCs w:val="21"/>
              </w:rPr>
              <w:t>市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9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9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9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100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0</w:t>
            </w:r>
          </w:p>
        </w:tc>
      </w:tr>
      <w:tr w:rsidR="008D2A39" w:rsidRPr="00EF5B68" w:rsidTr="008D2A39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43FF0" w:rsidRDefault="008D2A39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2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河北</w:t>
            </w:r>
            <w:r w:rsidR="00EF40B3">
              <w:rPr>
                <w:rFonts w:asciiTheme="minorEastAsia" w:eastAsiaTheme="minorEastAsia" w:hAnsiTheme="minorEastAsia" w:cs="宋体" w:hint="eastAsia"/>
                <w:szCs w:val="21"/>
              </w:rPr>
              <w:t>省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25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25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24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96.0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4</w:t>
            </w:r>
          </w:p>
        </w:tc>
      </w:tr>
      <w:tr w:rsidR="008D2A39" w:rsidRPr="00EF5B68" w:rsidTr="008D2A39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43FF0" w:rsidRDefault="008D2A39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3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辽宁</w:t>
            </w:r>
            <w:r w:rsidR="00EF40B3">
              <w:rPr>
                <w:rFonts w:asciiTheme="minorEastAsia" w:eastAsiaTheme="minorEastAsia" w:hAnsiTheme="minorEastAsia" w:cs="宋体" w:hint="eastAsia"/>
                <w:szCs w:val="21"/>
              </w:rPr>
              <w:t>省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12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12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11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91.7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8.3</w:t>
            </w:r>
          </w:p>
        </w:tc>
      </w:tr>
      <w:tr w:rsidR="008D2A39" w:rsidRPr="00EF5B68" w:rsidTr="008D2A39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43FF0" w:rsidRDefault="008D2A39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4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上海</w:t>
            </w:r>
            <w:r w:rsidR="00EF40B3">
              <w:rPr>
                <w:rFonts w:asciiTheme="minorEastAsia" w:eastAsiaTheme="minorEastAsia" w:hAnsiTheme="minorEastAsia" w:cs="宋体" w:hint="eastAsia"/>
                <w:szCs w:val="21"/>
              </w:rPr>
              <w:t>市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22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22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21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95.5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4.5</w:t>
            </w:r>
          </w:p>
        </w:tc>
      </w:tr>
      <w:tr w:rsidR="008D2A39" w:rsidRPr="00EF5B68" w:rsidTr="008D2A39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43FF0" w:rsidRDefault="008D2A39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5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江苏</w:t>
            </w:r>
            <w:r w:rsidR="00EF40B3">
              <w:rPr>
                <w:rFonts w:asciiTheme="minorEastAsia" w:eastAsiaTheme="minorEastAsia" w:hAnsiTheme="minorEastAsia" w:cs="宋体" w:hint="eastAsia"/>
                <w:szCs w:val="21"/>
              </w:rPr>
              <w:t>省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50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50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49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98.0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2</w:t>
            </w:r>
          </w:p>
        </w:tc>
      </w:tr>
      <w:tr w:rsidR="008D2A39" w:rsidRPr="00EF5B68" w:rsidTr="008D2A39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43FF0" w:rsidRDefault="008D2A39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6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浙江</w:t>
            </w:r>
            <w:r w:rsidR="00EF40B3">
              <w:rPr>
                <w:rFonts w:asciiTheme="minorEastAsia" w:eastAsiaTheme="minorEastAsia" w:hAnsiTheme="minorEastAsia" w:cs="宋体" w:hint="eastAsia"/>
                <w:szCs w:val="21"/>
              </w:rPr>
              <w:t>省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44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44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39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88.6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11.4</w:t>
            </w:r>
          </w:p>
        </w:tc>
      </w:tr>
      <w:tr w:rsidR="008D2A39" w:rsidRPr="00EF5B68" w:rsidTr="008D2A39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43FF0" w:rsidRDefault="008D2A39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7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安徽</w:t>
            </w:r>
            <w:r w:rsidR="00EF40B3">
              <w:rPr>
                <w:rFonts w:asciiTheme="minorEastAsia" w:eastAsiaTheme="minorEastAsia" w:hAnsiTheme="minorEastAsia" w:cs="宋体" w:hint="eastAsia"/>
                <w:szCs w:val="21"/>
              </w:rPr>
              <w:t>省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10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10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10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100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0</w:t>
            </w:r>
          </w:p>
        </w:tc>
      </w:tr>
      <w:tr w:rsidR="008D2A39" w:rsidRPr="00EF5B68" w:rsidTr="008D2A39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43FF0" w:rsidRDefault="008D2A39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8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福建</w:t>
            </w:r>
            <w:r w:rsidR="00EF40B3">
              <w:rPr>
                <w:rFonts w:asciiTheme="minorEastAsia" w:eastAsiaTheme="minorEastAsia" w:hAnsiTheme="minorEastAsia" w:cs="宋体" w:hint="eastAsia"/>
                <w:szCs w:val="21"/>
              </w:rPr>
              <w:t>省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5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5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5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100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0</w:t>
            </w:r>
          </w:p>
        </w:tc>
      </w:tr>
      <w:tr w:rsidR="008D2A39" w:rsidRPr="00EF5B68" w:rsidTr="008D2A39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43FF0" w:rsidRDefault="008D2A39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9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河南</w:t>
            </w:r>
            <w:r w:rsidR="00EF40B3">
              <w:rPr>
                <w:rFonts w:asciiTheme="minorEastAsia" w:eastAsiaTheme="minorEastAsia" w:hAnsiTheme="minorEastAsia" w:cs="宋体" w:hint="eastAsia"/>
                <w:szCs w:val="21"/>
              </w:rPr>
              <w:t>省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20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20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17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85.0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15</w:t>
            </w:r>
          </w:p>
        </w:tc>
      </w:tr>
      <w:tr w:rsidR="008D2A39" w:rsidRPr="00EF5B68" w:rsidTr="008D2A39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43FF0" w:rsidRDefault="008D2A39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10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湖北</w:t>
            </w:r>
            <w:r w:rsidR="00EF40B3">
              <w:rPr>
                <w:rFonts w:asciiTheme="minorEastAsia" w:eastAsiaTheme="minorEastAsia" w:hAnsiTheme="minorEastAsia" w:cs="宋体" w:hint="eastAsia"/>
                <w:szCs w:val="21"/>
              </w:rPr>
              <w:t>省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5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5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5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100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0</w:t>
            </w:r>
          </w:p>
        </w:tc>
      </w:tr>
      <w:tr w:rsidR="008D2A39" w:rsidRPr="00EF5B68" w:rsidTr="008D2A39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43FF0" w:rsidRDefault="008D2A39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11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湖南</w:t>
            </w:r>
            <w:r w:rsidR="00EF40B3">
              <w:rPr>
                <w:rFonts w:asciiTheme="minorEastAsia" w:eastAsiaTheme="minorEastAsia" w:hAnsiTheme="minorEastAsia" w:cs="宋体" w:hint="eastAsia"/>
                <w:szCs w:val="21"/>
              </w:rPr>
              <w:t>省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5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5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5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100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0</w:t>
            </w:r>
          </w:p>
        </w:tc>
      </w:tr>
      <w:tr w:rsidR="008D2A39" w:rsidRPr="00EF5B68" w:rsidTr="008D2A39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43FF0" w:rsidRDefault="008D2A39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lastRenderedPageBreak/>
              <w:t>12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广东</w:t>
            </w:r>
            <w:r w:rsidR="00EF40B3">
              <w:rPr>
                <w:rFonts w:asciiTheme="minorEastAsia" w:eastAsiaTheme="minorEastAsia" w:hAnsiTheme="minorEastAsia" w:cs="宋体" w:hint="eastAsia"/>
                <w:szCs w:val="21"/>
              </w:rPr>
              <w:t>省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20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20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18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90.0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10</w:t>
            </w:r>
          </w:p>
        </w:tc>
      </w:tr>
      <w:tr w:rsidR="008D2A39" w:rsidRPr="00EF5B68" w:rsidTr="008D2A39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43FF0" w:rsidRDefault="008D2A39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13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重庆</w:t>
            </w:r>
            <w:r w:rsidR="00EF40B3">
              <w:rPr>
                <w:rFonts w:asciiTheme="minorEastAsia" w:eastAsiaTheme="minorEastAsia" w:hAnsiTheme="minorEastAsia" w:cs="宋体" w:hint="eastAsia"/>
                <w:szCs w:val="21"/>
              </w:rPr>
              <w:t>市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7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7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7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100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0</w:t>
            </w:r>
          </w:p>
        </w:tc>
      </w:tr>
      <w:tr w:rsidR="008D2A39" w:rsidRPr="00EF5B68" w:rsidTr="008D2A39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43FF0" w:rsidRDefault="008D2A39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14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四川</w:t>
            </w:r>
            <w:r w:rsidR="00EF40B3">
              <w:rPr>
                <w:rFonts w:asciiTheme="minorEastAsia" w:eastAsiaTheme="minorEastAsia" w:hAnsiTheme="minorEastAsia" w:cs="宋体" w:hint="eastAsia"/>
                <w:szCs w:val="21"/>
              </w:rPr>
              <w:t>省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5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5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5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100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2A39" w:rsidRPr="008D2A39" w:rsidRDefault="008D2A39" w:rsidP="008D2A39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D2A39">
              <w:rPr>
                <w:rFonts w:asciiTheme="minorEastAsia" w:eastAsiaTheme="minorEastAsia" w:hAnsiTheme="minorEastAsia" w:cs="宋体" w:hint="eastAsia"/>
                <w:szCs w:val="21"/>
              </w:rPr>
              <w:t>0</w:t>
            </w:r>
          </w:p>
        </w:tc>
      </w:tr>
      <w:tr w:rsidR="00BC1B64" w:rsidRPr="00EF5B68" w:rsidTr="004B26D2">
        <w:trPr>
          <w:trHeight w:val="284"/>
          <w:jc w:val="center"/>
        </w:trPr>
        <w:tc>
          <w:tcPr>
            <w:tcW w:w="21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合计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8D2A39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239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8D2A39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239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8D2A39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225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8D2A39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94.1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B64" w:rsidRPr="00843FF0" w:rsidRDefault="008D2A39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5.9</w:t>
            </w:r>
          </w:p>
        </w:tc>
      </w:tr>
    </w:tbl>
    <w:p w:rsidR="00F509E4" w:rsidRPr="00BC1B64" w:rsidRDefault="00F509E4">
      <w:pPr>
        <w:rPr>
          <w:rFonts w:ascii="方正仿宋简体" w:eastAsia="方正仿宋简体" w:hAnsi="方正仿宋简体" w:cs="方正仿宋简体"/>
          <w:bCs/>
          <w:color w:val="000000"/>
          <w:kern w:val="0"/>
          <w:sz w:val="32"/>
          <w:szCs w:val="32"/>
        </w:rPr>
      </w:pPr>
    </w:p>
    <w:sectPr w:rsidR="00F509E4" w:rsidRPr="00BC1B64" w:rsidSect="001C1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9B4" w:rsidRDefault="00AF39B4" w:rsidP="00694154">
      <w:r>
        <w:separator/>
      </w:r>
    </w:p>
  </w:endnote>
  <w:endnote w:type="continuationSeparator" w:id="0">
    <w:p w:rsidR="00AF39B4" w:rsidRDefault="00AF39B4" w:rsidP="00694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9B4" w:rsidRDefault="00AF39B4" w:rsidP="00694154">
      <w:r>
        <w:separator/>
      </w:r>
    </w:p>
  </w:footnote>
  <w:footnote w:type="continuationSeparator" w:id="0">
    <w:p w:rsidR="00AF39B4" w:rsidRDefault="00AF39B4" w:rsidP="006941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4D2"/>
    <w:rsid w:val="000E3B95"/>
    <w:rsid w:val="001947EC"/>
    <w:rsid w:val="001C108E"/>
    <w:rsid w:val="002B24D2"/>
    <w:rsid w:val="002C7988"/>
    <w:rsid w:val="003D2640"/>
    <w:rsid w:val="004B26D2"/>
    <w:rsid w:val="00631A03"/>
    <w:rsid w:val="00657593"/>
    <w:rsid w:val="00694154"/>
    <w:rsid w:val="00803F14"/>
    <w:rsid w:val="00843FF0"/>
    <w:rsid w:val="0086060A"/>
    <w:rsid w:val="008D2A39"/>
    <w:rsid w:val="008F2D8C"/>
    <w:rsid w:val="00946A06"/>
    <w:rsid w:val="00AF39B4"/>
    <w:rsid w:val="00B02EBD"/>
    <w:rsid w:val="00B73246"/>
    <w:rsid w:val="00BA3DD7"/>
    <w:rsid w:val="00BC1B64"/>
    <w:rsid w:val="00C02D71"/>
    <w:rsid w:val="00D03BEB"/>
    <w:rsid w:val="00DE38A5"/>
    <w:rsid w:val="00EF40B3"/>
    <w:rsid w:val="00F509E4"/>
    <w:rsid w:val="00F620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4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2B24D2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3">
    <w:name w:val="Body Text Indent 3"/>
    <w:basedOn w:val="a"/>
    <w:link w:val="3Char"/>
    <w:uiPriority w:val="99"/>
    <w:unhideWhenUsed/>
    <w:rsid w:val="00BC1B64"/>
    <w:pPr>
      <w:spacing w:after="120"/>
      <w:ind w:leftChars="200" w:left="420"/>
    </w:pPr>
    <w:rPr>
      <w:rFonts w:ascii="Calibri" w:hAnsi="Calibri"/>
      <w:sz w:val="16"/>
      <w:szCs w:val="16"/>
    </w:rPr>
  </w:style>
  <w:style w:type="character" w:customStyle="1" w:styleId="3Char">
    <w:name w:val="正文文本缩进 3 Char"/>
    <w:basedOn w:val="a0"/>
    <w:link w:val="3"/>
    <w:uiPriority w:val="99"/>
    <w:rsid w:val="00BC1B64"/>
    <w:rPr>
      <w:rFonts w:ascii="Calibri" w:eastAsia="宋体" w:hAnsi="Calibri" w:cs="Times New Roman"/>
      <w:sz w:val="16"/>
      <w:szCs w:val="16"/>
    </w:rPr>
  </w:style>
  <w:style w:type="paragraph" w:styleId="a4">
    <w:name w:val="header"/>
    <w:basedOn w:val="a"/>
    <w:link w:val="Char"/>
    <w:uiPriority w:val="99"/>
    <w:unhideWhenUsed/>
    <w:rsid w:val="00694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415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4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415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4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2B24D2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3">
    <w:name w:val="Body Text Indent 3"/>
    <w:basedOn w:val="a"/>
    <w:link w:val="3Char"/>
    <w:uiPriority w:val="99"/>
    <w:unhideWhenUsed/>
    <w:rsid w:val="00BC1B64"/>
    <w:pPr>
      <w:spacing w:after="120"/>
      <w:ind w:leftChars="200" w:left="420"/>
    </w:pPr>
    <w:rPr>
      <w:rFonts w:ascii="Calibri" w:hAnsi="Calibri"/>
      <w:sz w:val="16"/>
      <w:szCs w:val="16"/>
    </w:rPr>
  </w:style>
  <w:style w:type="character" w:customStyle="1" w:styleId="3Char">
    <w:name w:val="正文文本缩进 3 Char"/>
    <w:basedOn w:val="a0"/>
    <w:link w:val="3"/>
    <w:uiPriority w:val="99"/>
    <w:rsid w:val="00BC1B64"/>
    <w:rPr>
      <w:rFonts w:ascii="Calibri" w:eastAsia="宋体" w:hAnsi="Calibri" w:cs="Times New Roman"/>
      <w:sz w:val="16"/>
      <w:szCs w:val="16"/>
    </w:rPr>
  </w:style>
  <w:style w:type="paragraph" w:styleId="a4">
    <w:name w:val="header"/>
    <w:basedOn w:val="a"/>
    <w:link w:val="Char"/>
    <w:uiPriority w:val="99"/>
    <w:unhideWhenUsed/>
    <w:rsid w:val="00694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415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4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415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130</Words>
  <Characters>747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2015-10-30T06:19:00Z</dcterms:created>
  <dcterms:modified xsi:type="dcterms:W3CDTF">2015-11-11T02:00:00Z</dcterms:modified>
</cp:coreProperties>
</file>