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26" w:rsidRPr="001E4284" w:rsidRDefault="00301526" w:rsidP="00301526">
      <w:pPr>
        <w:spacing w:line="640" w:lineRule="exact"/>
        <w:jc w:val="center"/>
        <w:rPr>
          <w:rFonts w:ascii="方正小标宋简体" w:eastAsia="方正小标宋简体" w:hAnsi="宋体"/>
          <w:sz w:val="44"/>
          <w:szCs w:val="44"/>
        </w:rPr>
      </w:pPr>
      <w:r w:rsidRPr="001E4284">
        <w:rPr>
          <w:rFonts w:ascii="方正小标宋简体" w:eastAsia="方正小标宋简体" w:hAnsi="宋体" w:hint="eastAsia"/>
          <w:sz w:val="44"/>
          <w:szCs w:val="44"/>
        </w:rPr>
        <w:t>2016年学生用品（课业簿册）产品质量安全风险监测分析报告</w:t>
      </w:r>
    </w:p>
    <w:p w:rsidR="00301526" w:rsidRPr="00FD6009" w:rsidRDefault="00301526" w:rsidP="00301526">
      <w:pPr>
        <w:spacing w:line="360" w:lineRule="auto"/>
        <w:rPr>
          <w:rFonts w:ascii="宋体" w:hAnsi="宋体"/>
          <w:sz w:val="24"/>
        </w:rPr>
      </w:pPr>
      <w:r w:rsidRPr="00FD6009">
        <w:rPr>
          <w:rFonts w:ascii="宋体" w:hAnsi="宋体" w:hint="eastAsia"/>
          <w:b/>
          <w:sz w:val="24"/>
        </w:rPr>
        <w:t>摘要</w:t>
      </w:r>
      <w:r w:rsidRPr="00FD6009">
        <w:rPr>
          <w:rFonts w:ascii="宋体" w:hAnsi="宋体" w:hint="eastAsia"/>
          <w:sz w:val="24"/>
        </w:rPr>
        <w:t>：</w:t>
      </w:r>
      <w:r w:rsidRPr="00FD6009">
        <w:rPr>
          <w:rFonts w:ascii="宋体" w:hAnsi="宋体"/>
          <w:sz w:val="24"/>
        </w:rPr>
        <w:t>近期，</w:t>
      </w:r>
      <w:r w:rsidRPr="00FD6009">
        <w:rPr>
          <w:rFonts w:ascii="宋体" w:hAnsi="宋体" w:hint="eastAsia"/>
          <w:sz w:val="24"/>
        </w:rPr>
        <w:t>苏州</w:t>
      </w:r>
      <w:r w:rsidRPr="00FD6009">
        <w:rPr>
          <w:rFonts w:ascii="宋体" w:hAnsi="宋体"/>
          <w:sz w:val="24"/>
        </w:rPr>
        <w:t>市</w:t>
      </w:r>
      <w:r w:rsidRPr="00FD6009">
        <w:rPr>
          <w:rFonts w:ascii="宋体" w:hAnsi="宋体" w:hint="eastAsia"/>
          <w:sz w:val="24"/>
        </w:rPr>
        <w:t>质监局开展了学生用品（课业簿册）</w:t>
      </w:r>
      <w:r>
        <w:rPr>
          <w:rFonts w:ascii="宋体" w:hAnsi="宋体" w:hint="eastAsia"/>
          <w:sz w:val="24"/>
        </w:rPr>
        <w:t>产品质量安全</w:t>
      </w:r>
      <w:r w:rsidRPr="00FD6009">
        <w:rPr>
          <w:rFonts w:ascii="宋体" w:hAnsi="宋体" w:hint="eastAsia"/>
          <w:sz w:val="24"/>
        </w:rPr>
        <w:t>风险监测，本次共采集样品60批次，</w:t>
      </w:r>
      <w:r w:rsidRPr="00E874E7">
        <w:rPr>
          <w:rFonts w:ascii="宋体" w:hAnsi="宋体" w:hint="eastAsia"/>
          <w:sz w:val="24"/>
        </w:rPr>
        <w:t>本地生产企业抽样</w:t>
      </w:r>
      <w:r>
        <w:rPr>
          <w:rFonts w:ascii="宋体" w:hAnsi="宋体" w:hint="eastAsia"/>
          <w:sz w:val="24"/>
        </w:rPr>
        <w:t>3</w:t>
      </w:r>
      <w:r w:rsidRPr="00E874E7">
        <w:rPr>
          <w:rFonts w:ascii="宋体" w:hAnsi="宋体" w:hint="eastAsia"/>
          <w:sz w:val="24"/>
        </w:rPr>
        <w:t>批次，市场买样2</w:t>
      </w:r>
      <w:r>
        <w:rPr>
          <w:rFonts w:ascii="宋体" w:hAnsi="宋体" w:hint="eastAsia"/>
          <w:sz w:val="24"/>
        </w:rPr>
        <w:t>7</w:t>
      </w:r>
      <w:r w:rsidRPr="00E874E7">
        <w:rPr>
          <w:rFonts w:ascii="宋体" w:hAnsi="宋体" w:hint="eastAsia"/>
          <w:sz w:val="24"/>
        </w:rPr>
        <w:t>批次，电商平台买样</w:t>
      </w:r>
      <w:r>
        <w:rPr>
          <w:rFonts w:ascii="宋体" w:hAnsi="宋体" w:hint="eastAsia"/>
          <w:sz w:val="24"/>
        </w:rPr>
        <w:t>30</w:t>
      </w:r>
      <w:r w:rsidRPr="00E874E7">
        <w:rPr>
          <w:rFonts w:ascii="宋体" w:hAnsi="宋体" w:hint="eastAsia"/>
          <w:sz w:val="24"/>
        </w:rPr>
        <w:t>批次。检测项目分监督项目和风险监测项目二类，</w:t>
      </w:r>
      <w:r>
        <w:rPr>
          <w:rFonts w:ascii="宋体" w:hAnsi="宋体" w:hint="eastAsia"/>
          <w:sz w:val="24"/>
        </w:rPr>
        <w:t>其中监督项目中</w:t>
      </w:r>
      <w:r w:rsidRPr="00FD6009">
        <w:rPr>
          <w:rFonts w:ascii="宋体" w:hAnsi="宋体" w:hint="eastAsia"/>
          <w:sz w:val="24"/>
        </w:rPr>
        <w:t>合格52批次，合格率为87%，存在的主要问题为封面/封底定量、内芯纸定量、内芯纸施胶度项目不合格。风险监测</w:t>
      </w:r>
      <w:r>
        <w:rPr>
          <w:rFonts w:ascii="宋体" w:hAnsi="宋体" w:hint="eastAsia"/>
          <w:sz w:val="24"/>
        </w:rPr>
        <w:t>项目</w:t>
      </w:r>
      <w:r w:rsidRPr="00FD6009">
        <w:rPr>
          <w:rFonts w:ascii="宋体" w:hAnsi="宋体" w:hint="eastAsia"/>
          <w:sz w:val="24"/>
        </w:rPr>
        <w:t>60批中有2批次检出溶剂残留总量，检出率为3%</w:t>
      </w:r>
      <w:r>
        <w:rPr>
          <w:rFonts w:ascii="宋体" w:hAnsi="宋体" w:hint="eastAsia"/>
          <w:sz w:val="24"/>
        </w:rPr>
        <w:t>；</w:t>
      </w:r>
      <w:r w:rsidRPr="00FD6009">
        <w:rPr>
          <w:rFonts w:ascii="宋体" w:hAnsi="宋体" w:hint="eastAsia"/>
          <w:sz w:val="24"/>
        </w:rPr>
        <w:t>56批次检出荧光性物质，检出率为93%。</w:t>
      </w:r>
      <w:r>
        <w:rPr>
          <w:rFonts w:ascii="宋体" w:hAnsi="宋体" w:hint="eastAsia"/>
          <w:sz w:val="24"/>
        </w:rPr>
        <w:t xml:space="preserve"> </w:t>
      </w:r>
    </w:p>
    <w:p w:rsidR="00301526" w:rsidRPr="00FD6009" w:rsidRDefault="00301526" w:rsidP="0030152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FD6009">
        <w:rPr>
          <w:rFonts w:ascii="宋体" w:hAnsi="宋体" w:hint="eastAsia"/>
          <w:b/>
          <w:sz w:val="24"/>
        </w:rPr>
        <w:t>一、</w:t>
      </w:r>
      <w:r w:rsidRPr="00FD6009">
        <w:rPr>
          <w:rFonts w:ascii="宋体" w:hAnsi="宋体" w:cs="黑体" w:hint="eastAsia"/>
          <w:b/>
          <w:sz w:val="24"/>
        </w:rPr>
        <w:t>产品概况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课业簿册是学生重要的日常学习用品之一，主要按不同课目、用途、页数和尺寸划分不同的规格型号；</w:t>
      </w:r>
      <w:r>
        <w:rPr>
          <w:rFonts w:ascii="宋体" w:hAnsi="宋体" w:hint="eastAsia"/>
          <w:sz w:val="24"/>
        </w:rPr>
        <w:t>另</w:t>
      </w:r>
      <w:r w:rsidRPr="00FD6009">
        <w:rPr>
          <w:rFonts w:ascii="宋体" w:hAnsi="宋体" w:hint="eastAsia"/>
          <w:sz w:val="24"/>
        </w:rPr>
        <w:t>按装订形式</w:t>
      </w:r>
      <w:r>
        <w:rPr>
          <w:rFonts w:ascii="宋体" w:hAnsi="宋体" w:hint="eastAsia"/>
          <w:sz w:val="24"/>
        </w:rPr>
        <w:t>，</w:t>
      </w:r>
      <w:r w:rsidRPr="00FD6009">
        <w:rPr>
          <w:rFonts w:ascii="宋体" w:hAnsi="宋体" w:hint="eastAsia"/>
          <w:sz w:val="24"/>
        </w:rPr>
        <w:t>又分为铁钉本、胶装本、缝线本、线圈本四类，目前主要采用铁钉本（骑马钉）的装订方式。课业簿册作为教学必需品，学生日常学习中的作业书写和课堂笔记均离不开它，其在大型超市、文具</w:t>
      </w:r>
      <w:r>
        <w:rPr>
          <w:rFonts w:ascii="宋体" w:hAnsi="宋体" w:hint="eastAsia"/>
          <w:sz w:val="24"/>
        </w:rPr>
        <w:t>用品</w:t>
      </w:r>
      <w:r w:rsidRPr="00FD6009">
        <w:rPr>
          <w:rFonts w:ascii="宋体" w:hAnsi="宋体" w:hint="eastAsia"/>
          <w:sz w:val="24"/>
        </w:rPr>
        <w:t>店、电商平台</w:t>
      </w:r>
      <w:r>
        <w:rPr>
          <w:rFonts w:ascii="宋体" w:hAnsi="宋体" w:hint="eastAsia"/>
          <w:sz w:val="24"/>
        </w:rPr>
        <w:t>等</w:t>
      </w:r>
      <w:r w:rsidRPr="00FD6009">
        <w:rPr>
          <w:rFonts w:ascii="宋体" w:hAnsi="宋体" w:hint="eastAsia"/>
          <w:sz w:val="24"/>
        </w:rPr>
        <w:t>均有销售。</w:t>
      </w:r>
    </w:p>
    <w:p w:rsidR="00301526" w:rsidRPr="00FD6009" w:rsidRDefault="00301526" w:rsidP="00301526">
      <w:pPr>
        <w:spacing w:line="360" w:lineRule="auto"/>
        <w:ind w:firstLineChars="200" w:firstLine="482"/>
        <w:rPr>
          <w:rFonts w:ascii="宋体" w:hAnsi="宋体"/>
          <w:b/>
          <w:kern w:val="0"/>
          <w:sz w:val="24"/>
        </w:rPr>
      </w:pPr>
      <w:r w:rsidRPr="00FD6009">
        <w:rPr>
          <w:rFonts w:ascii="宋体" w:hAnsi="宋体" w:hint="eastAsia"/>
          <w:b/>
          <w:kern w:val="0"/>
          <w:sz w:val="24"/>
        </w:rPr>
        <w:t>二、本次风险监测情况</w:t>
      </w:r>
    </w:p>
    <w:p w:rsidR="00301526" w:rsidRPr="00FD6009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/>
          <w:kern w:val="0"/>
          <w:sz w:val="24"/>
        </w:rPr>
      </w:pPr>
      <w:r w:rsidRPr="00FD6009">
        <w:rPr>
          <w:rFonts w:ascii="宋体" w:hAnsi="宋体" w:cs="黑体" w:hint="eastAsia"/>
          <w:b/>
          <w:bCs/>
          <w:sz w:val="24"/>
        </w:rPr>
        <w:t>（一）</w:t>
      </w:r>
      <w:r w:rsidRPr="00FD6009">
        <w:rPr>
          <w:rFonts w:ascii="宋体" w:hAnsi="宋体" w:hint="eastAsia"/>
          <w:b/>
          <w:kern w:val="0"/>
          <w:sz w:val="24"/>
        </w:rPr>
        <w:t>样品来源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本次风险监测在生产领域和流通领域采样，流通领域包括超市、文具用品店、电商</w:t>
      </w:r>
      <w:r>
        <w:rPr>
          <w:rFonts w:ascii="宋体" w:hAnsi="宋体" w:hint="eastAsia"/>
          <w:sz w:val="24"/>
        </w:rPr>
        <w:t>平台</w:t>
      </w:r>
      <w:r w:rsidRPr="00FD6009">
        <w:rPr>
          <w:rFonts w:ascii="宋体" w:hAnsi="宋体" w:hint="eastAsia"/>
          <w:sz w:val="24"/>
        </w:rPr>
        <w:t>等，所采样品基本覆盖了市场主流品牌</w:t>
      </w:r>
      <w:r>
        <w:rPr>
          <w:rFonts w:ascii="宋体" w:hAnsi="宋体" w:hint="eastAsia"/>
          <w:sz w:val="24"/>
        </w:rPr>
        <w:t>，</w:t>
      </w:r>
      <w:r w:rsidRPr="009F6861">
        <w:rPr>
          <w:rFonts w:ascii="宋体" w:hAnsi="宋体" w:hint="eastAsia"/>
          <w:sz w:val="24"/>
        </w:rPr>
        <w:t>包括博士、金儿博士、多利博士、道林、蓝蜗牛、</w:t>
      </w:r>
      <w:r w:rsidRPr="009F6861">
        <w:rPr>
          <w:rFonts w:ascii="宋体" w:hAnsi="宋体"/>
          <w:sz w:val="24"/>
        </w:rPr>
        <w:t>KAISA</w:t>
      </w:r>
      <w:r w:rsidRPr="009F6861">
        <w:rPr>
          <w:rFonts w:ascii="宋体" w:hAnsi="宋体" w:hint="eastAsia"/>
          <w:sz w:val="24"/>
        </w:rPr>
        <w:t>、</w:t>
      </w:r>
      <w:r w:rsidRPr="009F6861">
        <w:rPr>
          <w:rFonts w:ascii="宋体" w:hAnsi="宋体"/>
          <w:sz w:val="24"/>
        </w:rPr>
        <w:t>CJP</w:t>
      </w:r>
      <w:r w:rsidRPr="009F6861">
        <w:rPr>
          <w:rFonts w:ascii="宋体" w:hAnsi="宋体" w:hint="eastAsia"/>
          <w:sz w:val="24"/>
        </w:rPr>
        <w:t>、</w:t>
      </w:r>
      <w:r w:rsidRPr="009F6861">
        <w:rPr>
          <w:rFonts w:ascii="宋体" w:hAnsi="宋体"/>
          <w:sz w:val="24"/>
        </w:rPr>
        <w:t>YOU-YOU</w:t>
      </w:r>
      <w:r w:rsidRPr="009F6861">
        <w:rPr>
          <w:rFonts w:ascii="宋体" w:hAnsi="宋体" w:hint="eastAsia"/>
          <w:sz w:val="24"/>
        </w:rPr>
        <w:t>等。本</w:t>
      </w:r>
      <w:r w:rsidRPr="00FD6009">
        <w:rPr>
          <w:rFonts w:ascii="宋体" w:hAnsi="宋体" w:hint="eastAsia"/>
          <w:sz w:val="24"/>
        </w:rPr>
        <w:t>次共采集样品60批次，其中，生产企业3批次、超市17批次、文具用品店10批次、电商平台30批次，具体如表1所示。</w:t>
      </w:r>
    </w:p>
    <w:p w:rsidR="00301526" w:rsidRPr="00FD6009" w:rsidRDefault="00301526" w:rsidP="00301526">
      <w:pPr>
        <w:spacing w:line="360" w:lineRule="auto"/>
        <w:ind w:firstLineChars="200" w:firstLine="420"/>
        <w:jc w:val="center"/>
        <w:rPr>
          <w:rFonts w:ascii="宋体" w:hAnsi="宋体"/>
          <w:kern w:val="0"/>
          <w:szCs w:val="21"/>
        </w:rPr>
      </w:pPr>
      <w:r w:rsidRPr="00FD6009">
        <w:rPr>
          <w:rFonts w:ascii="宋体" w:hAnsi="宋体" w:hint="eastAsia"/>
          <w:kern w:val="0"/>
          <w:szCs w:val="21"/>
        </w:rPr>
        <w:t>表1 不同采样渠道批次数统计表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1"/>
        <w:gridCol w:w="1143"/>
        <w:gridCol w:w="781"/>
        <w:gridCol w:w="1276"/>
        <w:gridCol w:w="777"/>
        <w:gridCol w:w="850"/>
        <w:gridCol w:w="851"/>
        <w:gridCol w:w="850"/>
      </w:tblGrid>
      <w:tr w:rsidR="00301526" w:rsidRPr="00FD6009" w:rsidTr="00174922">
        <w:trPr>
          <w:trHeight w:val="567"/>
          <w:jc w:val="center"/>
        </w:trPr>
        <w:tc>
          <w:tcPr>
            <w:tcW w:w="1161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采样渠道</w:t>
            </w:r>
          </w:p>
        </w:tc>
        <w:tc>
          <w:tcPr>
            <w:tcW w:w="1143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生产企业</w:t>
            </w:r>
          </w:p>
        </w:tc>
        <w:tc>
          <w:tcPr>
            <w:tcW w:w="781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超市</w:t>
            </w:r>
          </w:p>
        </w:tc>
        <w:tc>
          <w:tcPr>
            <w:tcW w:w="1276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文具用品店</w:t>
            </w:r>
          </w:p>
        </w:tc>
        <w:tc>
          <w:tcPr>
            <w:tcW w:w="2478" w:type="dxa"/>
            <w:gridSpan w:val="3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电商平台</w:t>
            </w:r>
          </w:p>
        </w:tc>
        <w:tc>
          <w:tcPr>
            <w:tcW w:w="850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总计</w:t>
            </w:r>
          </w:p>
        </w:tc>
      </w:tr>
      <w:tr w:rsidR="00301526" w:rsidRPr="00FD6009" w:rsidTr="00174922">
        <w:trPr>
          <w:trHeight w:val="567"/>
          <w:jc w:val="center"/>
        </w:trPr>
        <w:tc>
          <w:tcPr>
            <w:tcW w:w="1161" w:type="dxa"/>
            <w:vMerge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781" w:type="dxa"/>
            <w:vMerge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淘宝</w:t>
            </w:r>
          </w:p>
        </w:tc>
        <w:tc>
          <w:tcPr>
            <w:tcW w:w="85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京东</w:t>
            </w:r>
          </w:p>
        </w:tc>
        <w:tc>
          <w:tcPr>
            <w:tcW w:w="851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1号店</w:t>
            </w:r>
          </w:p>
        </w:tc>
        <w:tc>
          <w:tcPr>
            <w:tcW w:w="850" w:type="dxa"/>
            <w:vMerge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301526" w:rsidRPr="00FD6009" w:rsidTr="00174922">
        <w:trPr>
          <w:trHeight w:val="567"/>
          <w:jc w:val="center"/>
        </w:trPr>
        <w:tc>
          <w:tcPr>
            <w:tcW w:w="1161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批次数</w:t>
            </w:r>
          </w:p>
        </w:tc>
        <w:tc>
          <w:tcPr>
            <w:tcW w:w="1143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3</w:t>
            </w:r>
          </w:p>
        </w:tc>
        <w:tc>
          <w:tcPr>
            <w:tcW w:w="781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1</w:t>
            </w:r>
            <w:r>
              <w:rPr>
                <w:rFonts w:ascii="宋体" w:hAnsi="宋体" w:cs="仿宋_GB2312" w:hint="eastAsia"/>
                <w:szCs w:val="21"/>
              </w:rPr>
              <w:t>7</w:t>
            </w:r>
          </w:p>
        </w:tc>
        <w:tc>
          <w:tcPr>
            <w:tcW w:w="1276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</w:t>
            </w:r>
          </w:p>
        </w:tc>
        <w:tc>
          <w:tcPr>
            <w:tcW w:w="77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13</w:t>
            </w:r>
          </w:p>
        </w:tc>
        <w:tc>
          <w:tcPr>
            <w:tcW w:w="85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12</w:t>
            </w:r>
          </w:p>
        </w:tc>
        <w:tc>
          <w:tcPr>
            <w:tcW w:w="851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60</w:t>
            </w:r>
          </w:p>
        </w:tc>
      </w:tr>
    </w:tbl>
    <w:p w:rsidR="00301526" w:rsidRPr="00FD6009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 w:cs="宋体"/>
          <w:b/>
          <w:kern w:val="0"/>
          <w:sz w:val="24"/>
        </w:rPr>
      </w:pPr>
      <w:r w:rsidRPr="00FD6009">
        <w:rPr>
          <w:rFonts w:ascii="宋体" w:hAnsi="宋体" w:cs="黑体" w:hint="eastAsia"/>
          <w:b/>
          <w:bCs/>
          <w:sz w:val="24"/>
        </w:rPr>
        <w:t>（二）</w:t>
      </w:r>
      <w:r w:rsidRPr="00FD6009">
        <w:rPr>
          <w:rFonts w:ascii="宋体" w:hAnsi="宋体" w:cs="宋体" w:hint="eastAsia"/>
          <w:b/>
          <w:kern w:val="0"/>
          <w:sz w:val="24"/>
        </w:rPr>
        <w:t>检验依据</w:t>
      </w:r>
    </w:p>
    <w:p w:rsidR="00301526" w:rsidRPr="00FD6009" w:rsidRDefault="00301526" w:rsidP="00301526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本次风险监测涉及到的相关标准如下：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451.2-2002《纸和纸板定量的测定》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460-2008《纸 施胶度的测定》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1543-2005《纸和纸板不透明度(纸背衬)的测定(漫反射法)》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5009.78-2003《食品包装用原纸卫生标准的分析方法》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7974-2013《纸、纸板和纸浆 蓝光漫反射因数D65亮度的测定（漫射/垂直法，室外日光条件）》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GB/T 10004-2008《包装用塑料复合膜、袋 干法复合、挤出复合》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黑体" w:hint="eastAsia"/>
          <w:sz w:val="24"/>
        </w:rPr>
        <w:t>GB/T 20808-2011《纸巾纸》</w:t>
      </w:r>
    </w:p>
    <w:p w:rsidR="00301526" w:rsidRPr="00745AA3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GB 21027-2007《学生用品的安全通用要求》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QB/T 1437-2014《课业簿册》</w:t>
      </w:r>
      <w:r>
        <w:rPr>
          <w:rFonts w:ascii="宋体" w:hAnsi="宋体" w:hint="eastAsia"/>
          <w:sz w:val="24"/>
        </w:rPr>
        <w:t xml:space="preserve"> 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QB/T 1438-2007《簿册》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Q/320583 WYYL002-2015《笔记本》</w:t>
      </w:r>
    </w:p>
    <w:p w:rsidR="00301526" w:rsidRPr="00FD6009" w:rsidRDefault="00301526" w:rsidP="00301526">
      <w:pPr>
        <w:spacing w:line="360" w:lineRule="auto"/>
        <w:ind w:firstLineChars="196" w:firstLine="472"/>
        <w:rPr>
          <w:rFonts w:ascii="宋体" w:hAnsi="宋体" w:cs="宋体"/>
          <w:b/>
          <w:kern w:val="0"/>
          <w:sz w:val="24"/>
        </w:rPr>
      </w:pPr>
      <w:r w:rsidRPr="00FD6009">
        <w:rPr>
          <w:rFonts w:ascii="宋体" w:hAnsi="宋体" w:cs="黑体" w:hint="eastAsia"/>
          <w:b/>
          <w:bCs/>
          <w:sz w:val="24"/>
        </w:rPr>
        <w:t>（三）</w:t>
      </w:r>
      <w:r w:rsidRPr="00FD6009">
        <w:rPr>
          <w:rFonts w:ascii="宋体" w:hAnsi="宋体" w:cs="宋体" w:hint="eastAsia"/>
          <w:b/>
          <w:kern w:val="0"/>
          <w:sz w:val="24"/>
        </w:rPr>
        <w:t>检验项目</w:t>
      </w:r>
    </w:p>
    <w:p w:rsidR="00301526" w:rsidRPr="00FD600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D6009">
        <w:rPr>
          <w:rFonts w:ascii="宋体" w:hAnsi="宋体" w:hint="eastAsia"/>
          <w:sz w:val="24"/>
        </w:rPr>
        <w:t>本次风险监测的具体项目及检</w:t>
      </w:r>
      <w:r>
        <w:rPr>
          <w:rFonts w:ascii="宋体" w:hAnsi="宋体" w:hint="eastAsia"/>
          <w:sz w:val="24"/>
        </w:rPr>
        <w:t>验</w:t>
      </w:r>
      <w:r w:rsidRPr="00FD6009">
        <w:rPr>
          <w:rFonts w:ascii="宋体" w:hAnsi="宋体" w:hint="eastAsia"/>
          <w:sz w:val="24"/>
        </w:rPr>
        <w:t>依据如表2所示：</w:t>
      </w:r>
    </w:p>
    <w:p w:rsidR="00301526" w:rsidRPr="00FD6009" w:rsidRDefault="00301526" w:rsidP="00301526">
      <w:pPr>
        <w:spacing w:line="360" w:lineRule="auto"/>
        <w:ind w:firstLineChars="200" w:firstLine="420"/>
        <w:jc w:val="center"/>
        <w:rPr>
          <w:rFonts w:ascii="宋体" w:hAnsi="宋体" w:cs="宋体"/>
          <w:kern w:val="0"/>
          <w:szCs w:val="21"/>
        </w:rPr>
      </w:pPr>
      <w:r w:rsidRPr="00FD6009">
        <w:rPr>
          <w:rFonts w:ascii="宋体" w:hAnsi="宋体" w:cs="宋体" w:hint="eastAsia"/>
          <w:kern w:val="0"/>
          <w:szCs w:val="21"/>
        </w:rPr>
        <w:t xml:space="preserve">表2 </w:t>
      </w:r>
      <w:r>
        <w:rPr>
          <w:rFonts w:ascii="宋体" w:hAnsi="宋体" w:cs="宋体" w:hint="eastAsia"/>
          <w:kern w:val="0"/>
          <w:szCs w:val="21"/>
        </w:rPr>
        <w:t>本次</w:t>
      </w:r>
      <w:r w:rsidRPr="00FD6009">
        <w:rPr>
          <w:rFonts w:ascii="宋体" w:hAnsi="宋体" w:cs="宋体" w:hint="eastAsia"/>
          <w:kern w:val="0"/>
          <w:szCs w:val="21"/>
        </w:rPr>
        <w:t>风险监测项目及依据</w:t>
      </w:r>
    </w:p>
    <w:tbl>
      <w:tblPr>
        <w:tblW w:w="8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8"/>
        <w:gridCol w:w="830"/>
        <w:gridCol w:w="308"/>
        <w:gridCol w:w="1138"/>
        <w:gridCol w:w="2066"/>
        <w:gridCol w:w="2076"/>
        <w:gridCol w:w="1559"/>
      </w:tblGrid>
      <w:tr w:rsidR="00301526" w:rsidRPr="00FE05BE" w:rsidTr="00174922">
        <w:trPr>
          <w:trHeight w:val="716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序号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检验项目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依据标准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检测方法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备注</w:t>
            </w:r>
          </w:p>
        </w:tc>
      </w:tr>
      <w:tr w:rsidR="00301526" w:rsidRPr="00FE05BE" w:rsidTr="00174922">
        <w:trPr>
          <w:trHeight w:val="1072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1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外观质量及</w:t>
            </w:r>
          </w:p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尺寸偏差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 xml:space="preserve">QB/T 1437 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QB/T 1438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Q/320583 WYYL002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 xml:space="preserve">QB/T 1437 </w:t>
            </w:r>
          </w:p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QB/T 1438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Q/320583 WYYL002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监督项目</w:t>
            </w:r>
          </w:p>
        </w:tc>
      </w:tr>
      <w:tr w:rsidR="00301526" w:rsidRPr="00FE05BE" w:rsidTr="00174922">
        <w:trPr>
          <w:trHeight w:val="766"/>
          <w:jc w:val="center"/>
        </w:trPr>
        <w:tc>
          <w:tcPr>
            <w:tcW w:w="628" w:type="dxa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2</w:t>
            </w:r>
          </w:p>
        </w:tc>
        <w:tc>
          <w:tcPr>
            <w:tcW w:w="830" w:type="dxa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纸张定量</w:t>
            </w:r>
          </w:p>
        </w:tc>
        <w:tc>
          <w:tcPr>
            <w:tcW w:w="1446" w:type="dxa"/>
            <w:gridSpan w:val="2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封面/封底</w:t>
            </w:r>
          </w:p>
        </w:tc>
        <w:tc>
          <w:tcPr>
            <w:tcW w:w="2066" w:type="dxa"/>
            <w:vMerge w:val="restart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 xml:space="preserve">QB/T 1437 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>
              <w:rPr>
                <w:rFonts w:ascii="宋体" w:hAnsi="宋体" w:cs="Dutch801 Rm BT" w:hint="eastAsia"/>
              </w:rPr>
              <w:t>QB/T 1438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Q/320583 WYYL002</w:t>
            </w:r>
          </w:p>
        </w:tc>
        <w:tc>
          <w:tcPr>
            <w:tcW w:w="2076" w:type="dxa"/>
            <w:vMerge w:val="restart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GB/T 451.2</w:t>
            </w:r>
          </w:p>
        </w:tc>
        <w:tc>
          <w:tcPr>
            <w:tcW w:w="1559" w:type="dxa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监督项目</w:t>
            </w:r>
          </w:p>
        </w:tc>
      </w:tr>
      <w:tr w:rsidR="00301526" w:rsidRPr="00FE05BE" w:rsidTr="00174922">
        <w:trPr>
          <w:trHeight w:val="489"/>
          <w:jc w:val="center"/>
        </w:trPr>
        <w:tc>
          <w:tcPr>
            <w:tcW w:w="628" w:type="dxa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  <w:tc>
          <w:tcPr>
            <w:tcW w:w="830" w:type="dxa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内芯</w:t>
            </w:r>
          </w:p>
        </w:tc>
        <w:tc>
          <w:tcPr>
            <w:tcW w:w="2066" w:type="dxa"/>
            <w:vMerge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</w:p>
        </w:tc>
        <w:tc>
          <w:tcPr>
            <w:tcW w:w="2076" w:type="dxa"/>
            <w:vMerge/>
            <w:vAlign w:val="center"/>
          </w:tcPr>
          <w:p w:rsidR="00301526" w:rsidRPr="00FE05BE" w:rsidRDefault="00301526" w:rsidP="00174922">
            <w:pPr>
              <w:wordWrap w:val="0"/>
              <w:jc w:val="center"/>
              <w:rPr>
                <w:rFonts w:ascii="宋体" w:hAnsi="宋体" w:cs="Dutch801 Rm BT"/>
              </w:rPr>
            </w:pPr>
          </w:p>
        </w:tc>
        <w:tc>
          <w:tcPr>
            <w:tcW w:w="1559" w:type="dxa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</w:tr>
      <w:tr w:rsidR="00301526" w:rsidRPr="00FE05BE" w:rsidTr="00174922">
        <w:trPr>
          <w:trHeight w:val="992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3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内芯纸张施胶度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 xml:space="preserve">QB/T 1437 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QB/T 1438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Q/320583 WYYL002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GB/T 460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监督项目</w:t>
            </w:r>
          </w:p>
        </w:tc>
      </w:tr>
      <w:tr w:rsidR="00301526" w:rsidRPr="00FE05BE" w:rsidTr="00174922">
        <w:trPr>
          <w:trHeight w:val="1120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4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spacing w:line="360" w:lineRule="auto"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可迁移元素</w:t>
            </w:r>
          </w:p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（锑、砷、钡、镉、铬、铅、硒、汞）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QB/T 1437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 21027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监督项目</w:t>
            </w:r>
          </w:p>
        </w:tc>
      </w:tr>
      <w:tr w:rsidR="00301526" w:rsidRPr="00FE05BE" w:rsidTr="00174922">
        <w:trPr>
          <w:trHeight w:val="854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5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亮度（白度）内芯纸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QB/T 1437</w:t>
            </w:r>
          </w:p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Q/320583 WYYL002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GB/T 7974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监督项目</w:t>
            </w:r>
          </w:p>
        </w:tc>
      </w:tr>
      <w:tr w:rsidR="00301526" w:rsidRPr="00FE05BE" w:rsidTr="00174922">
        <w:trPr>
          <w:trHeight w:val="158"/>
          <w:jc w:val="center"/>
        </w:trPr>
        <w:tc>
          <w:tcPr>
            <w:tcW w:w="628" w:type="dxa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6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溶剂残留量</w:t>
            </w:r>
          </w:p>
        </w:tc>
        <w:tc>
          <w:tcPr>
            <w:tcW w:w="113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溶剂残留总量</w:t>
            </w:r>
          </w:p>
        </w:tc>
        <w:tc>
          <w:tcPr>
            <w:tcW w:w="2066" w:type="dxa"/>
            <w:vMerge w:val="restart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——</w:t>
            </w:r>
          </w:p>
        </w:tc>
        <w:tc>
          <w:tcPr>
            <w:tcW w:w="2076" w:type="dxa"/>
            <w:vMerge w:val="restart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GB/T 10004</w:t>
            </w:r>
          </w:p>
        </w:tc>
        <w:tc>
          <w:tcPr>
            <w:tcW w:w="1559" w:type="dxa"/>
            <w:vMerge w:val="restart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风险监测项目</w:t>
            </w:r>
          </w:p>
        </w:tc>
      </w:tr>
      <w:tr w:rsidR="00301526" w:rsidRPr="00FE05BE" w:rsidTr="00174922">
        <w:trPr>
          <w:trHeight w:val="157"/>
          <w:jc w:val="center"/>
        </w:trPr>
        <w:tc>
          <w:tcPr>
            <w:tcW w:w="628" w:type="dxa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  <w:tc>
          <w:tcPr>
            <w:tcW w:w="113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苯类溶剂残留量</w:t>
            </w:r>
          </w:p>
        </w:tc>
        <w:tc>
          <w:tcPr>
            <w:tcW w:w="2066" w:type="dxa"/>
            <w:vMerge/>
            <w:vAlign w:val="center"/>
          </w:tcPr>
          <w:p w:rsidR="00301526" w:rsidRPr="00FE05BE" w:rsidRDefault="00301526" w:rsidP="00174922">
            <w:pPr>
              <w:wordWrap w:val="0"/>
              <w:topLinePunct/>
              <w:rPr>
                <w:rFonts w:ascii="宋体" w:hAnsi="宋体" w:cs="Dutch801 Rm BT"/>
              </w:rPr>
            </w:pPr>
          </w:p>
        </w:tc>
        <w:tc>
          <w:tcPr>
            <w:tcW w:w="2076" w:type="dxa"/>
            <w:vMerge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</w:p>
        </w:tc>
        <w:tc>
          <w:tcPr>
            <w:tcW w:w="1559" w:type="dxa"/>
            <w:vMerge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</w:p>
        </w:tc>
      </w:tr>
      <w:tr w:rsidR="00301526" w:rsidRPr="00FE05BE" w:rsidTr="00174922">
        <w:trPr>
          <w:trHeight w:val="561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7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荧光性物质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——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GB/T 5009.78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风险监测项目</w:t>
            </w:r>
          </w:p>
        </w:tc>
      </w:tr>
      <w:tr w:rsidR="00301526" w:rsidRPr="00FE05BE" w:rsidTr="00174922">
        <w:trPr>
          <w:trHeight w:val="607"/>
          <w:jc w:val="center"/>
        </w:trPr>
        <w:tc>
          <w:tcPr>
            <w:tcW w:w="628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8</w:t>
            </w:r>
          </w:p>
        </w:tc>
        <w:tc>
          <w:tcPr>
            <w:tcW w:w="2276" w:type="dxa"/>
            <w:gridSpan w:val="3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不透明度</w:t>
            </w:r>
          </w:p>
        </w:tc>
        <w:tc>
          <w:tcPr>
            <w:tcW w:w="2066" w:type="dxa"/>
            <w:vAlign w:val="center"/>
          </w:tcPr>
          <w:p w:rsidR="00301526" w:rsidRPr="00FE05BE" w:rsidRDefault="00301526" w:rsidP="00174922">
            <w:pPr>
              <w:wordWrap w:val="0"/>
              <w:topLinePunct/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——</w:t>
            </w:r>
          </w:p>
        </w:tc>
        <w:tc>
          <w:tcPr>
            <w:tcW w:w="2076" w:type="dxa"/>
            <w:vAlign w:val="center"/>
          </w:tcPr>
          <w:p w:rsidR="00301526" w:rsidRPr="00FE05BE" w:rsidRDefault="00301526" w:rsidP="00174922">
            <w:pPr>
              <w:wordWrap w:val="0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 xml:space="preserve">GB/T 1543 </w:t>
            </w:r>
          </w:p>
        </w:tc>
        <w:tc>
          <w:tcPr>
            <w:tcW w:w="1559" w:type="dxa"/>
            <w:vAlign w:val="center"/>
          </w:tcPr>
          <w:p w:rsidR="00301526" w:rsidRPr="00FE05BE" w:rsidRDefault="00301526" w:rsidP="00174922">
            <w:pPr>
              <w:jc w:val="center"/>
              <w:rPr>
                <w:rFonts w:ascii="宋体" w:hAnsi="宋体" w:cs="Dutch801 Rm BT"/>
              </w:rPr>
            </w:pPr>
            <w:r w:rsidRPr="00FE05BE">
              <w:rPr>
                <w:rFonts w:ascii="宋体" w:hAnsi="宋体" w:cs="Dutch801 Rm BT" w:hint="eastAsia"/>
              </w:rPr>
              <w:t>风险监测项目</w:t>
            </w:r>
          </w:p>
        </w:tc>
      </w:tr>
    </w:tbl>
    <w:p w:rsidR="00301526" w:rsidRPr="00FD6009" w:rsidRDefault="00301526" w:rsidP="00301526">
      <w:pPr>
        <w:spacing w:line="360" w:lineRule="auto"/>
        <w:ind w:firstLineChars="196" w:firstLine="472"/>
        <w:rPr>
          <w:rFonts w:ascii="宋体" w:hAnsi="宋体" w:cs="黑体"/>
          <w:b/>
          <w:bCs/>
          <w:sz w:val="24"/>
        </w:rPr>
      </w:pPr>
      <w:r w:rsidRPr="00FD6009">
        <w:rPr>
          <w:rFonts w:ascii="宋体" w:hAnsi="宋体" w:cs="黑体" w:hint="eastAsia"/>
          <w:b/>
          <w:bCs/>
          <w:sz w:val="24"/>
        </w:rPr>
        <w:t>（四）检验结果</w:t>
      </w:r>
    </w:p>
    <w:p w:rsidR="00301526" w:rsidRDefault="00301526" w:rsidP="00301526">
      <w:pPr>
        <w:spacing w:line="360" w:lineRule="auto"/>
        <w:ind w:firstLineChars="196" w:firstLine="472"/>
        <w:rPr>
          <w:rFonts w:ascii="宋体" w:hAnsi="宋体" w:cs="黑体"/>
          <w:bCs/>
          <w:sz w:val="24"/>
        </w:rPr>
      </w:pPr>
      <w:r w:rsidRPr="00FD6009">
        <w:rPr>
          <w:rFonts w:ascii="宋体" w:hAnsi="宋体" w:cs="黑体" w:hint="eastAsia"/>
          <w:b/>
          <w:bCs/>
          <w:sz w:val="24"/>
        </w:rPr>
        <w:t>1.监督</w:t>
      </w:r>
      <w:r>
        <w:rPr>
          <w:rFonts w:ascii="宋体" w:hAnsi="宋体" w:cs="黑体" w:hint="eastAsia"/>
          <w:b/>
          <w:bCs/>
          <w:sz w:val="24"/>
        </w:rPr>
        <w:t>项目</w:t>
      </w:r>
    </w:p>
    <w:p w:rsidR="00301526" w:rsidRPr="009A6034" w:rsidRDefault="00301526" w:rsidP="00301526">
      <w:pPr>
        <w:spacing w:line="360" w:lineRule="auto"/>
        <w:ind w:firstLineChars="196" w:firstLine="470"/>
        <w:rPr>
          <w:rFonts w:ascii="宋体" w:hAnsi="宋体" w:cs="黑体"/>
          <w:bCs/>
          <w:sz w:val="24"/>
        </w:rPr>
      </w:pPr>
      <w:r w:rsidRPr="00FD6009">
        <w:rPr>
          <w:rFonts w:ascii="宋体" w:hAnsi="宋体" w:cs="黑体" w:hint="eastAsia"/>
          <w:bCs/>
          <w:sz w:val="24"/>
        </w:rPr>
        <w:t>本次</w:t>
      </w:r>
      <w:r>
        <w:rPr>
          <w:rFonts w:ascii="宋体" w:hAnsi="宋体" w:cs="黑体" w:hint="eastAsia"/>
          <w:bCs/>
          <w:sz w:val="24"/>
        </w:rPr>
        <w:t>学生用品（课业簿册）产品</w:t>
      </w:r>
      <w:r w:rsidRPr="00FD6009">
        <w:rPr>
          <w:rFonts w:ascii="宋体" w:hAnsi="宋体" w:cs="黑体" w:hint="eastAsia"/>
          <w:bCs/>
          <w:sz w:val="24"/>
        </w:rPr>
        <w:t>监督</w:t>
      </w:r>
      <w:r>
        <w:rPr>
          <w:rFonts w:ascii="宋体" w:hAnsi="宋体" w:cs="黑体" w:hint="eastAsia"/>
          <w:bCs/>
          <w:sz w:val="24"/>
        </w:rPr>
        <w:t>项目共检测6</w:t>
      </w:r>
      <w:r w:rsidRPr="00FD6009">
        <w:rPr>
          <w:rFonts w:ascii="宋体" w:hAnsi="宋体" w:cs="黑体" w:hint="eastAsia"/>
          <w:bCs/>
          <w:sz w:val="24"/>
        </w:rPr>
        <w:t>0批次，经检验合格</w:t>
      </w:r>
      <w:r>
        <w:rPr>
          <w:rFonts w:ascii="宋体" w:hAnsi="宋体" w:cs="黑体" w:hint="eastAsia"/>
          <w:bCs/>
          <w:sz w:val="24"/>
        </w:rPr>
        <w:t>52</w:t>
      </w:r>
      <w:r w:rsidRPr="00FD6009">
        <w:rPr>
          <w:rFonts w:ascii="宋体" w:hAnsi="宋体" w:cs="黑体" w:hint="eastAsia"/>
          <w:bCs/>
          <w:sz w:val="24"/>
        </w:rPr>
        <w:t>批次，合格</w:t>
      </w:r>
      <w:r w:rsidRPr="00FD6009">
        <w:rPr>
          <w:rFonts w:ascii="宋体" w:hAnsi="宋体" w:hint="eastAsia"/>
          <w:sz w:val="24"/>
        </w:rPr>
        <w:t>率为</w:t>
      </w:r>
      <w:r>
        <w:rPr>
          <w:rFonts w:ascii="宋体" w:hAnsi="宋体" w:hint="eastAsia"/>
          <w:sz w:val="24"/>
        </w:rPr>
        <w:t>87</w:t>
      </w:r>
      <w:r w:rsidRPr="00FD6009">
        <w:rPr>
          <w:rFonts w:ascii="宋体" w:hAnsi="宋体" w:hint="eastAsia"/>
          <w:sz w:val="24"/>
        </w:rPr>
        <w:t>%，不合格项目为</w:t>
      </w:r>
      <w:r w:rsidRPr="00BF25EF">
        <w:rPr>
          <w:rFonts w:ascii="宋体" w:hAnsi="宋体" w:hint="eastAsia"/>
          <w:sz w:val="24"/>
        </w:rPr>
        <w:t>封面/封底定量、内芯纸定量、内芯纸施胶度</w:t>
      </w:r>
      <w:r w:rsidRPr="00FD6009">
        <w:rPr>
          <w:rFonts w:ascii="宋体" w:hAnsi="宋体" w:hint="eastAsia"/>
          <w:sz w:val="24"/>
        </w:rPr>
        <w:t>。不同检验项目的合格率情况见表3，不同采样渠道的合格率情况见表4。</w:t>
      </w:r>
    </w:p>
    <w:p w:rsidR="00301526" w:rsidRPr="00FD6009" w:rsidRDefault="00301526" w:rsidP="00301526">
      <w:pPr>
        <w:adjustRightInd w:val="0"/>
        <w:snapToGrid w:val="0"/>
        <w:ind w:firstLineChars="1250" w:firstLine="2625"/>
        <w:rPr>
          <w:rFonts w:ascii="宋体" w:hAnsi="宋体"/>
          <w:szCs w:val="21"/>
        </w:rPr>
      </w:pPr>
      <w:r w:rsidRPr="00FD6009">
        <w:rPr>
          <w:rFonts w:ascii="宋体" w:hAnsi="宋体" w:hint="eastAsia"/>
          <w:szCs w:val="21"/>
        </w:rPr>
        <w:t>表3 不同检验项目的合格率情况</w:t>
      </w:r>
    </w:p>
    <w:tbl>
      <w:tblPr>
        <w:tblW w:w="0" w:type="auto"/>
        <w:jc w:val="center"/>
        <w:tblInd w:w="-1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3875"/>
        <w:gridCol w:w="1162"/>
        <w:gridCol w:w="900"/>
      </w:tblGrid>
      <w:tr w:rsidR="00301526" w:rsidRPr="00FD6009" w:rsidTr="00174922">
        <w:trPr>
          <w:trHeight w:val="473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序号</w:t>
            </w:r>
          </w:p>
        </w:tc>
        <w:tc>
          <w:tcPr>
            <w:tcW w:w="3875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检</w:t>
            </w:r>
            <w:r>
              <w:rPr>
                <w:rFonts w:ascii="宋体" w:hAnsi="宋体" w:cs="仿宋_GB2312" w:hint="eastAsia"/>
                <w:szCs w:val="21"/>
              </w:rPr>
              <w:t>验</w:t>
            </w:r>
            <w:r w:rsidRPr="00FD6009">
              <w:rPr>
                <w:rFonts w:ascii="宋体" w:hAnsi="宋体" w:cs="仿宋_GB2312" w:hint="eastAsia"/>
                <w:szCs w:val="21"/>
              </w:rPr>
              <w:t>项目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合格批次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合格率</w:t>
            </w:r>
          </w:p>
        </w:tc>
      </w:tr>
      <w:tr w:rsidR="00301526" w:rsidRPr="00FD6009" w:rsidTr="00174922">
        <w:trPr>
          <w:trHeight w:val="405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1</w:t>
            </w:r>
          </w:p>
        </w:tc>
        <w:tc>
          <w:tcPr>
            <w:tcW w:w="3875" w:type="dxa"/>
            <w:vAlign w:val="center"/>
          </w:tcPr>
          <w:p w:rsidR="00301526" w:rsidRPr="00FD6009" w:rsidRDefault="00301526" w:rsidP="00174922">
            <w:pPr>
              <w:jc w:val="center"/>
              <w:rPr>
                <w:rFonts w:ascii="宋体" w:hAnsi="宋体"/>
                <w:szCs w:val="21"/>
              </w:rPr>
            </w:pPr>
            <w:r w:rsidRPr="00292898">
              <w:rPr>
                <w:rFonts w:ascii="宋体" w:hAnsi="宋体" w:hint="eastAsia"/>
              </w:rPr>
              <w:t>外观质量及尺寸偏差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60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ind w:firstLine="10"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100%</w:t>
            </w:r>
          </w:p>
        </w:tc>
      </w:tr>
      <w:tr w:rsidR="00301526" w:rsidRPr="00FD6009" w:rsidTr="00174922">
        <w:trPr>
          <w:trHeight w:val="424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2</w:t>
            </w:r>
          </w:p>
        </w:tc>
        <w:tc>
          <w:tcPr>
            <w:tcW w:w="3875" w:type="dxa"/>
            <w:vAlign w:val="center"/>
          </w:tcPr>
          <w:p w:rsidR="00301526" w:rsidRPr="00FD6009" w:rsidRDefault="00301526" w:rsidP="00174922">
            <w:pPr>
              <w:jc w:val="center"/>
              <w:rPr>
                <w:rFonts w:ascii="宋体" w:hAnsi="宋体"/>
                <w:szCs w:val="21"/>
              </w:rPr>
            </w:pPr>
            <w:r w:rsidRPr="00292898">
              <w:rPr>
                <w:rFonts w:ascii="宋体" w:hAnsi="宋体" w:hint="eastAsia"/>
              </w:rPr>
              <w:t>纸张定量</w:t>
            </w:r>
            <w:r>
              <w:rPr>
                <w:rFonts w:ascii="宋体" w:hAnsi="宋体" w:hint="eastAsia"/>
              </w:rPr>
              <w:t>（封底封面、内芯纸）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54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90%</w:t>
            </w:r>
          </w:p>
        </w:tc>
      </w:tr>
      <w:tr w:rsidR="00301526" w:rsidRPr="00FD6009" w:rsidTr="00174922">
        <w:trPr>
          <w:trHeight w:val="417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3</w:t>
            </w:r>
          </w:p>
        </w:tc>
        <w:tc>
          <w:tcPr>
            <w:tcW w:w="3875" w:type="dxa"/>
            <w:vAlign w:val="center"/>
          </w:tcPr>
          <w:p w:rsidR="00301526" w:rsidRPr="00FD6009" w:rsidRDefault="00301526" w:rsidP="00174922">
            <w:pPr>
              <w:jc w:val="center"/>
              <w:rPr>
                <w:rFonts w:ascii="宋体" w:hAnsi="宋体"/>
                <w:szCs w:val="21"/>
              </w:rPr>
            </w:pPr>
            <w:r w:rsidRPr="00292898">
              <w:rPr>
                <w:rFonts w:ascii="宋体" w:hAnsi="宋体" w:hint="eastAsia"/>
              </w:rPr>
              <w:t>内芯纸张施胶度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56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93</w:t>
            </w:r>
            <w:r w:rsidRPr="00FD6009">
              <w:rPr>
                <w:rFonts w:ascii="宋体" w:hAnsi="宋体" w:cs="仿宋_GB2312" w:hint="eastAsia"/>
                <w:szCs w:val="21"/>
              </w:rPr>
              <w:t>%</w:t>
            </w:r>
          </w:p>
        </w:tc>
      </w:tr>
      <w:tr w:rsidR="00301526" w:rsidRPr="00FD6009" w:rsidTr="00174922">
        <w:trPr>
          <w:trHeight w:val="409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4</w:t>
            </w:r>
          </w:p>
        </w:tc>
        <w:tc>
          <w:tcPr>
            <w:tcW w:w="3875" w:type="dxa"/>
            <w:vAlign w:val="center"/>
          </w:tcPr>
          <w:p w:rsidR="00301526" w:rsidRPr="004E16CA" w:rsidRDefault="00301526" w:rsidP="0017492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可迁移</w:t>
            </w:r>
            <w:r w:rsidRPr="004E16CA">
              <w:rPr>
                <w:rFonts w:ascii="宋体" w:hAnsi="宋体" w:hint="eastAsia"/>
              </w:rPr>
              <w:t>元素</w:t>
            </w:r>
            <w:r>
              <w:rPr>
                <w:rFonts w:ascii="宋体" w:hAnsi="宋体" w:hint="eastAsia"/>
              </w:rPr>
              <w:t>（监督批次55批）</w:t>
            </w:r>
          </w:p>
          <w:p w:rsidR="00301526" w:rsidRPr="00FD6009" w:rsidRDefault="00301526" w:rsidP="00174922">
            <w:pPr>
              <w:jc w:val="center"/>
              <w:rPr>
                <w:rFonts w:ascii="宋体" w:hAnsi="宋体"/>
                <w:szCs w:val="21"/>
              </w:rPr>
            </w:pPr>
            <w:r w:rsidRPr="004E16CA">
              <w:rPr>
                <w:rFonts w:ascii="宋体" w:hAnsi="宋体" w:hint="eastAsia"/>
              </w:rPr>
              <w:t>（锑、砷、钡、镉、铬、铅、硒、汞）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55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ind w:firstLineChars="4" w:firstLine="8"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100</w:t>
            </w:r>
            <w:r w:rsidRPr="00FD6009">
              <w:rPr>
                <w:rFonts w:ascii="宋体" w:hAnsi="宋体" w:cs="仿宋_GB2312" w:hint="eastAsia"/>
                <w:szCs w:val="21"/>
              </w:rPr>
              <w:t>%</w:t>
            </w:r>
          </w:p>
        </w:tc>
      </w:tr>
      <w:tr w:rsidR="00301526" w:rsidRPr="00FD6009" w:rsidTr="00174922">
        <w:trPr>
          <w:trHeight w:val="469"/>
          <w:jc w:val="center"/>
        </w:trPr>
        <w:tc>
          <w:tcPr>
            <w:tcW w:w="717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3875" w:type="dxa"/>
            <w:vAlign w:val="center"/>
          </w:tcPr>
          <w:p w:rsidR="00301526" w:rsidRPr="00DE0D6A" w:rsidRDefault="00301526" w:rsidP="001749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内芯纸</w:t>
            </w:r>
            <w:r w:rsidRPr="00292898">
              <w:rPr>
                <w:rFonts w:ascii="宋体" w:hAnsi="宋体" w:hint="eastAsia"/>
              </w:rPr>
              <w:t>亮度（白度）</w:t>
            </w:r>
            <w:r>
              <w:rPr>
                <w:rFonts w:ascii="宋体" w:hAnsi="宋体" w:hint="eastAsia"/>
              </w:rPr>
              <w:t>（监督批次56批）</w:t>
            </w:r>
          </w:p>
        </w:tc>
        <w:tc>
          <w:tcPr>
            <w:tcW w:w="1162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56</w:t>
            </w:r>
          </w:p>
        </w:tc>
        <w:tc>
          <w:tcPr>
            <w:tcW w:w="900" w:type="dxa"/>
            <w:vAlign w:val="center"/>
          </w:tcPr>
          <w:p w:rsidR="00301526" w:rsidRPr="00FD6009" w:rsidRDefault="00301526" w:rsidP="00174922">
            <w:pPr>
              <w:widowControl/>
              <w:ind w:firstLineChars="4" w:firstLine="8"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100%</w:t>
            </w:r>
          </w:p>
        </w:tc>
      </w:tr>
    </w:tbl>
    <w:p w:rsidR="00301526" w:rsidRDefault="00301526" w:rsidP="00301526">
      <w:pPr>
        <w:adjustRightInd w:val="0"/>
        <w:snapToGrid w:val="0"/>
        <w:ind w:firstLineChars="1200" w:firstLine="2520"/>
        <w:rPr>
          <w:rFonts w:ascii="宋体" w:hAnsi="宋体"/>
          <w:szCs w:val="21"/>
        </w:rPr>
      </w:pPr>
      <w:r w:rsidRPr="00FD6009">
        <w:rPr>
          <w:rFonts w:ascii="宋体" w:hAnsi="宋体" w:hint="eastAsia"/>
          <w:szCs w:val="21"/>
        </w:rPr>
        <w:t>表4 不同采样渠道的合格率情况</w:t>
      </w:r>
    </w:p>
    <w:tbl>
      <w:tblPr>
        <w:tblW w:w="0" w:type="auto"/>
        <w:jc w:val="center"/>
        <w:tblInd w:w="-1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"/>
        <w:gridCol w:w="1075"/>
        <w:gridCol w:w="1260"/>
        <w:gridCol w:w="1440"/>
        <w:gridCol w:w="960"/>
      </w:tblGrid>
      <w:tr w:rsidR="00301526" w:rsidRPr="00FD6009" w:rsidTr="00174922">
        <w:trPr>
          <w:trHeight w:val="391"/>
          <w:jc w:val="center"/>
        </w:trPr>
        <w:tc>
          <w:tcPr>
            <w:tcW w:w="1501" w:type="dxa"/>
            <w:gridSpan w:val="2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采样渠道</w:t>
            </w:r>
          </w:p>
        </w:tc>
        <w:tc>
          <w:tcPr>
            <w:tcW w:w="12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样品批次</w:t>
            </w:r>
          </w:p>
        </w:tc>
        <w:tc>
          <w:tcPr>
            <w:tcW w:w="144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合格批次</w:t>
            </w:r>
          </w:p>
        </w:tc>
        <w:tc>
          <w:tcPr>
            <w:tcW w:w="9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合格率</w:t>
            </w:r>
          </w:p>
        </w:tc>
      </w:tr>
      <w:tr w:rsidR="00301526" w:rsidRPr="00FD6009" w:rsidTr="00174922">
        <w:trPr>
          <w:trHeight w:val="391"/>
          <w:jc w:val="center"/>
        </w:trPr>
        <w:tc>
          <w:tcPr>
            <w:tcW w:w="1501" w:type="dxa"/>
            <w:gridSpan w:val="2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生产企业</w:t>
            </w:r>
          </w:p>
        </w:tc>
        <w:tc>
          <w:tcPr>
            <w:tcW w:w="12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3</w:t>
            </w:r>
          </w:p>
        </w:tc>
        <w:tc>
          <w:tcPr>
            <w:tcW w:w="9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100%</w:t>
            </w:r>
          </w:p>
        </w:tc>
      </w:tr>
      <w:tr w:rsidR="00301526" w:rsidRPr="00FD6009" w:rsidTr="00174922">
        <w:trPr>
          <w:trHeight w:val="427"/>
          <w:jc w:val="center"/>
        </w:trPr>
        <w:tc>
          <w:tcPr>
            <w:tcW w:w="1501" w:type="dxa"/>
            <w:gridSpan w:val="2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 w:rsidRPr="00FD6009">
              <w:rPr>
                <w:rFonts w:ascii="宋体" w:hAnsi="宋体" w:cs="仿宋_GB2312" w:hint="eastAsia"/>
                <w:szCs w:val="21"/>
              </w:rPr>
              <w:t>超市</w:t>
            </w:r>
          </w:p>
        </w:tc>
        <w:tc>
          <w:tcPr>
            <w:tcW w:w="12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17</w:t>
            </w:r>
          </w:p>
        </w:tc>
        <w:tc>
          <w:tcPr>
            <w:tcW w:w="144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15</w:t>
            </w:r>
          </w:p>
        </w:tc>
        <w:tc>
          <w:tcPr>
            <w:tcW w:w="960" w:type="dxa"/>
            <w:vAlign w:val="center"/>
          </w:tcPr>
          <w:p w:rsidR="00301526" w:rsidRPr="00FD6009" w:rsidRDefault="00301526" w:rsidP="00174922">
            <w:pPr>
              <w:widowControl/>
              <w:ind w:firstLine="10"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88</w:t>
            </w:r>
            <w:r w:rsidRPr="00FD6009">
              <w:rPr>
                <w:rFonts w:ascii="宋体" w:hAnsi="宋体" w:cs="仿宋_GB2312" w:hint="eastAsia"/>
                <w:szCs w:val="21"/>
              </w:rPr>
              <w:t>%</w:t>
            </w:r>
          </w:p>
        </w:tc>
      </w:tr>
      <w:tr w:rsidR="00301526" w:rsidRPr="00FD6009" w:rsidTr="00174922">
        <w:trPr>
          <w:trHeight w:val="405"/>
          <w:jc w:val="center"/>
        </w:trPr>
        <w:tc>
          <w:tcPr>
            <w:tcW w:w="1501" w:type="dxa"/>
            <w:gridSpan w:val="2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文具用品店</w:t>
            </w:r>
          </w:p>
        </w:tc>
        <w:tc>
          <w:tcPr>
            <w:tcW w:w="12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</w:t>
            </w:r>
          </w:p>
        </w:tc>
        <w:tc>
          <w:tcPr>
            <w:tcW w:w="144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8</w:t>
            </w:r>
          </w:p>
        </w:tc>
        <w:tc>
          <w:tcPr>
            <w:tcW w:w="9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80</w:t>
            </w:r>
            <w:r w:rsidRPr="00FD6009">
              <w:rPr>
                <w:rFonts w:ascii="宋体" w:hAnsi="宋体" w:cs="仿宋_GB2312" w:hint="eastAsia"/>
                <w:szCs w:val="21"/>
              </w:rPr>
              <w:t>%</w:t>
            </w:r>
          </w:p>
        </w:tc>
      </w:tr>
      <w:tr w:rsidR="00301526" w:rsidRPr="00FD6009" w:rsidTr="00174922">
        <w:trPr>
          <w:trHeight w:val="410"/>
          <w:jc w:val="center"/>
        </w:trPr>
        <w:tc>
          <w:tcPr>
            <w:tcW w:w="426" w:type="dxa"/>
            <w:vMerge w:val="restart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电商平台</w:t>
            </w:r>
          </w:p>
        </w:tc>
        <w:tc>
          <w:tcPr>
            <w:tcW w:w="1075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淘宝</w:t>
            </w:r>
          </w:p>
        </w:tc>
        <w:tc>
          <w:tcPr>
            <w:tcW w:w="12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13</w:t>
            </w:r>
          </w:p>
        </w:tc>
        <w:tc>
          <w:tcPr>
            <w:tcW w:w="144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9</w:t>
            </w:r>
          </w:p>
        </w:tc>
        <w:tc>
          <w:tcPr>
            <w:tcW w:w="960" w:type="dxa"/>
            <w:vAlign w:val="center"/>
          </w:tcPr>
          <w:p w:rsidR="00301526" w:rsidRPr="00FD6009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69%</w:t>
            </w:r>
          </w:p>
        </w:tc>
      </w:tr>
      <w:tr w:rsidR="00301526" w:rsidRPr="00FD6009" w:rsidTr="00174922">
        <w:trPr>
          <w:trHeight w:val="410"/>
          <w:jc w:val="center"/>
        </w:trPr>
        <w:tc>
          <w:tcPr>
            <w:tcW w:w="426" w:type="dxa"/>
            <w:vMerge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075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京东</w:t>
            </w:r>
          </w:p>
        </w:tc>
        <w:tc>
          <w:tcPr>
            <w:tcW w:w="12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12</w:t>
            </w:r>
          </w:p>
        </w:tc>
        <w:tc>
          <w:tcPr>
            <w:tcW w:w="144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12</w:t>
            </w:r>
          </w:p>
        </w:tc>
        <w:tc>
          <w:tcPr>
            <w:tcW w:w="9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100%</w:t>
            </w:r>
          </w:p>
        </w:tc>
      </w:tr>
      <w:tr w:rsidR="00301526" w:rsidRPr="00FD6009" w:rsidTr="00174922">
        <w:trPr>
          <w:trHeight w:val="410"/>
          <w:jc w:val="center"/>
        </w:trPr>
        <w:tc>
          <w:tcPr>
            <w:tcW w:w="426" w:type="dxa"/>
            <w:vMerge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075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1号店</w:t>
            </w:r>
          </w:p>
        </w:tc>
        <w:tc>
          <w:tcPr>
            <w:tcW w:w="12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5</w:t>
            </w:r>
          </w:p>
        </w:tc>
        <w:tc>
          <w:tcPr>
            <w:tcW w:w="9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100%</w:t>
            </w:r>
          </w:p>
        </w:tc>
      </w:tr>
      <w:tr w:rsidR="00301526" w:rsidRPr="00FD6009" w:rsidTr="00174922">
        <w:trPr>
          <w:trHeight w:val="410"/>
          <w:jc w:val="center"/>
        </w:trPr>
        <w:tc>
          <w:tcPr>
            <w:tcW w:w="426" w:type="dxa"/>
            <w:vMerge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075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总计</w:t>
            </w:r>
          </w:p>
        </w:tc>
        <w:tc>
          <w:tcPr>
            <w:tcW w:w="12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30</w:t>
            </w:r>
          </w:p>
        </w:tc>
        <w:tc>
          <w:tcPr>
            <w:tcW w:w="144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26</w:t>
            </w:r>
          </w:p>
        </w:tc>
        <w:tc>
          <w:tcPr>
            <w:tcW w:w="960" w:type="dxa"/>
            <w:vAlign w:val="center"/>
          </w:tcPr>
          <w:p w:rsidR="00301526" w:rsidRDefault="00301526" w:rsidP="00174922">
            <w:pPr>
              <w:widowControl/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87%</w:t>
            </w:r>
          </w:p>
        </w:tc>
      </w:tr>
    </w:tbl>
    <w:p w:rsidR="00301526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/>
          <w:b/>
          <w:sz w:val="24"/>
        </w:rPr>
      </w:pPr>
      <w:r w:rsidRPr="00FD6009">
        <w:rPr>
          <w:rFonts w:ascii="宋体" w:hAnsi="宋体" w:hint="eastAsia"/>
          <w:b/>
          <w:sz w:val="24"/>
        </w:rPr>
        <w:t>2.风险监测</w:t>
      </w:r>
      <w:r>
        <w:rPr>
          <w:rFonts w:ascii="宋体" w:hAnsi="宋体" w:hint="eastAsia"/>
          <w:b/>
          <w:sz w:val="24"/>
        </w:rPr>
        <w:t>项目</w:t>
      </w:r>
    </w:p>
    <w:p w:rsidR="00301526" w:rsidRPr="00FD6009" w:rsidRDefault="00301526" w:rsidP="00301526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CD14E9">
        <w:rPr>
          <w:rFonts w:ascii="宋体" w:hAnsi="宋体" w:hint="eastAsia"/>
          <w:sz w:val="24"/>
        </w:rPr>
        <w:t>本次</w:t>
      </w:r>
      <w:r>
        <w:rPr>
          <w:rFonts w:ascii="宋体" w:hAnsi="宋体" w:hint="eastAsia"/>
          <w:sz w:val="24"/>
        </w:rPr>
        <w:t>60</w:t>
      </w:r>
      <w:r w:rsidRPr="00CD14E9">
        <w:rPr>
          <w:rFonts w:ascii="宋体" w:hAnsi="宋体" w:hint="eastAsia"/>
          <w:sz w:val="24"/>
        </w:rPr>
        <w:t>批次</w:t>
      </w:r>
      <w:r>
        <w:rPr>
          <w:rFonts w:ascii="宋体" w:hAnsi="宋体" w:hint="eastAsia"/>
          <w:sz w:val="24"/>
        </w:rPr>
        <w:t>学生用品</w:t>
      </w:r>
      <w:r w:rsidRPr="00CD14E9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课业簿册</w:t>
      </w:r>
      <w:r w:rsidRPr="00CD14E9">
        <w:rPr>
          <w:rFonts w:ascii="宋体" w:hAnsi="宋体" w:hint="eastAsia"/>
          <w:sz w:val="24"/>
        </w:rPr>
        <w:t>）产品风险监测</w:t>
      </w:r>
      <w:r>
        <w:rPr>
          <w:rFonts w:ascii="宋体" w:hAnsi="宋体" w:hint="eastAsia"/>
          <w:sz w:val="24"/>
        </w:rPr>
        <w:t>项目检测</w:t>
      </w:r>
      <w:r w:rsidRPr="00CD14E9">
        <w:rPr>
          <w:rFonts w:ascii="宋体" w:hAnsi="宋体" w:hint="eastAsia"/>
          <w:sz w:val="24"/>
        </w:rPr>
        <w:t>结果表明</w:t>
      </w:r>
      <w:r>
        <w:rPr>
          <w:rFonts w:ascii="宋体" w:hAnsi="宋体" w:hint="eastAsia"/>
          <w:sz w:val="24"/>
        </w:rPr>
        <w:t>：</w:t>
      </w:r>
      <w:r w:rsidRPr="00CD14E9"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2批次检出溶剂残留</w:t>
      </w:r>
      <w:r w:rsidRPr="00CD14E9">
        <w:rPr>
          <w:rFonts w:ascii="宋体" w:hAnsi="宋体" w:hint="eastAsia"/>
          <w:sz w:val="24"/>
        </w:rPr>
        <w:t>，检出率为</w:t>
      </w:r>
      <w:r>
        <w:rPr>
          <w:rFonts w:ascii="宋体" w:hAnsi="宋体" w:hint="eastAsia"/>
          <w:sz w:val="24"/>
        </w:rPr>
        <w:t>3</w:t>
      </w:r>
      <w:r w:rsidRPr="00CD14E9">
        <w:rPr>
          <w:rFonts w:ascii="宋体" w:hAnsi="宋体" w:hint="eastAsia"/>
          <w:sz w:val="24"/>
        </w:rPr>
        <w:t>%；</w:t>
      </w:r>
      <w:r>
        <w:rPr>
          <w:rFonts w:ascii="宋体" w:hAnsi="宋体" w:hint="eastAsia"/>
          <w:sz w:val="24"/>
        </w:rPr>
        <w:t>56</w:t>
      </w:r>
      <w:r w:rsidRPr="00CD14E9">
        <w:rPr>
          <w:rFonts w:ascii="宋体" w:hAnsi="宋体" w:hint="eastAsia"/>
          <w:sz w:val="24"/>
        </w:rPr>
        <w:t>批次检出</w:t>
      </w:r>
      <w:r>
        <w:rPr>
          <w:rFonts w:ascii="宋体" w:hAnsi="宋体" w:hint="eastAsia"/>
          <w:sz w:val="24"/>
        </w:rPr>
        <w:t>荧光性物质</w:t>
      </w:r>
      <w:r w:rsidRPr="00CD14E9">
        <w:rPr>
          <w:rFonts w:ascii="宋体" w:hAnsi="宋体" w:hint="eastAsia"/>
          <w:sz w:val="24"/>
        </w:rPr>
        <w:t>，检出率为</w:t>
      </w:r>
      <w:r>
        <w:rPr>
          <w:rFonts w:ascii="宋体" w:hAnsi="宋体" w:hint="eastAsia"/>
          <w:sz w:val="24"/>
        </w:rPr>
        <w:t>93</w:t>
      </w:r>
      <w:r w:rsidRPr="00CD14E9"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，其中，39批次封面检出荧光性物质，检出率65%，40批次内芯纸检出荧光性物质，检出率67%</w:t>
      </w:r>
      <w:r w:rsidRPr="00CD14E9">
        <w:rPr>
          <w:rFonts w:ascii="宋体" w:hAnsi="宋体" w:hint="eastAsia"/>
          <w:sz w:val="24"/>
        </w:rPr>
        <w:t>。</w:t>
      </w:r>
    </w:p>
    <w:p w:rsidR="00301526" w:rsidRPr="00FD6009" w:rsidRDefault="00301526" w:rsidP="00301526">
      <w:pPr>
        <w:spacing w:line="360" w:lineRule="auto"/>
        <w:ind w:firstLineChars="196" w:firstLine="472"/>
        <w:rPr>
          <w:rFonts w:ascii="宋体" w:hAnsi="宋体"/>
          <w:sz w:val="24"/>
        </w:rPr>
      </w:pPr>
      <w:r w:rsidRPr="00FD6009">
        <w:rPr>
          <w:rFonts w:ascii="宋体" w:hAnsi="宋体" w:cs="黑体" w:hint="eastAsia"/>
          <w:b/>
          <w:sz w:val="24"/>
        </w:rPr>
        <w:t>三、质量分析</w:t>
      </w:r>
    </w:p>
    <w:p w:rsidR="00301526" w:rsidRPr="00FD6009" w:rsidRDefault="00301526" w:rsidP="00301526">
      <w:pPr>
        <w:spacing w:line="360" w:lineRule="auto"/>
        <w:ind w:firstLineChars="196" w:firstLine="472"/>
        <w:rPr>
          <w:rFonts w:ascii="宋体" w:hAnsi="宋体" w:cs="黑体"/>
          <w:b/>
          <w:sz w:val="24"/>
        </w:rPr>
      </w:pPr>
      <w:r w:rsidRPr="00FD6009">
        <w:rPr>
          <w:rFonts w:ascii="宋体" w:hAnsi="宋体" w:cs="仿宋_GB2312" w:hint="eastAsia"/>
          <w:b/>
          <w:sz w:val="24"/>
        </w:rPr>
        <w:t>（一）监督项目</w:t>
      </w:r>
    </w:p>
    <w:p w:rsidR="00301526" w:rsidRDefault="00301526" w:rsidP="00301526">
      <w:pPr>
        <w:spacing w:line="360" w:lineRule="auto"/>
        <w:ind w:firstLineChars="196" w:firstLine="472"/>
        <w:rPr>
          <w:rFonts w:ascii="宋体" w:hAnsi="宋体" w:cs="黑体"/>
          <w:b/>
          <w:sz w:val="24"/>
        </w:rPr>
      </w:pPr>
      <w:r>
        <w:rPr>
          <w:rFonts w:ascii="宋体" w:hAnsi="宋体" w:cs="黑体" w:hint="eastAsia"/>
          <w:b/>
          <w:sz w:val="24"/>
        </w:rPr>
        <w:t>1</w:t>
      </w:r>
      <w:r w:rsidRPr="00FD6009">
        <w:rPr>
          <w:rFonts w:ascii="宋体" w:hAnsi="宋体" w:cs="黑体" w:hint="eastAsia"/>
          <w:b/>
          <w:sz w:val="24"/>
        </w:rPr>
        <w:t>、</w:t>
      </w:r>
      <w:r>
        <w:rPr>
          <w:rFonts w:ascii="宋体" w:hAnsi="宋体" w:cs="黑体" w:hint="eastAsia"/>
          <w:b/>
          <w:sz w:val="24"/>
        </w:rPr>
        <w:t>纸张定量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75FF7">
        <w:rPr>
          <w:rFonts w:ascii="宋体" w:hAnsi="宋体"/>
          <w:sz w:val="24"/>
        </w:rPr>
        <w:t>纸张定量即每一平方米纸的重量，俗称“克重”</w:t>
      </w:r>
      <w:r>
        <w:rPr>
          <w:rFonts w:ascii="宋体" w:hAnsi="宋体" w:hint="eastAsia"/>
          <w:sz w:val="24"/>
        </w:rPr>
        <w:t>，纸浆浓度、生产工艺和纸张厚度均可影响纸张定量，</w:t>
      </w:r>
      <w:r w:rsidRPr="00251D34">
        <w:rPr>
          <w:rFonts w:ascii="宋体" w:hAnsi="宋体" w:hint="eastAsia"/>
          <w:sz w:val="24"/>
        </w:rPr>
        <w:t>定量是纸最基本的一项物理指标，它的高低及其均一性，影响着纸张机械、光学和印刷</w:t>
      </w:r>
      <w:r>
        <w:rPr>
          <w:rFonts w:ascii="宋体" w:hAnsi="宋体" w:hint="eastAsia"/>
          <w:sz w:val="24"/>
        </w:rPr>
        <w:t>性能</w:t>
      </w:r>
      <w:r w:rsidRPr="00251D34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课业簿册标准中规定了纸张封面和内芯纸的不同定量要求。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01D8A">
        <w:rPr>
          <w:rFonts w:ascii="宋体" w:hAnsi="宋体" w:hint="eastAsia"/>
          <w:sz w:val="24"/>
        </w:rPr>
        <w:t>本次</w:t>
      </w:r>
      <w:r>
        <w:rPr>
          <w:rFonts w:hint="eastAsia"/>
          <w:sz w:val="24"/>
        </w:rPr>
        <w:t>风险监测</w:t>
      </w:r>
      <w:r w:rsidRPr="00C32B44">
        <w:rPr>
          <w:rFonts w:hint="eastAsia"/>
          <w:sz w:val="24"/>
        </w:rPr>
        <w:t>的</w:t>
      </w:r>
      <w:r>
        <w:rPr>
          <w:rFonts w:hint="eastAsia"/>
          <w:sz w:val="24"/>
        </w:rPr>
        <w:t>学生用品</w:t>
      </w:r>
      <w:r w:rsidRPr="00C62A4C">
        <w:rPr>
          <w:rFonts w:ascii="宋体" w:hAnsi="宋体" w:cs="宋体" w:hint="eastAsia"/>
          <w:kern w:val="0"/>
          <w:sz w:val="24"/>
          <w:szCs w:val="16"/>
        </w:rPr>
        <w:t>（</w:t>
      </w:r>
      <w:r>
        <w:rPr>
          <w:rFonts w:ascii="宋体" w:hAnsi="宋体" w:cs="宋体" w:hint="eastAsia"/>
          <w:kern w:val="0"/>
          <w:sz w:val="24"/>
          <w:szCs w:val="16"/>
        </w:rPr>
        <w:t>课业簿册</w:t>
      </w:r>
      <w:r w:rsidRPr="00C62A4C">
        <w:rPr>
          <w:rFonts w:ascii="宋体" w:hAnsi="宋体" w:cs="宋体" w:hint="eastAsia"/>
          <w:kern w:val="0"/>
          <w:sz w:val="24"/>
          <w:szCs w:val="16"/>
        </w:rPr>
        <w:t>）</w:t>
      </w:r>
      <w:r w:rsidRPr="00C32B44">
        <w:rPr>
          <w:rFonts w:hint="eastAsia"/>
          <w:sz w:val="24"/>
        </w:rPr>
        <w:t>产品</w:t>
      </w:r>
      <w:r>
        <w:rPr>
          <w:rFonts w:hint="eastAsia"/>
          <w:sz w:val="24"/>
        </w:rPr>
        <w:t>中</w:t>
      </w:r>
      <w:r w:rsidRPr="00401D8A">
        <w:rPr>
          <w:rFonts w:ascii="宋体" w:hAnsi="宋体" w:hint="eastAsia"/>
          <w:sz w:val="24"/>
        </w:rPr>
        <w:t>共发现</w:t>
      </w:r>
      <w:r>
        <w:rPr>
          <w:rFonts w:ascii="宋体" w:hAnsi="宋体" w:hint="eastAsia"/>
          <w:sz w:val="24"/>
        </w:rPr>
        <w:t>6</w:t>
      </w:r>
      <w:r w:rsidRPr="00401D8A">
        <w:rPr>
          <w:rFonts w:ascii="宋体" w:hAnsi="宋体" w:hint="eastAsia"/>
          <w:sz w:val="24"/>
        </w:rPr>
        <w:t>批次</w:t>
      </w:r>
      <w:r>
        <w:rPr>
          <w:rFonts w:ascii="宋体" w:hAnsi="宋体" w:hint="eastAsia"/>
          <w:sz w:val="24"/>
        </w:rPr>
        <w:t>定量</w:t>
      </w:r>
      <w:r w:rsidRPr="00401D8A">
        <w:rPr>
          <w:rFonts w:ascii="宋体" w:hAnsi="宋体" w:hint="eastAsia"/>
          <w:sz w:val="24"/>
        </w:rPr>
        <w:t>项目不合格，合格率为</w:t>
      </w:r>
      <w:r>
        <w:rPr>
          <w:rFonts w:ascii="宋体" w:hAnsi="宋体" w:hint="eastAsia"/>
          <w:sz w:val="24"/>
        </w:rPr>
        <w:t>90</w:t>
      </w:r>
      <w:r w:rsidRPr="00401D8A">
        <w:rPr>
          <w:rFonts w:ascii="宋体" w:hAnsi="宋体" w:hint="eastAsia"/>
          <w:sz w:val="24"/>
        </w:rPr>
        <w:t>%，</w:t>
      </w:r>
      <w:r w:rsidRPr="002D4617">
        <w:rPr>
          <w:rFonts w:ascii="宋体" w:hAnsi="宋体" w:cs="黑体" w:hint="eastAsia"/>
          <w:bCs/>
          <w:sz w:val="24"/>
        </w:rPr>
        <w:t>纸张定量不合格的原因是单位面积质量不够。</w:t>
      </w:r>
      <w:r w:rsidRPr="002D4617">
        <w:rPr>
          <w:rFonts w:ascii="宋体" w:hAnsi="宋体" w:hint="eastAsia"/>
          <w:sz w:val="24"/>
        </w:rPr>
        <w:t>其中，封面/封底定量1批次不合格</w:t>
      </w:r>
      <w:r>
        <w:rPr>
          <w:rFonts w:ascii="宋体" w:hAnsi="宋体" w:hint="eastAsia"/>
          <w:sz w:val="24"/>
        </w:rPr>
        <w:t>，合格率98%；内芯纸定量6批次</w:t>
      </w:r>
      <w:r w:rsidRPr="00401D8A">
        <w:rPr>
          <w:rFonts w:ascii="宋体" w:hAnsi="宋体" w:hint="eastAsia"/>
          <w:sz w:val="24"/>
        </w:rPr>
        <w:t>不合格</w:t>
      </w:r>
      <w:r>
        <w:rPr>
          <w:rFonts w:ascii="宋体" w:hAnsi="宋体" w:hint="eastAsia"/>
          <w:sz w:val="24"/>
        </w:rPr>
        <w:t>，合格率90%。</w:t>
      </w:r>
    </w:p>
    <w:p w:rsidR="00301526" w:rsidRDefault="00301526" w:rsidP="00301526">
      <w:pPr>
        <w:spacing w:line="360" w:lineRule="auto"/>
        <w:ind w:firstLineChars="196" w:firstLine="472"/>
        <w:rPr>
          <w:rFonts w:ascii="宋体" w:hAnsi="宋体" w:cs="黑体"/>
          <w:b/>
          <w:sz w:val="24"/>
        </w:rPr>
      </w:pPr>
      <w:r>
        <w:rPr>
          <w:rFonts w:ascii="宋体" w:hAnsi="宋体" w:cs="黑体" w:hint="eastAsia"/>
          <w:b/>
          <w:sz w:val="24"/>
        </w:rPr>
        <w:t>2</w:t>
      </w:r>
      <w:r w:rsidRPr="00FD6009">
        <w:rPr>
          <w:rFonts w:ascii="宋体" w:hAnsi="宋体" w:cs="黑体" w:hint="eastAsia"/>
          <w:b/>
          <w:sz w:val="24"/>
        </w:rPr>
        <w:t>、</w:t>
      </w:r>
      <w:r>
        <w:rPr>
          <w:rFonts w:ascii="宋体" w:hAnsi="宋体" w:cs="黑体" w:hint="eastAsia"/>
          <w:b/>
          <w:sz w:val="24"/>
        </w:rPr>
        <w:t>内芯纸施胶度</w:t>
      </w:r>
    </w:p>
    <w:p w:rsidR="00301526" w:rsidRDefault="00301526" w:rsidP="00301526">
      <w:pPr>
        <w:spacing w:line="360" w:lineRule="auto"/>
        <w:ind w:firstLineChars="196" w:firstLine="470"/>
        <w:rPr>
          <w:rFonts w:ascii="宋体" w:hAnsi="宋体" w:cs="黑体"/>
          <w:sz w:val="24"/>
        </w:rPr>
      </w:pPr>
      <w:r w:rsidRPr="00401D8A">
        <w:rPr>
          <w:rFonts w:ascii="宋体" w:hAnsi="宋体" w:cs="黑体" w:hint="eastAsia"/>
          <w:sz w:val="24"/>
        </w:rPr>
        <w:t>施胶度</w:t>
      </w:r>
      <w:r>
        <w:rPr>
          <w:rFonts w:ascii="宋体" w:hAnsi="宋体" w:cs="黑体" w:hint="eastAsia"/>
          <w:sz w:val="24"/>
        </w:rPr>
        <w:t>是衡量纸张抗水性能的指标，也</w:t>
      </w:r>
      <w:r w:rsidRPr="0084167E">
        <w:rPr>
          <w:rFonts w:ascii="宋体" w:hAnsi="宋体" w:cs="黑体" w:hint="eastAsia"/>
          <w:sz w:val="24"/>
        </w:rPr>
        <w:t>是</w:t>
      </w:r>
      <w:r>
        <w:rPr>
          <w:rFonts w:ascii="宋体" w:hAnsi="宋体" w:cs="黑体" w:hint="eastAsia"/>
          <w:sz w:val="24"/>
        </w:rPr>
        <w:t>课业簿册</w:t>
      </w:r>
      <w:r w:rsidRPr="0084167E">
        <w:rPr>
          <w:rFonts w:ascii="宋体" w:hAnsi="宋体" w:cs="黑体" w:hint="eastAsia"/>
          <w:sz w:val="24"/>
        </w:rPr>
        <w:t>的重要使用性能指标，</w:t>
      </w:r>
      <w:r>
        <w:rPr>
          <w:rFonts w:ascii="宋体" w:hAnsi="宋体" w:cs="黑体" w:hint="eastAsia"/>
          <w:sz w:val="24"/>
        </w:rPr>
        <w:t>施胶度不合格的课业簿册，</w:t>
      </w:r>
      <w:r w:rsidRPr="0084167E">
        <w:rPr>
          <w:rFonts w:ascii="宋体" w:hAnsi="宋体" w:cs="黑体" w:hint="eastAsia"/>
          <w:sz w:val="24"/>
        </w:rPr>
        <w:t>学生使用墨水笔书写作业时容易产生墨水渗透或扩散现象，严重时会造成文字模糊不清，难以辨认。</w:t>
      </w:r>
    </w:p>
    <w:p w:rsidR="00301526" w:rsidRPr="00561BA7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01D8A">
        <w:rPr>
          <w:rFonts w:ascii="宋体" w:hAnsi="宋体" w:hint="eastAsia"/>
          <w:sz w:val="24"/>
        </w:rPr>
        <w:t>本次</w:t>
      </w:r>
      <w:r w:rsidRPr="005A7B30">
        <w:rPr>
          <w:rFonts w:ascii="宋体" w:hAnsi="宋体" w:hint="eastAsia"/>
          <w:sz w:val="24"/>
        </w:rPr>
        <w:t>风险监测的学生用品（课业簿册）产品</w:t>
      </w:r>
      <w:r>
        <w:rPr>
          <w:rFonts w:ascii="宋体" w:hAnsi="宋体" w:hint="eastAsia"/>
          <w:sz w:val="24"/>
        </w:rPr>
        <w:t>中</w:t>
      </w:r>
      <w:r w:rsidRPr="00401D8A">
        <w:rPr>
          <w:rFonts w:ascii="宋体" w:hAnsi="宋体" w:hint="eastAsia"/>
          <w:sz w:val="24"/>
        </w:rPr>
        <w:t>共发现</w:t>
      </w:r>
      <w:r>
        <w:rPr>
          <w:rFonts w:ascii="宋体" w:hAnsi="宋体" w:hint="eastAsia"/>
          <w:sz w:val="24"/>
        </w:rPr>
        <w:t>内芯纸施胶度</w:t>
      </w:r>
      <w:r w:rsidRPr="00401D8A">
        <w:rPr>
          <w:rFonts w:ascii="宋体" w:hAnsi="宋体" w:hint="eastAsia"/>
          <w:sz w:val="24"/>
        </w:rPr>
        <w:t>项目</w:t>
      </w:r>
      <w:r>
        <w:rPr>
          <w:rFonts w:ascii="宋体" w:hAnsi="宋体" w:hint="eastAsia"/>
          <w:sz w:val="24"/>
        </w:rPr>
        <w:t>4</w:t>
      </w:r>
      <w:r w:rsidRPr="00401D8A">
        <w:rPr>
          <w:rFonts w:ascii="宋体" w:hAnsi="宋体" w:hint="eastAsia"/>
          <w:sz w:val="24"/>
        </w:rPr>
        <w:t>批次不合格，合格率为</w:t>
      </w:r>
      <w:r>
        <w:rPr>
          <w:rFonts w:ascii="宋体" w:hAnsi="宋体" w:hint="eastAsia"/>
          <w:sz w:val="24"/>
        </w:rPr>
        <w:t>93</w:t>
      </w:r>
      <w:r w:rsidRPr="00401D8A"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，</w:t>
      </w:r>
      <w:r w:rsidRPr="00765A49">
        <w:rPr>
          <w:rFonts w:ascii="宋体" w:hAnsi="宋体" w:cs="黑体" w:hint="eastAsia"/>
          <w:bCs/>
          <w:sz w:val="24"/>
        </w:rPr>
        <w:t>内芯纸施胶度不合格是因为纸张抗水性能较差，使用墨水划线器划线时产生墨水渗透和扩散现象。</w:t>
      </w:r>
      <w:r>
        <w:rPr>
          <w:rFonts w:ascii="宋体" w:hAnsi="宋体" w:cs="黑体" w:hint="eastAsia"/>
          <w:sz w:val="24"/>
        </w:rPr>
        <w:t>图1、图2所示为课业簿册施胶度不合格样品，图中线条为使用0.75mm宽度的墨水笔所划，风干后样品正面宽度扩散至1.25mm，背面发生渗透现象。</w:t>
      </w:r>
    </w:p>
    <w:p w:rsidR="00301526" w:rsidRDefault="00301526" w:rsidP="00FE1822">
      <w:pPr>
        <w:spacing w:beforeLines="50" w:afterLines="50" w:line="360" w:lineRule="auto"/>
        <w:ind w:firstLineChars="500" w:firstLine="1200"/>
        <w:rPr>
          <w:rFonts w:ascii="宋体" w:hAnsi="宋体" w:cs="黑体"/>
          <w:sz w:val="24"/>
        </w:rPr>
      </w:pPr>
      <w:r>
        <w:rPr>
          <w:rFonts w:ascii="宋体" w:hAnsi="宋体" w:cs="黑体"/>
          <w:noProof/>
          <w:sz w:val="24"/>
        </w:rPr>
        <w:drawing>
          <wp:inline distT="0" distB="0" distL="0" distR="0">
            <wp:extent cx="1628775" cy="2162175"/>
            <wp:effectExtent l="19050" t="0" r="9525" b="0"/>
            <wp:docPr id="91" name="图片 91" descr="P60505-18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60505-1850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黑体" w:hint="eastAsia"/>
          <w:sz w:val="24"/>
        </w:rPr>
        <w:t xml:space="preserve">         </w:t>
      </w:r>
      <w:r>
        <w:rPr>
          <w:noProof/>
        </w:rPr>
        <w:drawing>
          <wp:inline distT="0" distB="0" distL="0" distR="0">
            <wp:extent cx="1609725" cy="2162175"/>
            <wp:effectExtent l="19050" t="0" r="9525" b="0"/>
            <wp:docPr id="92" name="图片 92" descr="P60505-18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60505-18504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26" w:rsidRPr="00920D5D" w:rsidRDefault="00301526" w:rsidP="00FE1822">
      <w:pPr>
        <w:spacing w:beforeLines="50" w:afterLines="50" w:line="360" w:lineRule="auto"/>
        <w:ind w:firstLineChars="900" w:firstLine="1890"/>
        <w:rPr>
          <w:rFonts w:ascii="宋体" w:hAnsi="宋体" w:cs="黑体"/>
          <w:sz w:val="24"/>
        </w:rPr>
      </w:pPr>
      <w:r w:rsidRPr="00561BA7">
        <w:rPr>
          <w:rFonts w:ascii="宋体" w:hAnsi="宋体" w:cs="黑体" w:hint="eastAsia"/>
          <w:szCs w:val="21"/>
        </w:rPr>
        <w:t>图1</w:t>
      </w:r>
      <w:r>
        <w:rPr>
          <w:rFonts w:ascii="宋体" w:hAnsi="宋体" w:cs="黑体" w:hint="eastAsia"/>
          <w:szCs w:val="21"/>
        </w:rPr>
        <w:t xml:space="preserve"> </w:t>
      </w:r>
      <w:r w:rsidRPr="00561BA7">
        <w:rPr>
          <w:rFonts w:ascii="宋体" w:hAnsi="宋体" w:cs="黑体" w:hint="eastAsia"/>
          <w:szCs w:val="21"/>
        </w:rPr>
        <w:t>样品正面</w:t>
      </w:r>
      <w:r>
        <w:rPr>
          <w:rFonts w:ascii="宋体" w:hAnsi="宋体" w:cs="黑体" w:hint="eastAsia"/>
          <w:szCs w:val="21"/>
        </w:rPr>
        <w:t xml:space="preserve">                     图2 </w:t>
      </w:r>
      <w:r w:rsidRPr="00561BA7">
        <w:rPr>
          <w:rFonts w:ascii="宋体" w:hAnsi="宋体" w:cs="黑体" w:hint="eastAsia"/>
          <w:szCs w:val="21"/>
        </w:rPr>
        <w:t>样品背面</w:t>
      </w:r>
    </w:p>
    <w:p w:rsidR="00301526" w:rsidRPr="00FD6009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 w:cs="仿宋"/>
          <w:b/>
          <w:bCs/>
          <w:sz w:val="24"/>
        </w:rPr>
      </w:pPr>
      <w:r w:rsidRPr="00FD6009">
        <w:rPr>
          <w:rFonts w:ascii="宋体" w:hAnsi="宋体" w:cs="仿宋" w:hint="eastAsia"/>
          <w:b/>
          <w:bCs/>
          <w:sz w:val="24"/>
        </w:rPr>
        <w:t>（二）风险监测</w:t>
      </w:r>
      <w:r>
        <w:rPr>
          <w:rFonts w:ascii="宋体" w:hAnsi="宋体" w:cs="仿宋" w:hint="eastAsia"/>
          <w:b/>
          <w:bCs/>
          <w:sz w:val="24"/>
        </w:rPr>
        <w:t>项目</w:t>
      </w:r>
    </w:p>
    <w:p w:rsidR="00301526" w:rsidRPr="00FD6009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 w:cs="仿宋_GB2312"/>
          <w:b/>
          <w:sz w:val="24"/>
        </w:rPr>
      </w:pPr>
      <w:r w:rsidRPr="00FD6009">
        <w:rPr>
          <w:rFonts w:ascii="宋体" w:hAnsi="宋体" w:cs="仿宋_GB2312" w:hint="eastAsia"/>
          <w:b/>
          <w:sz w:val="24"/>
        </w:rPr>
        <w:t>1、</w:t>
      </w:r>
      <w:r w:rsidRPr="00002E7D">
        <w:rPr>
          <w:rFonts w:ascii="宋体" w:hAnsi="宋体" w:cs="仿宋_GB2312" w:hint="eastAsia"/>
          <w:b/>
          <w:sz w:val="24"/>
        </w:rPr>
        <w:t>溶剂残留量</w:t>
      </w:r>
    </w:p>
    <w:p w:rsidR="00301526" w:rsidRPr="00002E7D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7A94">
        <w:rPr>
          <w:rFonts w:ascii="宋体" w:hAnsi="宋体"/>
          <w:sz w:val="24"/>
        </w:rPr>
        <w:t>溶剂残留量包括溶剂残留总量及</w:t>
      </w:r>
      <w:r w:rsidRPr="00A57A94">
        <w:rPr>
          <w:rFonts w:ascii="宋体" w:hAnsi="宋体" w:hint="eastAsia"/>
          <w:sz w:val="24"/>
        </w:rPr>
        <w:t>苯类溶剂残留量，</w:t>
      </w:r>
      <w:r w:rsidRPr="00A57A94">
        <w:rPr>
          <w:rFonts w:ascii="宋体" w:hAnsi="宋体"/>
          <w:sz w:val="24"/>
        </w:rPr>
        <w:t>主要包括苯、甲苯、二甲苯、</w:t>
      </w:r>
      <w:r w:rsidRPr="00A57A94">
        <w:rPr>
          <w:rFonts w:ascii="宋体" w:hAnsi="宋体" w:hint="eastAsia"/>
          <w:sz w:val="24"/>
        </w:rPr>
        <w:t>乙苯、乙醇、丙酮、异丙醇、丁酮、乙酸乙酯、乙酸丁酯</w:t>
      </w:r>
      <w:r w:rsidRPr="00A57A94">
        <w:rPr>
          <w:rFonts w:ascii="宋体" w:hAnsi="宋体"/>
          <w:sz w:val="24"/>
        </w:rPr>
        <w:t>等</w:t>
      </w:r>
      <w:r w:rsidRPr="00A57A94">
        <w:rPr>
          <w:rFonts w:ascii="宋体" w:hAnsi="宋体" w:hint="eastAsia"/>
          <w:sz w:val="24"/>
        </w:rPr>
        <w:t>。</w:t>
      </w:r>
      <w:r w:rsidRPr="00002E7D">
        <w:rPr>
          <w:rFonts w:ascii="宋体" w:hAnsi="宋体"/>
          <w:sz w:val="24"/>
        </w:rPr>
        <w:t>残留溶剂大部分为有毒有害化学物质，</w:t>
      </w:r>
      <w:r w:rsidRPr="00002E7D">
        <w:rPr>
          <w:rFonts w:ascii="宋体" w:hAnsi="宋体" w:hint="eastAsia"/>
          <w:sz w:val="24"/>
        </w:rPr>
        <w:t>虽然</w:t>
      </w:r>
      <w:r w:rsidRPr="00002E7D">
        <w:rPr>
          <w:rFonts w:ascii="宋体" w:hAnsi="宋体"/>
          <w:sz w:val="24"/>
        </w:rPr>
        <w:t>目前</w:t>
      </w:r>
      <w:r>
        <w:rPr>
          <w:rFonts w:ascii="宋体" w:hAnsi="宋体" w:hint="eastAsia"/>
          <w:sz w:val="24"/>
        </w:rPr>
        <w:t>产品标准</w:t>
      </w:r>
      <w:r w:rsidRPr="00002E7D">
        <w:rPr>
          <w:rFonts w:ascii="宋体" w:hAnsi="宋体"/>
          <w:sz w:val="24"/>
        </w:rPr>
        <w:t>对该项目没有限量值</w:t>
      </w:r>
      <w:r w:rsidRPr="00002E7D">
        <w:rPr>
          <w:rFonts w:ascii="宋体" w:hAnsi="宋体" w:hint="eastAsia"/>
          <w:sz w:val="24"/>
        </w:rPr>
        <w:t>要求，但</w:t>
      </w:r>
      <w:r>
        <w:rPr>
          <w:rFonts w:ascii="宋体" w:hAnsi="宋体" w:hint="eastAsia"/>
          <w:sz w:val="24"/>
        </w:rPr>
        <w:t>课业簿册</w:t>
      </w:r>
      <w:r w:rsidRPr="00002E7D">
        <w:rPr>
          <w:rFonts w:ascii="宋体" w:hAnsi="宋体"/>
          <w:sz w:val="24"/>
        </w:rPr>
        <w:t>是</w:t>
      </w:r>
      <w:r>
        <w:rPr>
          <w:rFonts w:ascii="宋体" w:hAnsi="宋体" w:hint="eastAsia"/>
          <w:sz w:val="24"/>
        </w:rPr>
        <w:t>学生</w:t>
      </w:r>
      <w:r w:rsidRPr="00002E7D">
        <w:rPr>
          <w:rFonts w:ascii="宋体" w:hAnsi="宋体"/>
          <w:sz w:val="24"/>
        </w:rPr>
        <w:t>常用的</w:t>
      </w:r>
      <w:r>
        <w:rPr>
          <w:rFonts w:ascii="宋体" w:hAnsi="宋体" w:hint="eastAsia"/>
          <w:sz w:val="24"/>
        </w:rPr>
        <w:t>学习用品</w:t>
      </w:r>
      <w:r w:rsidRPr="00002E7D">
        <w:rPr>
          <w:rFonts w:ascii="宋体" w:hAnsi="宋体"/>
          <w:sz w:val="24"/>
        </w:rPr>
        <w:t>，直接与身体接触，这些化学物质</w:t>
      </w:r>
      <w:r>
        <w:rPr>
          <w:rFonts w:ascii="宋体" w:hAnsi="宋体" w:hint="eastAsia"/>
          <w:sz w:val="24"/>
        </w:rPr>
        <w:t>可能</w:t>
      </w:r>
      <w:r w:rsidRPr="00002E7D"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学生</w:t>
      </w:r>
      <w:r>
        <w:rPr>
          <w:rFonts w:ascii="宋体" w:hAnsi="宋体"/>
          <w:sz w:val="24"/>
        </w:rPr>
        <w:t>的身体产生危害，关系</w:t>
      </w:r>
      <w:r>
        <w:rPr>
          <w:rFonts w:ascii="宋体" w:hAnsi="宋体" w:hint="eastAsia"/>
          <w:sz w:val="24"/>
        </w:rPr>
        <w:t>着学生</w:t>
      </w:r>
      <w:r>
        <w:rPr>
          <w:rFonts w:ascii="宋体" w:hAnsi="宋体"/>
          <w:sz w:val="24"/>
        </w:rPr>
        <w:t>的身体健康及生长发育</w:t>
      </w:r>
      <w:r w:rsidRPr="00002E7D">
        <w:rPr>
          <w:rFonts w:ascii="宋体" w:hAnsi="宋体"/>
          <w:sz w:val="24"/>
        </w:rPr>
        <w:t>。</w:t>
      </w:r>
    </w:p>
    <w:p w:rsidR="00301526" w:rsidRPr="00B82132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2E7D">
        <w:rPr>
          <w:rFonts w:ascii="宋体" w:hAnsi="宋体" w:hint="eastAsia"/>
          <w:sz w:val="24"/>
        </w:rPr>
        <w:t>本次</w:t>
      </w:r>
      <w:r>
        <w:rPr>
          <w:rFonts w:ascii="宋体" w:hAnsi="宋体" w:hint="eastAsia"/>
          <w:sz w:val="24"/>
        </w:rPr>
        <w:t>学生用品（课业簿册</w:t>
      </w:r>
      <w:r w:rsidRPr="00002E7D">
        <w:rPr>
          <w:rFonts w:ascii="宋体" w:hAnsi="宋体" w:hint="eastAsia"/>
          <w:sz w:val="24"/>
        </w:rPr>
        <w:t>）风险监测结果表明，</w:t>
      </w:r>
      <w:r>
        <w:rPr>
          <w:rFonts w:ascii="宋体" w:hAnsi="宋体" w:hint="eastAsia"/>
          <w:sz w:val="24"/>
        </w:rPr>
        <w:t>6</w:t>
      </w:r>
      <w:r w:rsidRPr="00002E7D">
        <w:rPr>
          <w:rFonts w:ascii="宋体" w:hAnsi="宋体" w:hint="eastAsia"/>
          <w:sz w:val="24"/>
        </w:rPr>
        <w:t>0批次中有</w:t>
      </w:r>
      <w:r>
        <w:rPr>
          <w:rFonts w:ascii="宋体" w:hAnsi="宋体" w:hint="eastAsia"/>
          <w:sz w:val="24"/>
        </w:rPr>
        <w:t>2</w:t>
      </w:r>
      <w:r w:rsidRPr="00002E7D">
        <w:rPr>
          <w:rFonts w:ascii="宋体" w:hAnsi="宋体" w:hint="eastAsia"/>
          <w:sz w:val="24"/>
        </w:rPr>
        <w:t>批次检出溶剂残留总量</w:t>
      </w:r>
      <w:r>
        <w:rPr>
          <w:rFonts w:ascii="宋体" w:hAnsi="宋体" w:hint="eastAsia"/>
          <w:sz w:val="24"/>
        </w:rPr>
        <w:t>，检出率3%，苯类溶剂残留均未检出。</w:t>
      </w:r>
      <w:r w:rsidRPr="00002E7D">
        <w:rPr>
          <w:rFonts w:ascii="宋体" w:hAnsi="宋体"/>
          <w:sz w:val="24"/>
        </w:rPr>
        <w:t>溶剂残留主要源于生产过程中使用的有机溶剂，</w:t>
      </w:r>
      <w:r w:rsidRPr="00002E7D">
        <w:rPr>
          <w:rFonts w:ascii="宋体" w:hAnsi="宋体" w:hint="eastAsia"/>
          <w:sz w:val="24"/>
        </w:rPr>
        <w:t>如印刷过程中的油墨、润版液、印机清洗液</w:t>
      </w:r>
      <w:r>
        <w:rPr>
          <w:rFonts w:ascii="宋体" w:hAnsi="宋体" w:hint="eastAsia"/>
          <w:sz w:val="24"/>
        </w:rPr>
        <w:t>等</w:t>
      </w:r>
      <w:r w:rsidRPr="00002E7D">
        <w:rPr>
          <w:rFonts w:ascii="宋体" w:hAnsi="宋体" w:hint="eastAsia"/>
          <w:sz w:val="24"/>
        </w:rPr>
        <w:t>均可造成残留。</w:t>
      </w:r>
      <w:r>
        <w:rPr>
          <w:rFonts w:ascii="宋体" w:hAnsi="宋体" w:hint="eastAsia"/>
          <w:sz w:val="24"/>
        </w:rPr>
        <w:t>参照</w:t>
      </w:r>
      <w:r w:rsidRPr="00FD6009">
        <w:rPr>
          <w:rFonts w:ascii="宋体" w:hAnsi="宋体" w:hint="eastAsia"/>
          <w:sz w:val="24"/>
        </w:rPr>
        <w:t>GB/T 10004</w:t>
      </w:r>
      <w:r>
        <w:rPr>
          <w:rFonts w:ascii="宋体" w:hAnsi="宋体" w:hint="eastAsia"/>
          <w:sz w:val="24"/>
        </w:rPr>
        <w:t>标准，标准中要求溶剂残留总量≤5.0mg/</w:t>
      </w:r>
      <w:r w:rsidRPr="00252343">
        <w:rPr>
          <w:rFonts w:ascii="宋体" w:hAnsi="宋体"/>
          <w:sz w:val="24"/>
        </w:rPr>
        <w:t>m</w:t>
      </w:r>
      <w:r w:rsidRPr="00252343">
        <w:rPr>
          <w:rFonts w:ascii="宋体" w:hAnsi="宋体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,其中苯类溶剂不得检出。本次风险监测中2批检出的溶剂残留总量值均较低，最大为0.03</w:t>
      </w:r>
      <w:r w:rsidRPr="00252343">
        <w:rPr>
          <w:rFonts w:ascii="宋体" w:hAnsi="宋体"/>
          <w:sz w:val="24"/>
        </w:rPr>
        <w:t>mg/m</w:t>
      </w:r>
      <w:r w:rsidRPr="00252343">
        <w:rPr>
          <w:rFonts w:ascii="宋体" w:hAnsi="宋体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。</w:t>
      </w:r>
    </w:p>
    <w:p w:rsidR="00301526" w:rsidRDefault="00301526" w:rsidP="00301526">
      <w:pPr>
        <w:adjustRightInd w:val="0"/>
        <w:snapToGrid w:val="0"/>
        <w:spacing w:line="360" w:lineRule="auto"/>
        <w:ind w:firstLineChars="196" w:firstLine="472"/>
        <w:rPr>
          <w:rFonts w:ascii="宋体" w:hAnsi="宋体" w:cs="黑体"/>
          <w:b/>
          <w:sz w:val="24"/>
        </w:rPr>
      </w:pPr>
      <w:r w:rsidRPr="00FD6009">
        <w:rPr>
          <w:rFonts w:ascii="宋体" w:hAnsi="宋体" w:cs="黑体" w:hint="eastAsia"/>
          <w:b/>
          <w:sz w:val="24"/>
        </w:rPr>
        <w:t>2、</w:t>
      </w:r>
      <w:r>
        <w:rPr>
          <w:rFonts w:ascii="宋体" w:hAnsi="宋体" w:cs="黑体" w:hint="eastAsia"/>
          <w:b/>
          <w:sz w:val="24"/>
        </w:rPr>
        <w:t>荧光性物质</w:t>
      </w:r>
    </w:p>
    <w:p w:rsidR="00301526" w:rsidRDefault="00301526" w:rsidP="00301526">
      <w:pPr>
        <w:adjustRightInd w:val="0"/>
        <w:snapToGrid w:val="0"/>
        <w:spacing w:line="360" w:lineRule="auto"/>
        <w:ind w:firstLineChars="196" w:firstLine="470"/>
        <w:rPr>
          <w:rFonts w:ascii="宋体" w:hAnsi="宋体" w:cs="黑体"/>
          <w:sz w:val="24"/>
        </w:rPr>
      </w:pPr>
      <w:r>
        <w:rPr>
          <w:rFonts w:ascii="宋体" w:hAnsi="宋体" w:cs="黑体" w:hint="eastAsia"/>
          <w:sz w:val="24"/>
        </w:rPr>
        <w:t>目前的相关标准中对</w:t>
      </w:r>
      <w:r w:rsidRPr="00F07818">
        <w:rPr>
          <w:rFonts w:ascii="宋体" w:hAnsi="宋体" w:cs="黑体" w:hint="eastAsia"/>
          <w:sz w:val="24"/>
        </w:rPr>
        <w:t>学生长期使用</w:t>
      </w:r>
      <w:r>
        <w:rPr>
          <w:rFonts w:ascii="宋体" w:hAnsi="宋体" w:cs="黑体" w:hint="eastAsia"/>
          <w:sz w:val="24"/>
        </w:rPr>
        <w:t>接触的课业簿册并</w:t>
      </w:r>
      <w:r w:rsidRPr="00F07818">
        <w:rPr>
          <w:rFonts w:ascii="宋体" w:hAnsi="宋体" w:cs="黑体" w:hint="eastAsia"/>
          <w:sz w:val="24"/>
        </w:rPr>
        <w:t>无</w:t>
      </w:r>
      <w:r>
        <w:rPr>
          <w:rFonts w:ascii="宋体" w:hAnsi="宋体" w:cs="黑体" w:hint="eastAsia"/>
          <w:sz w:val="24"/>
        </w:rPr>
        <w:t>荧光性物质方面的</w:t>
      </w:r>
      <w:r w:rsidRPr="00F07818">
        <w:rPr>
          <w:rFonts w:ascii="宋体" w:hAnsi="宋体" w:cs="黑体" w:hint="eastAsia"/>
          <w:sz w:val="24"/>
        </w:rPr>
        <w:t>要求</w:t>
      </w:r>
      <w:r>
        <w:rPr>
          <w:rFonts w:ascii="宋体" w:hAnsi="宋体" w:cs="黑体" w:hint="eastAsia"/>
          <w:sz w:val="24"/>
        </w:rPr>
        <w:t>，本次风险监测项目参照GB/T 20808等标准，对课业簿册封面及内芯进行了荧光性物质的定性检测，分别在254nm波长和365nm波长的紫外灯下观察样品是否有荧光现象。</w:t>
      </w:r>
      <w:r w:rsidRPr="00002E7D">
        <w:rPr>
          <w:rFonts w:ascii="宋体" w:hAnsi="宋体" w:cs="黑体"/>
          <w:sz w:val="24"/>
        </w:rPr>
        <w:t>学生在长期使用</w:t>
      </w:r>
      <w:r>
        <w:rPr>
          <w:rFonts w:ascii="宋体" w:hAnsi="宋体" w:cs="黑体" w:hint="eastAsia"/>
          <w:sz w:val="24"/>
        </w:rPr>
        <w:t>课业簿册</w:t>
      </w:r>
      <w:r w:rsidRPr="00002E7D">
        <w:rPr>
          <w:rFonts w:ascii="宋体" w:hAnsi="宋体" w:cs="黑体"/>
          <w:sz w:val="24"/>
        </w:rPr>
        <w:t>的过程中，手部皮肤经常与</w:t>
      </w:r>
      <w:r>
        <w:rPr>
          <w:rFonts w:ascii="宋体" w:hAnsi="宋体" w:cs="黑体" w:hint="eastAsia"/>
          <w:sz w:val="24"/>
        </w:rPr>
        <w:t>簿册</w:t>
      </w:r>
      <w:r w:rsidRPr="00002E7D">
        <w:rPr>
          <w:rFonts w:ascii="宋体" w:hAnsi="宋体" w:cs="黑体"/>
          <w:sz w:val="24"/>
        </w:rPr>
        <w:t>纸张接触，</w:t>
      </w:r>
      <w:r>
        <w:rPr>
          <w:rFonts w:ascii="宋体" w:hAnsi="宋体" w:cs="黑体" w:hint="eastAsia"/>
          <w:sz w:val="24"/>
        </w:rPr>
        <w:t>如存在荧光性增白剂，可能会迁移至</w:t>
      </w:r>
      <w:r w:rsidRPr="00002E7D">
        <w:rPr>
          <w:rFonts w:ascii="宋体" w:hAnsi="宋体" w:cs="黑体"/>
          <w:sz w:val="24"/>
        </w:rPr>
        <w:t>学生</w:t>
      </w:r>
      <w:r>
        <w:rPr>
          <w:rFonts w:ascii="宋体" w:hAnsi="宋体" w:cs="黑体" w:hint="eastAsia"/>
          <w:sz w:val="24"/>
        </w:rPr>
        <w:t>体内，对学生</w:t>
      </w:r>
      <w:r>
        <w:rPr>
          <w:rFonts w:ascii="宋体" w:hAnsi="宋体" w:cs="黑体"/>
          <w:sz w:val="24"/>
        </w:rPr>
        <w:t>身体健康不利</w:t>
      </w:r>
      <w:r w:rsidRPr="00002E7D">
        <w:rPr>
          <w:rFonts w:ascii="宋体" w:hAnsi="宋体" w:cs="黑体"/>
          <w:sz w:val="24"/>
        </w:rPr>
        <w:t>。</w:t>
      </w:r>
    </w:p>
    <w:p w:rsidR="00301526" w:rsidRDefault="00301526" w:rsidP="00301526">
      <w:pPr>
        <w:adjustRightInd w:val="0"/>
        <w:snapToGrid w:val="0"/>
        <w:spacing w:line="360" w:lineRule="auto"/>
        <w:ind w:firstLineChars="196" w:firstLine="470"/>
        <w:rPr>
          <w:rFonts w:ascii="宋体" w:hAnsi="宋体" w:cs="黑体"/>
          <w:sz w:val="24"/>
        </w:rPr>
      </w:pPr>
      <w:r w:rsidRPr="00AB5529">
        <w:rPr>
          <w:rFonts w:ascii="宋体" w:hAnsi="宋体" w:cs="黑体" w:hint="eastAsia"/>
          <w:sz w:val="24"/>
        </w:rPr>
        <w:t>本次</w:t>
      </w:r>
      <w:r>
        <w:rPr>
          <w:rFonts w:ascii="宋体" w:hAnsi="宋体" w:cs="黑体" w:hint="eastAsia"/>
          <w:sz w:val="24"/>
        </w:rPr>
        <w:t>风险监测项目</w:t>
      </w:r>
      <w:r w:rsidRPr="00AB5529">
        <w:rPr>
          <w:rFonts w:ascii="宋体" w:hAnsi="宋体" w:cs="黑体" w:hint="eastAsia"/>
          <w:sz w:val="24"/>
        </w:rPr>
        <w:t>中有56批次检出荧光性物质，检出率为93%</w:t>
      </w:r>
      <w:r>
        <w:rPr>
          <w:rFonts w:ascii="宋体" w:hAnsi="宋体" w:cs="黑体" w:hint="eastAsia"/>
          <w:sz w:val="24"/>
        </w:rPr>
        <w:t>，</w:t>
      </w:r>
      <w:r w:rsidRPr="00AB5529">
        <w:rPr>
          <w:rFonts w:ascii="宋体" w:hAnsi="宋体" w:cs="黑体" w:hint="eastAsia"/>
          <w:sz w:val="24"/>
        </w:rPr>
        <w:t>其中39批封面</w:t>
      </w:r>
      <w:r>
        <w:rPr>
          <w:rFonts w:ascii="宋体" w:hAnsi="宋体" w:cs="黑体" w:hint="eastAsia"/>
          <w:sz w:val="24"/>
        </w:rPr>
        <w:t>检出</w:t>
      </w:r>
      <w:r w:rsidRPr="00AB5529">
        <w:rPr>
          <w:rFonts w:ascii="宋体" w:hAnsi="宋体" w:cs="黑体" w:hint="eastAsia"/>
          <w:sz w:val="24"/>
        </w:rPr>
        <w:t>荧光性物质，检出率65%；40批内芯纸</w:t>
      </w:r>
      <w:r>
        <w:rPr>
          <w:rFonts w:ascii="宋体" w:hAnsi="宋体" w:cs="黑体" w:hint="eastAsia"/>
          <w:sz w:val="24"/>
        </w:rPr>
        <w:t>检出</w:t>
      </w:r>
      <w:r w:rsidRPr="00AB5529">
        <w:rPr>
          <w:rFonts w:ascii="宋体" w:hAnsi="宋体" w:cs="黑体" w:hint="eastAsia"/>
          <w:sz w:val="24"/>
        </w:rPr>
        <w:t>荧光性物质，检出率67%</w:t>
      </w:r>
      <w:r>
        <w:rPr>
          <w:rFonts w:ascii="宋体" w:hAnsi="宋体" w:cs="黑体" w:hint="eastAsia"/>
          <w:sz w:val="24"/>
        </w:rPr>
        <w:t>。荧光增白剂可提高纸张白度，企业为了使其生产的纸制产品更加亮白、美观，往往会添加一定量的荧光增白剂。图3</w:t>
      </w:r>
      <w:r w:rsidRPr="00F256D9">
        <w:rPr>
          <w:rFonts w:ascii="宋体" w:hAnsi="宋体" w:cs="黑体" w:hint="eastAsia"/>
          <w:sz w:val="24"/>
        </w:rPr>
        <w:t>所示为检出内芯纸有荧光性物质的样品。</w:t>
      </w:r>
    </w:p>
    <w:p w:rsidR="00301526" w:rsidRDefault="00301526" w:rsidP="00301526">
      <w:pPr>
        <w:adjustRightInd w:val="0"/>
        <w:snapToGrid w:val="0"/>
        <w:spacing w:line="360" w:lineRule="auto"/>
        <w:ind w:firstLineChars="196" w:firstLine="470"/>
        <w:rPr>
          <w:rFonts w:ascii="宋体" w:hAnsi="宋体" w:cs="黑体"/>
          <w:sz w:val="24"/>
        </w:rPr>
      </w:pPr>
      <w:r>
        <w:rPr>
          <w:rFonts w:ascii="宋体" w:hAnsi="宋体" w:cs="黑体"/>
          <w:noProof/>
          <w:sz w:val="24"/>
        </w:rPr>
        <w:drawing>
          <wp:inline distT="0" distB="0" distL="0" distR="0">
            <wp:extent cx="1628775" cy="2162175"/>
            <wp:effectExtent l="19050" t="0" r="9525" b="0"/>
            <wp:docPr id="10" name="图片 201" descr="P60427-14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P60427-14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黑体"/>
          <w:noProof/>
          <w:sz w:val="24"/>
        </w:rPr>
        <w:drawing>
          <wp:inline distT="0" distB="0" distL="0" distR="0">
            <wp:extent cx="1628775" cy="2162175"/>
            <wp:effectExtent l="19050" t="0" r="9525" b="0"/>
            <wp:docPr id="202" name="图片 202" descr="P60427-14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60427-1446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81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宋体" w:hAnsi="宋体" w:cs="黑体"/>
          <w:noProof/>
          <w:sz w:val="24"/>
        </w:rPr>
        <w:drawing>
          <wp:inline distT="0" distB="0" distL="0" distR="0">
            <wp:extent cx="1628775" cy="2162175"/>
            <wp:effectExtent l="19050" t="0" r="9525" b="0"/>
            <wp:docPr id="8" name="图片 203" descr="P60427-14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P60427-1446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26" w:rsidRDefault="00301526" w:rsidP="00FE1822">
      <w:pPr>
        <w:adjustRightInd w:val="0"/>
        <w:snapToGrid w:val="0"/>
        <w:spacing w:beforeLines="50" w:afterLines="50" w:line="360" w:lineRule="auto"/>
        <w:ind w:firstLineChars="596" w:firstLine="1252"/>
        <w:rPr>
          <w:rFonts w:ascii="宋体" w:hAnsi="宋体" w:cs="黑体"/>
          <w:szCs w:val="21"/>
        </w:rPr>
      </w:pPr>
      <w:r w:rsidRPr="00F07818">
        <w:rPr>
          <w:rFonts w:ascii="宋体" w:hAnsi="宋体" w:cs="黑体" w:hint="eastAsia"/>
          <w:szCs w:val="21"/>
        </w:rPr>
        <w:t>自然光              254nm紫外灯             365nm紫外灯</w:t>
      </w:r>
    </w:p>
    <w:p w:rsidR="00301526" w:rsidRPr="00B16889" w:rsidRDefault="00301526" w:rsidP="00301526">
      <w:pPr>
        <w:adjustRightInd w:val="0"/>
        <w:snapToGrid w:val="0"/>
        <w:spacing w:line="360" w:lineRule="auto"/>
        <w:ind w:firstLineChars="1196" w:firstLine="2512"/>
        <w:rPr>
          <w:rFonts w:ascii="宋体" w:hAnsi="宋体" w:cs="黑体"/>
          <w:szCs w:val="21"/>
        </w:rPr>
      </w:pPr>
      <w:r w:rsidRPr="00F07818">
        <w:rPr>
          <w:rFonts w:ascii="宋体" w:hAnsi="宋体" w:cs="黑体" w:hint="eastAsia"/>
          <w:szCs w:val="21"/>
        </w:rPr>
        <w:t>图3</w:t>
      </w:r>
      <w:r>
        <w:rPr>
          <w:rFonts w:ascii="宋体" w:hAnsi="宋体" w:cs="黑体" w:hint="eastAsia"/>
          <w:szCs w:val="21"/>
        </w:rPr>
        <w:t xml:space="preserve"> </w:t>
      </w:r>
      <w:r w:rsidRPr="00B16889">
        <w:rPr>
          <w:rFonts w:ascii="宋体" w:hAnsi="宋体" w:cs="黑体" w:hint="eastAsia"/>
          <w:szCs w:val="21"/>
        </w:rPr>
        <w:t>封面无荧光现象、内芯有荧光现象</w:t>
      </w:r>
      <w:r>
        <w:rPr>
          <w:rFonts w:ascii="宋体" w:hAnsi="宋体" w:cs="黑体" w:hint="eastAsia"/>
          <w:szCs w:val="21"/>
        </w:rPr>
        <w:t>的样品</w:t>
      </w:r>
    </w:p>
    <w:p w:rsidR="00301526" w:rsidRDefault="00301526" w:rsidP="00301526">
      <w:pPr>
        <w:spacing w:line="360" w:lineRule="auto"/>
        <w:ind w:firstLineChars="200" w:firstLine="482"/>
        <w:rPr>
          <w:rFonts w:ascii="宋体" w:hAnsi="宋体" w:cs="黑体"/>
          <w:b/>
          <w:sz w:val="24"/>
        </w:rPr>
      </w:pPr>
    </w:p>
    <w:p w:rsidR="00301526" w:rsidRPr="00FD6009" w:rsidRDefault="00301526" w:rsidP="00301526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FD6009">
        <w:rPr>
          <w:rFonts w:ascii="宋体" w:hAnsi="宋体" w:cs="黑体" w:hint="eastAsia"/>
          <w:b/>
          <w:sz w:val="24"/>
        </w:rPr>
        <w:t>四、消费提示</w:t>
      </w:r>
    </w:p>
    <w:p w:rsidR="00301526" w:rsidRPr="00E5284D" w:rsidRDefault="00301526" w:rsidP="00301526">
      <w:pPr>
        <w:widowControl/>
        <w:spacing w:line="360" w:lineRule="auto"/>
        <w:ind w:firstLineChars="250" w:firstLine="600"/>
        <w:jc w:val="left"/>
        <w:rPr>
          <w:rFonts w:ascii="宋体" w:hAnsi="宋体"/>
          <w:sz w:val="24"/>
        </w:rPr>
      </w:pPr>
      <w:r w:rsidRPr="00E5284D">
        <w:rPr>
          <w:rFonts w:ascii="宋体" w:hAnsi="宋体" w:hint="eastAsia"/>
          <w:sz w:val="24"/>
        </w:rPr>
        <w:t>通过本次风险监测</w:t>
      </w:r>
      <w:r>
        <w:rPr>
          <w:rFonts w:ascii="宋体" w:hAnsi="宋体" w:hint="eastAsia"/>
          <w:sz w:val="24"/>
        </w:rPr>
        <w:t>发现</w:t>
      </w:r>
      <w:r w:rsidRPr="00E5284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本地企业生产的课业簿册合格率最高，同时</w:t>
      </w:r>
      <w:r w:rsidRPr="00E5284D">
        <w:rPr>
          <w:rFonts w:ascii="宋体" w:hAnsi="宋体" w:hint="eastAsia"/>
          <w:sz w:val="24"/>
        </w:rPr>
        <w:t>提醒消费者在购买</w:t>
      </w:r>
      <w:r>
        <w:rPr>
          <w:rFonts w:ascii="宋体" w:hAnsi="宋体" w:hint="eastAsia"/>
          <w:sz w:val="24"/>
        </w:rPr>
        <w:t>课业簿册</w:t>
      </w:r>
      <w:r w:rsidRPr="00E5284D">
        <w:rPr>
          <w:rFonts w:ascii="宋体" w:hAnsi="宋体" w:hint="eastAsia"/>
          <w:sz w:val="24"/>
        </w:rPr>
        <w:t>时，应注意以下事项：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DA64D9">
        <w:rPr>
          <w:rFonts w:ascii="宋体" w:hAnsi="宋体" w:hint="eastAsia"/>
          <w:sz w:val="24"/>
        </w:rPr>
        <w:t>、应选购印刷质量较好，封面图案文字和内芯印划线清晰完整、不歪斜，无断线、破页、白页和印刷脏迹的</w:t>
      </w:r>
      <w:r>
        <w:rPr>
          <w:rFonts w:ascii="宋体" w:hAnsi="宋体" w:hint="eastAsia"/>
          <w:sz w:val="24"/>
        </w:rPr>
        <w:t>课业簿册</w:t>
      </w:r>
      <w:r w:rsidRPr="00DA64D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选购时可</w:t>
      </w:r>
      <w:r w:rsidRPr="00DA64D9">
        <w:rPr>
          <w:rFonts w:ascii="宋体" w:hAnsi="宋体" w:hint="eastAsia"/>
          <w:sz w:val="24"/>
        </w:rPr>
        <w:t>迎光观察内芯</w:t>
      </w:r>
      <w:r>
        <w:rPr>
          <w:rFonts w:ascii="宋体" w:hAnsi="宋体" w:hint="eastAsia"/>
          <w:sz w:val="24"/>
        </w:rPr>
        <w:t>纸</w:t>
      </w:r>
      <w:r w:rsidRPr="00DA64D9">
        <w:rPr>
          <w:rFonts w:ascii="宋体" w:hAnsi="宋体" w:hint="eastAsia"/>
          <w:sz w:val="24"/>
        </w:rPr>
        <w:t>，两面对线偏差不明显</w:t>
      </w:r>
      <w:r>
        <w:rPr>
          <w:rFonts w:ascii="宋体" w:hAnsi="宋体" w:hint="eastAsia"/>
          <w:sz w:val="24"/>
        </w:rPr>
        <w:t>的簿册相对较好</w:t>
      </w:r>
      <w:r w:rsidRPr="00DA64D9">
        <w:rPr>
          <w:rFonts w:ascii="宋体" w:hAnsi="宋体" w:hint="eastAsia"/>
          <w:sz w:val="24"/>
        </w:rPr>
        <w:t>。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2、购买时尽量挑选纸张较厚，定量较大的课业簿册，这样</w:t>
      </w:r>
      <w:r w:rsidRPr="00F865F0">
        <w:rPr>
          <w:rFonts w:ascii="宋体" w:hAnsi="宋体" w:hint="eastAsia"/>
          <w:sz w:val="24"/>
        </w:rPr>
        <w:t>的纸张在学生书写时不容易造成纸张破页。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DA64D9">
        <w:rPr>
          <w:rFonts w:ascii="宋体" w:hAnsi="宋体" w:hint="eastAsia"/>
          <w:sz w:val="24"/>
        </w:rPr>
        <w:t>内芯纸张应具有较好的施胶度，书写时不会出现墨水渗透或扩散现象，否则易造成字迹模糊，甚至难以辨认，直接影响使用。</w:t>
      </w:r>
      <w:r>
        <w:rPr>
          <w:rFonts w:ascii="宋体" w:hAnsi="宋体" w:hint="eastAsia"/>
          <w:sz w:val="24"/>
        </w:rPr>
        <w:t>辨别时可用墨水笔在簿册内芯纸上划一条线，发现快速扩散、背页渗透的慎重购买。</w:t>
      </w:r>
    </w:p>
    <w:p w:rsidR="00301526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DA64D9">
        <w:rPr>
          <w:rFonts w:ascii="宋体" w:hAnsi="宋体" w:hint="eastAsia"/>
          <w:sz w:val="24"/>
        </w:rPr>
        <w:t>、优先选购内芯纸张白度不高、色调柔和的</w:t>
      </w:r>
      <w:r>
        <w:rPr>
          <w:rFonts w:ascii="宋体" w:hAnsi="宋体" w:hint="eastAsia"/>
          <w:sz w:val="24"/>
        </w:rPr>
        <w:t>课业簿册</w:t>
      </w:r>
      <w:r w:rsidRPr="00DA64D9">
        <w:rPr>
          <w:rFonts w:ascii="宋体" w:hAnsi="宋体" w:hint="eastAsia"/>
          <w:sz w:val="24"/>
        </w:rPr>
        <w:t>，白度高不等于质量就好，反而可能代表荧光增白剂含量高。由于</w:t>
      </w:r>
      <w:r>
        <w:rPr>
          <w:rFonts w:ascii="宋体" w:hAnsi="宋体" w:hint="eastAsia"/>
          <w:sz w:val="24"/>
        </w:rPr>
        <w:t>课业簿册</w:t>
      </w:r>
      <w:r w:rsidRPr="00DA64D9">
        <w:rPr>
          <w:rFonts w:ascii="宋体" w:hAnsi="宋体" w:hint="eastAsia"/>
          <w:sz w:val="24"/>
        </w:rPr>
        <w:t>每天都要使用，学生长时间盯着高白度的纸张，长期如此有可能对其视力健康造成不利影响。</w:t>
      </w:r>
    </w:p>
    <w:p w:rsidR="00301526" w:rsidRPr="00DA64D9" w:rsidRDefault="00301526" w:rsidP="0030152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01526" w:rsidRPr="00D72467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Default="00301526" w:rsidP="00301526"/>
    <w:p w:rsidR="00301526" w:rsidRPr="00D72467" w:rsidRDefault="00301526" w:rsidP="00301526"/>
    <w:p w:rsidR="009564DA" w:rsidRPr="00301526" w:rsidRDefault="009564DA"/>
    <w:sectPr w:rsidR="009564DA" w:rsidRPr="00301526" w:rsidSect="00FE182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33A" w:rsidRDefault="006C433A" w:rsidP="00FE1822">
      <w:r>
        <w:separator/>
      </w:r>
    </w:p>
  </w:endnote>
  <w:endnote w:type="continuationSeparator" w:id="1">
    <w:p w:rsidR="006C433A" w:rsidRDefault="006C433A" w:rsidP="00FE1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utch801 Rm BT">
    <w:altName w:val="Times New Roman"/>
    <w:charset w:val="00"/>
    <w:family w:val="roman"/>
    <w:pitch w:val="default"/>
    <w:sig w:usb0="00000087" w:usb1="00000000" w:usb2="00000000" w:usb3="00000000" w:csb0="0000001B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5E6" w:rsidRDefault="00301526" w:rsidP="00EB6FBE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FE182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E1822">
      <w:rPr>
        <w:kern w:val="0"/>
        <w:szCs w:val="21"/>
      </w:rPr>
      <w:fldChar w:fldCharType="separate"/>
    </w:r>
    <w:r w:rsidR="00FF62E1">
      <w:rPr>
        <w:noProof/>
        <w:kern w:val="0"/>
        <w:szCs w:val="21"/>
      </w:rPr>
      <w:t>1</w:t>
    </w:r>
    <w:r w:rsidR="00FE182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FE182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FE1822">
      <w:rPr>
        <w:kern w:val="0"/>
        <w:szCs w:val="21"/>
      </w:rPr>
      <w:fldChar w:fldCharType="separate"/>
    </w:r>
    <w:r w:rsidR="00FF62E1">
      <w:rPr>
        <w:noProof/>
        <w:kern w:val="0"/>
        <w:szCs w:val="21"/>
      </w:rPr>
      <w:t>6</w:t>
    </w:r>
    <w:r w:rsidR="00FE182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33A" w:rsidRDefault="006C433A" w:rsidP="00FE1822">
      <w:r>
        <w:separator/>
      </w:r>
    </w:p>
  </w:footnote>
  <w:footnote w:type="continuationSeparator" w:id="1">
    <w:p w:rsidR="006C433A" w:rsidRDefault="006C433A" w:rsidP="00FE18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526"/>
    <w:rsid w:val="00301526"/>
    <w:rsid w:val="006C433A"/>
    <w:rsid w:val="009564DA"/>
    <w:rsid w:val="00F027AA"/>
    <w:rsid w:val="00FE1822"/>
    <w:rsid w:val="00FF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0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301526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0152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15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3243</Characters>
  <Application>Microsoft Office Word</Application>
  <DocSecurity>0</DocSecurity>
  <Lines>27</Lines>
  <Paragraphs>7</Paragraphs>
  <ScaleCrop>false</ScaleCrop>
  <Company>微软中国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张芸</cp:lastModifiedBy>
  <cp:revision>1</cp:revision>
  <dcterms:created xsi:type="dcterms:W3CDTF">2016-05-30T07:02:00Z</dcterms:created>
  <dcterms:modified xsi:type="dcterms:W3CDTF">2016-05-30T07:02:00Z</dcterms:modified>
</cp:coreProperties>
</file>