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2CF0" w:rsidRDefault="002C2CF0" w:rsidP="002C2CF0">
      <w:pPr>
        <w:snapToGrid w:val="0"/>
        <w:spacing w:line="594" w:lineRule="exact"/>
        <w:ind w:left="6598" w:hangingChars="2062" w:hanging="6598"/>
        <w:rPr>
          <w:rFonts w:ascii="方正仿宋简体" w:eastAsia="方正仿宋简体" w:hAnsi="华文中宋"/>
          <w:sz w:val="32"/>
          <w:szCs w:val="32"/>
        </w:rPr>
      </w:pPr>
      <w:r>
        <w:rPr>
          <w:rFonts w:ascii="方正仿宋简体" w:eastAsia="方正仿宋简体" w:hAnsi="华文中宋" w:hint="eastAsia"/>
          <w:sz w:val="32"/>
          <w:szCs w:val="32"/>
        </w:rPr>
        <w:t>附件1-</w:t>
      </w:r>
      <w:r w:rsidR="00401920">
        <w:rPr>
          <w:rFonts w:ascii="方正仿宋简体" w:eastAsia="方正仿宋简体" w:hAnsi="华文中宋" w:hint="eastAsia"/>
          <w:sz w:val="32"/>
          <w:szCs w:val="32"/>
        </w:rPr>
        <w:t>4</w:t>
      </w:r>
    </w:p>
    <w:p w:rsidR="002C2CF0" w:rsidRDefault="002C2CF0" w:rsidP="00401920">
      <w:pPr>
        <w:snapToGrid w:val="0"/>
        <w:spacing w:afterLines="50" w:line="594" w:lineRule="exact"/>
        <w:ind w:left="6598" w:hangingChars="2062" w:hanging="6598"/>
        <w:jc w:val="center"/>
        <w:rPr>
          <w:rFonts w:ascii="方正小标宋简体" w:eastAsia="方正小标宋简体" w:hAnsi="华文中宋"/>
          <w:sz w:val="32"/>
          <w:szCs w:val="32"/>
        </w:rPr>
      </w:pPr>
      <w:r w:rsidRPr="002C2CF0">
        <w:rPr>
          <w:rFonts w:ascii="方正小标宋简体" w:eastAsia="方正小标宋简体" w:hAnsi="华文中宋" w:hint="eastAsia"/>
          <w:sz w:val="32"/>
          <w:szCs w:val="32"/>
        </w:rPr>
        <w:t>彩色电视机</w:t>
      </w:r>
      <w:r>
        <w:rPr>
          <w:rFonts w:ascii="方正小标宋简体" w:eastAsia="方正小标宋简体" w:hAnsi="华文中宋" w:hint="eastAsia"/>
          <w:sz w:val="32"/>
          <w:szCs w:val="32"/>
        </w:rPr>
        <w:t>产品质量国家监督抽查结果</w:t>
      </w:r>
    </w:p>
    <w:p w:rsidR="002C2CF0" w:rsidRDefault="002C2CF0" w:rsidP="002C2CF0">
      <w:pPr>
        <w:spacing w:line="560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>
        <w:rPr>
          <w:rFonts w:ascii="方正仿宋简体" w:eastAsia="方正仿宋简体" w:hint="eastAsia"/>
          <w:sz w:val="32"/>
          <w:szCs w:val="32"/>
        </w:rPr>
        <w:t>2016年第3批，共抽查了</w:t>
      </w:r>
      <w:r w:rsidRPr="002C2CF0">
        <w:rPr>
          <w:rFonts w:ascii="方正仿宋简体" w:eastAsia="方正仿宋简体" w:hint="eastAsia"/>
          <w:sz w:val="32"/>
          <w:szCs w:val="32"/>
        </w:rPr>
        <w:t>北京、天津、内蒙古、上海、江苏、浙江、安徽、福建、山东</w:t>
      </w:r>
      <w:r>
        <w:rPr>
          <w:rFonts w:ascii="方正仿宋简体" w:eastAsia="方正仿宋简体" w:hint="eastAsia"/>
          <w:sz w:val="32"/>
          <w:szCs w:val="32"/>
        </w:rPr>
        <w:t>、</w:t>
      </w:r>
      <w:r w:rsidRPr="002C2CF0">
        <w:rPr>
          <w:rFonts w:ascii="方正仿宋简体" w:eastAsia="方正仿宋简体" w:hint="eastAsia"/>
          <w:sz w:val="32"/>
          <w:szCs w:val="32"/>
        </w:rPr>
        <w:t>广东、四川、贵州等12个省、直辖市</w:t>
      </w:r>
      <w:r>
        <w:rPr>
          <w:rFonts w:ascii="方正仿宋简体" w:eastAsia="方正仿宋简体" w:hint="eastAsia"/>
          <w:sz w:val="32"/>
          <w:szCs w:val="32"/>
        </w:rPr>
        <w:t>57家企业生产的60批次</w:t>
      </w:r>
      <w:r w:rsidRPr="002C2CF0">
        <w:rPr>
          <w:rFonts w:ascii="方正仿宋简体" w:eastAsia="方正仿宋简体" w:hint="eastAsia"/>
          <w:sz w:val="32"/>
          <w:szCs w:val="32"/>
        </w:rPr>
        <w:t>彩色电视机</w:t>
      </w:r>
      <w:r>
        <w:rPr>
          <w:rFonts w:ascii="方正仿宋简体" w:eastAsia="方正仿宋简体" w:hint="eastAsia"/>
          <w:sz w:val="32"/>
          <w:szCs w:val="32"/>
        </w:rPr>
        <w:t>产品。</w:t>
      </w:r>
    </w:p>
    <w:p w:rsidR="002C2CF0" w:rsidRDefault="002C2CF0" w:rsidP="002C2CF0">
      <w:pPr>
        <w:widowControl/>
        <w:snapToGrid w:val="0"/>
        <w:spacing w:line="594" w:lineRule="exact"/>
        <w:ind w:firstLineChars="200" w:firstLine="640"/>
        <w:rPr>
          <w:rFonts w:ascii="方正仿宋简体" w:eastAsia="方正仿宋简体" w:hAnsi="宋体" w:cs="宋体"/>
          <w:sz w:val="32"/>
          <w:szCs w:val="32"/>
        </w:rPr>
      </w:pPr>
      <w:r>
        <w:rPr>
          <w:rFonts w:ascii="方正仿宋简体" w:eastAsia="方正仿宋简体" w:hint="eastAsia"/>
          <w:sz w:val="32"/>
          <w:szCs w:val="32"/>
        </w:rPr>
        <w:t>本次抽查依据</w:t>
      </w:r>
      <w:r w:rsidRPr="002C2CF0">
        <w:rPr>
          <w:rFonts w:ascii="方正仿宋简体" w:eastAsia="方正仿宋简体"/>
          <w:sz w:val="32"/>
          <w:szCs w:val="32"/>
        </w:rPr>
        <w:t>GB</w:t>
      </w:r>
      <w:r w:rsidRPr="002C2CF0">
        <w:rPr>
          <w:rFonts w:ascii="方正仿宋简体" w:eastAsia="方正仿宋简体" w:hint="eastAsia"/>
          <w:sz w:val="32"/>
          <w:szCs w:val="32"/>
        </w:rPr>
        <w:t xml:space="preserve"> </w:t>
      </w:r>
      <w:r w:rsidRPr="002C2CF0">
        <w:rPr>
          <w:rFonts w:ascii="方正仿宋简体" w:eastAsia="方正仿宋简体"/>
          <w:sz w:val="32"/>
          <w:szCs w:val="32"/>
        </w:rPr>
        <w:t>8898</w:t>
      </w:r>
      <w:r w:rsidRPr="002C2CF0">
        <w:rPr>
          <w:rFonts w:ascii="方正仿宋简体" w:eastAsia="方正仿宋简体" w:hint="eastAsia"/>
          <w:sz w:val="32"/>
          <w:szCs w:val="32"/>
        </w:rPr>
        <w:t>-2011《音频、视频及类似电子设备安全要求》、GB 24850-2013《平板电视能效限定值及能效等级》</w:t>
      </w:r>
      <w:r>
        <w:rPr>
          <w:rFonts w:ascii="方正仿宋简体" w:eastAsia="方正仿宋简体" w:hint="eastAsia"/>
          <w:sz w:val="32"/>
          <w:szCs w:val="32"/>
        </w:rPr>
        <w:t>、</w:t>
      </w:r>
      <w:r w:rsidRPr="002C2CF0">
        <w:rPr>
          <w:rFonts w:ascii="方正仿宋简体" w:eastAsia="方正仿宋简体" w:hint="eastAsia"/>
          <w:sz w:val="32"/>
          <w:szCs w:val="32"/>
        </w:rPr>
        <w:t>GB 13837-2012《声音和电视广播接收机及有关设备无线电骚扰特性限值和测量方法》</w:t>
      </w:r>
      <w:r>
        <w:rPr>
          <w:rFonts w:ascii="方正仿宋简体" w:eastAsia="方正仿宋简体" w:hint="eastAsia"/>
          <w:sz w:val="32"/>
          <w:szCs w:val="32"/>
        </w:rPr>
        <w:t>、</w:t>
      </w:r>
      <w:r w:rsidRPr="002C2CF0">
        <w:rPr>
          <w:rFonts w:ascii="方正仿宋简体" w:eastAsia="方正仿宋简体" w:hint="eastAsia"/>
          <w:sz w:val="32"/>
          <w:szCs w:val="32"/>
        </w:rPr>
        <w:t>GB 17625.1-2012《电磁兼容 限值 谐波电流发射限值(设备每相输入电流≤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6"/>
          <w:attr w:name="UnitName" w:val="a"/>
        </w:smartTagPr>
        <w:r w:rsidRPr="002C2CF0">
          <w:rPr>
            <w:rFonts w:ascii="方正仿宋简体" w:eastAsia="方正仿宋简体" w:hint="eastAsia"/>
            <w:sz w:val="32"/>
            <w:szCs w:val="32"/>
          </w:rPr>
          <w:t>16A</w:t>
        </w:r>
      </w:smartTag>
      <w:r w:rsidRPr="002C2CF0">
        <w:rPr>
          <w:rFonts w:ascii="方正仿宋简体" w:eastAsia="方正仿宋简体" w:hint="eastAsia"/>
          <w:sz w:val="32"/>
          <w:szCs w:val="32"/>
        </w:rPr>
        <w:t>)》</w:t>
      </w:r>
      <w:r>
        <w:rPr>
          <w:rFonts w:ascii="方正仿宋简体" w:eastAsia="方正仿宋简体" w:hint="eastAsia"/>
          <w:sz w:val="32"/>
          <w:szCs w:val="32"/>
        </w:rPr>
        <w:t>、</w:t>
      </w:r>
      <w:r w:rsidRPr="002C2CF0">
        <w:rPr>
          <w:rFonts w:ascii="方正仿宋简体" w:eastAsia="方正仿宋简体" w:hint="eastAsia"/>
          <w:sz w:val="32"/>
          <w:szCs w:val="32"/>
        </w:rPr>
        <w:t xml:space="preserve"> SJ/T 11343-2006《数字电视液晶显示器通用规范》、SJ/T 11348-2006《数字电视平板显示器测量方法》、SJ/T 11157-1998《电视广播接收机测量方法 第2部分：伴音通道的电性能测量，一般测量方法和单声道测量方法》</w:t>
      </w:r>
      <w:r>
        <w:rPr>
          <w:rFonts w:ascii="方正仿宋简体" w:eastAsia="方正仿宋简体" w:hAnsi="宋体" w:cs="宋体" w:hint="eastAsia"/>
          <w:sz w:val="32"/>
          <w:szCs w:val="32"/>
        </w:rPr>
        <w:t>等标准的要求，</w:t>
      </w:r>
      <w:r>
        <w:rPr>
          <w:rFonts w:ascii="方正仿宋简体" w:eastAsia="方正仿宋简体" w:hint="eastAsia"/>
          <w:sz w:val="32"/>
          <w:szCs w:val="32"/>
        </w:rPr>
        <w:t>对</w:t>
      </w:r>
      <w:r w:rsidRPr="002C2CF0">
        <w:rPr>
          <w:rFonts w:ascii="方正仿宋简体" w:eastAsia="方正仿宋简体" w:hint="eastAsia"/>
          <w:sz w:val="32"/>
          <w:szCs w:val="32"/>
        </w:rPr>
        <w:t>彩色电视机</w:t>
      </w:r>
      <w:r>
        <w:rPr>
          <w:rFonts w:ascii="方正仿宋简体" w:eastAsia="方正仿宋简体" w:hint="eastAsia"/>
          <w:sz w:val="32"/>
          <w:szCs w:val="32"/>
        </w:rPr>
        <w:t>产品的</w:t>
      </w:r>
      <w:r w:rsidRPr="002C2CF0">
        <w:rPr>
          <w:rFonts w:ascii="方正仿宋简体" w:eastAsia="方正仿宋简体" w:hint="eastAsia"/>
          <w:sz w:val="32"/>
          <w:szCs w:val="32"/>
        </w:rPr>
        <w:t>有用平均亮度、对比度、重显率、清晰度、亮度均匀性、声频率响应范围、防电击保护的结构要求、正常工作条件下的电击危险、绝缘要求、电气间隙和爬电距离、端子、外接软线、正常工作条件下的发热、能效指数、被动待机功率、电源端骚扰电压、辐射骚扰场强、谐波电流</w:t>
      </w:r>
      <w:r>
        <w:rPr>
          <w:rFonts w:ascii="方正仿宋简体" w:eastAsia="方正仿宋简体" w:hint="eastAsia"/>
          <w:sz w:val="32"/>
          <w:szCs w:val="32"/>
        </w:rPr>
        <w:t>等18个项目进行了检验。</w:t>
      </w:r>
    </w:p>
    <w:p w:rsidR="002C2CF0" w:rsidRDefault="002C2CF0" w:rsidP="002C2CF0">
      <w:pPr>
        <w:spacing w:line="560" w:lineRule="exact"/>
        <w:ind w:firstLineChars="200" w:firstLine="640"/>
        <w:rPr>
          <w:rFonts w:ascii="方正仿宋简体" w:eastAsia="方正仿宋简体" w:hAnsi="??"/>
          <w:sz w:val="32"/>
          <w:szCs w:val="32"/>
        </w:rPr>
      </w:pPr>
      <w:r>
        <w:rPr>
          <w:rFonts w:ascii="方正仿宋简体" w:eastAsia="方正仿宋简体" w:hint="eastAsia"/>
          <w:sz w:val="32"/>
          <w:szCs w:val="32"/>
        </w:rPr>
        <w:t>抽查发现有17批次产品不符合标准的规定，涉及到防电击保护的结构要求、正常工作条件下的电击危险、绝缘要求、能效指数、被动待机功率、电源端骚扰电压</w:t>
      </w:r>
      <w:r w:rsidRPr="002C2CF0">
        <w:rPr>
          <w:rFonts w:ascii="方正仿宋简体" w:eastAsia="方正仿宋简体" w:hint="eastAsia"/>
          <w:sz w:val="32"/>
          <w:szCs w:val="32"/>
        </w:rPr>
        <w:t>、辐射骚扰场强</w:t>
      </w:r>
      <w:r>
        <w:rPr>
          <w:rFonts w:ascii="方正仿宋简体" w:eastAsia="方正仿宋简体" w:hint="eastAsia"/>
          <w:sz w:val="32"/>
          <w:szCs w:val="32"/>
        </w:rPr>
        <w:t>项目。具</w:t>
      </w:r>
      <w:r>
        <w:rPr>
          <w:rFonts w:ascii="方正仿宋简体" w:eastAsia="方正仿宋简体" w:hint="eastAsia"/>
          <w:sz w:val="32"/>
          <w:szCs w:val="32"/>
        </w:rPr>
        <w:lastRenderedPageBreak/>
        <w:t>体抽查结果见附表</w:t>
      </w:r>
      <w:r>
        <w:rPr>
          <w:rFonts w:ascii="方正仿宋简体" w:eastAsia="方正仿宋简体" w:hAnsi="??" w:hint="eastAsia"/>
          <w:sz w:val="32"/>
          <w:szCs w:val="32"/>
        </w:rPr>
        <w:t>1-</w:t>
      </w:r>
      <w:r w:rsidR="00401920">
        <w:rPr>
          <w:rFonts w:ascii="方正仿宋简体" w:eastAsia="方正仿宋简体" w:hAnsi="??" w:hint="eastAsia"/>
          <w:sz w:val="32"/>
          <w:szCs w:val="32"/>
        </w:rPr>
        <w:t>4</w:t>
      </w:r>
      <w:r>
        <w:rPr>
          <w:rFonts w:ascii="方正仿宋简体" w:eastAsia="方正仿宋简体" w:hAnsi="??" w:hint="eastAsia"/>
          <w:sz w:val="32"/>
          <w:szCs w:val="32"/>
        </w:rPr>
        <w:t>。</w:t>
      </w:r>
    </w:p>
    <w:sectPr w:rsidR="002C2CF0" w:rsidSect="002C2CF0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4107" w:rsidRDefault="00594107" w:rsidP="002C2CF0">
      <w:r>
        <w:separator/>
      </w:r>
    </w:p>
  </w:endnote>
  <w:endnote w:type="continuationSeparator" w:id="1">
    <w:p w:rsidR="00594107" w:rsidRDefault="00594107" w:rsidP="002C2C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4107" w:rsidRDefault="00594107" w:rsidP="002C2CF0">
      <w:r>
        <w:separator/>
      </w:r>
    </w:p>
  </w:footnote>
  <w:footnote w:type="continuationSeparator" w:id="1">
    <w:p w:rsidR="00594107" w:rsidRDefault="00594107" w:rsidP="002C2CF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D5954"/>
    <w:rsid w:val="0000057C"/>
    <w:rsid w:val="00115444"/>
    <w:rsid w:val="002C2CF0"/>
    <w:rsid w:val="002F1FAA"/>
    <w:rsid w:val="003015DA"/>
    <w:rsid w:val="00314CA9"/>
    <w:rsid w:val="003B5872"/>
    <w:rsid w:val="00401920"/>
    <w:rsid w:val="00446823"/>
    <w:rsid w:val="00464C73"/>
    <w:rsid w:val="004B1D54"/>
    <w:rsid w:val="00506573"/>
    <w:rsid w:val="00594107"/>
    <w:rsid w:val="005D560D"/>
    <w:rsid w:val="005F4EE4"/>
    <w:rsid w:val="00653530"/>
    <w:rsid w:val="006E496C"/>
    <w:rsid w:val="00730384"/>
    <w:rsid w:val="008909E9"/>
    <w:rsid w:val="008D5954"/>
    <w:rsid w:val="00A0638B"/>
    <w:rsid w:val="00B40FFE"/>
    <w:rsid w:val="00BC7A5A"/>
    <w:rsid w:val="00C8657F"/>
    <w:rsid w:val="00E14798"/>
    <w:rsid w:val="00E17833"/>
    <w:rsid w:val="00F32D17"/>
    <w:rsid w:val="00F727D3"/>
    <w:rsid w:val="00FB4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595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8D5954"/>
    <w:pPr>
      <w:widowControl/>
      <w:spacing w:before="100" w:beforeAutospacing="1" w:after="100" w:afterAutospacing="1" w:line="360" w:lineRule="atLeast"/>
      <w:jc w:val="left"/>
    </w:pPr>
    <w:rPr>
      <w:rFonts w:ascii="宋体" w:hAnsi="宋体" w:cs="宋体"/>
      <w:kern w:val="0"/>
      <w:szCs w:val="21"/>
    </w:rPr>
  </w:style>
  <w:style w:type="paragraph" w:customStyle="1" w:styleId="1CharChar2CharChar1">
    <w:name w:val="字元 字元1 Char Char 字元 字元2 Char Char1 字元 字元"/>
    <w:basedOn w:val="a"/>
    <w:semiHidden/>
    <w:rsid w:val="008D5954"/>
    <w:pPr>
      <w:widowControl/>
      <w:spacing w:after="160" w:line="240" w:lineRule="exact"/>
      <w:jc w:val="left"/>
    </w:pPr>
    <w:rPr>
      <w:rFonts w:ascii="Arial" w:hAnsi="Arial"/>
      <w:sz w:val="22"/>
      <w:szCs w:val="22"/>
      <w:lang w:eastAsia="en-US"/>
    </w:rPr>
  </w:style>
  <w:style w:type="paragraph" w:styleId="a4">
    <w:name w:val="header"/>
    <w:basedOn w:val="a"/>
    <w:link w:val="Char"/>
    <w:uiPriority w:val="99"/>
    <w:semiHidden/>
    <w:unhideWhenUsed/>
    <w:rsid w:val="002C2C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2C2CF0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2C2C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2C2CF0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77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94</Words>
  <Characters>537</Characters>
  <Application>Microsoft Office Word</Application>
  <DocSecurity>0</DocSecurity>
  <Lines>4</Lines>
  <Paragraphs>1</Paragraphs>
  <ScaleCrop>false</ScaleCrop>
  <Company>china</Company>
  <LinksUpToDate>false</LinksUpToDate>
  <CharactersWithSpaces>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4</cp:revision>
  <dcterms:created xsi:type="dcterms:W3CDTF">2016-08-26T06:12:00Z</dcterms:created>
  <dcterms:modified xsi:type="dcterms:W3CDTF">2016-09-09T02:50:00Z</dcterms:modified>
</cp:coreProperties>
</file>