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440"/>
      </w:pPr>
      <w:r>
        <w:drawing>
          <wp:inline xmlns:a="http://schemas.openxmlformats.org/drawingml/2006/main" xmlns:pic="http://schemas.openxmlformats.org/drawingml/2006/picture">
            <wp:extent cx="2232000" cy="909290"/>
            <wp:docPr id="1" name="Picture 1" title="万物友灵Logo" descr="万物友灵万物青横版主标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wanwu-t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90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Noto Sans SC Thin" w:hAnsi="Noto Sans SC Thin" w:eastAsia="Noto Sans SC Thin"/>
          <w:b/>
          <w:color w:val="004951"/>
          <w:sz w:val="56"/>
        </w:rPr>
        <w:t>[文档标题]</w:t>
      </w:r>
    </w:p>
    <w:p>
      <w:pPr>
        <w:spacing w:after="520"/>
      </w:pPr>
      <w:r>
        <w:rPr>
          <w:rFonts w:ascii="Noto Sans SC Thin" w:hAnsi="Noto Sans SC Thin" w:eastAsia="Noto Sans SC Thin"/>
          <w:color w:val="50787C"/>
          <w:sz w:val="28"/>
        </w:rPr>
        <w:t>[用一句话说明文档目的或核心结论]</w:t>
      </w:r>
    </w:p>
    <w:p>
      <w:pPr>
        <w:spacing w:after="800"/>
        <w:pBdr>
          <w:left w:val="single" w:sz="22" w:space="8" w:color="B8E43A"/>
        </w:pBdr>
      </w:pPr>
      <w:r>
        <w:rPr>
          <w:rFonts w:ascii="Noto Sans SC Thin" w:hAnsi="Noto Sans SC Thin" w:eastAsia="Noto Sans SC Thin"/>
          <w:b/>
          <w:color w:val="004951"/>
          <w:sz w:val="22"/>
        </w:rPr>
        <w:t>东方生命观 × AI未来感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1800"/>
        <w:gridCol w:w="7100"/>
      </w:tblGrid>
      <w:tr>
        <w:trPr>
          <w:tblHeader w:val="true"/>
        </w:trPr>
        <w:tc>
          <w:tcPr>
            <w:tcW w:type="dxa" w:w="1800"/>
            <w:shd w:fill="F6F2E9"/>
            <w:tcBorders>
              <w:top w:val="single" w:sz="0" w:color="F6F2E9"/>
              <w:left w:val="single" w:sz="0" w:color="F6F2E9"/>
              <w:bottom w:val="single" w:sz="0" w:color="F6F2E9"/>
              <w:right w:val="single" w:sz="0" w:color="F6F2E9"/>
              <w:insideH w:val="single" w:sz="0" w:color="F6F2E9"/>
              <w:insideV w:val="single" w:sz="0" w:color="F6F2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color w:val="50787C"/>
                <w:sz w:val="19"/>
              </w:rPr>
              <w:t>编制方</w:t>
            </w:r>
          </w:p>
        </w:tc>
        <w:tc>
          <w:tcPr>
            <w:tcW w:type="dxa" w:w="7100"/>
            <w:shd w:fill="F6F2E9"/>
            <w:tcBorders>
              <w:top w:val="single" w:sz="0" w:color="F6F2E9"/>
              <w:left w:val="single" w:sz="0" w:color="F6F2E9"/>
              <w:bottom w:val="single" w:sz="0" w:color="F6F2E9"/>
              <w:right w:val="single" w:sz="0" w:color="F6F2E9"/>
              <w:insideH w:val="single" w:sz="0" w:color="F6F2E9"/>
              <w:insideV w:val="single" w:sz="0" w:color="F6F2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 w:val="0"/>
                <w:color w:val="00383E"/>
                <w:sz w:val="19"/>
              </w:rPr>
              <w:t>万物友灵 / Wanwu Youling</w:t>
            </w:r>
          </w:p>
        </w:tc>
      </w:tr>
      <w:tr>
        <w:trPr/>
        <w:tc>
          <w:tcPr>
            <w:tcW w:type="dxa" w:w="1800"/>
            <w:shd w:fill="F6F2E9"/>
            <w:tcBorders>
              <w:top w:val="single" w:sz="0" w:color="F6F2E9"/>
              <w:left w:val="single" w:sz="0" w:color="F6F2E9"/>
              <w:bottom w:val="single" w:sz="0" w:color="F6F2E9"/>
              <w:right w:val="single" w:sz="0" w:color="F6F2E9"/>
              <w:insideH w:val="single" w:sz="0" w:color="F6F2E9"/>
              <w:insideV w:val="single" w:sz="0" w:color="F6F2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color w:val="50787C"/>
                <w:sz w:val="19"/>
              </w:rPr>
              <w:t>日期</w:t>
            </w:r>
          </w:p>
        </w:tc>
        <w:tc>
          <w:tcPr>
            <w:tcW w:type="dxa" w:w="7100"/>
            <w:shd w:fill="F6F2E9"/>
            <w:tcBorders>
              <w:top w:val="single" w:sz="0" w:color="F6F2E9"/>
              <w:left w:val="single" w:sz="0" w:color="F6F2E9"/>
              <w:bottom w:val="single" w:sz="0" w:color="F6F2E9"/>
              <w:right w:val="single" w:sz="0" w:color="F6F2E9"/>
              <w:insideH w:val="single" w:sz="0" w:color="F6F2E9"/>
              <w:insideV w:val="single" w:sz="0" w:color="F6F2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 w:val="0"/>
                <w:color w:val="00383E"/>
                <w:sz w:val="19"/>
              </w:rPr>
              <w:t>[YYYY年MM月DD日]</w:t>
            </w:r>
          </w:p>
        </w:tc>
      </w:tr>
      <w:tr>
        <w:trPr/>
        <w:tc>
          <w:tcPr>
            <w:tcW w:type="dxa" w:w="1800"/>
            <w:shd w:fill="F6F2E9"/>
            <w:tcBorders>
              <w:top w:val="single" w:sz="0" w:color="F6F2E9"/>
              <w:left w:val="single" w:sz="0" w:color="F6F2E9"/>
              <w:bottom w:val="single" w:sz="0" w:color="F6F2E9"/>
              <w:right w:val="single" w:sz="0" w:color="F6F2E9"/>
              <w:insideH w:val="single" w:sz="0" w:color="F6F2E9"/>
              <w:insideV w:val="single" w:sz="0" w:color="F6F2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/>
                <w:color w:val="50787C"/>
                <w:sz w:val="19"/>
              </w:rPr>
              <w:t>版本</w:t>
            </w:r>
          </w:p>
        </w:tc>
        <w:tc>
          <w:tcPr>
            <w:tcW w:type="dxa" w:w="7100"/>
            <w:shd w:fill="F6F2E9"/>
            <w:tcBorders>
              <w:top w:val="single" w:sz="0" w:color="F6F2E9"/>
              <w:left w:val="single" w:sz="0" w:color="F6F2E9"/>
              <w:bottom w:val="single" w:sz="0" w:color="F6F2E9"/>
              <w:right w:val="single" w:sz="0" w:color="F6F2E9"/>
              <w:insideH w:val="single" w:sz="0" w:color="F6F2E9"/>
              <w:insideV w:val="single" w:sz="0" w:color="F6F2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SC Thin" w:hAnsi="Noto Sans SC Thin" w:eastAsia="Noto Sans SC Thin"/>
                <w:b w:val="0"/>
                <w:color w:val="00383E"/>
                <w:sz w:val="19"/>
              </w:rPr>
              <w:t>V1.0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执行摘要</w:t>
      </w:r>
    </w:p>
    <w:p>
      <w:pPr>
        <w:spacing w:before="120" w:after="200" w:line="288" w:lineRule="auto"/>
        <w:ind w:left="340" w:right="227"/>
        <w:shd w:fill="F6F2E9"/>
        <w:pBdr>
          <w:left w:val="single" w:sz="18" w:space="12" w:color="B8E43A"/>
        </w:pBdr>
      </w:pPr>
      <w:r>
        <w:rPr>
          <w:rFonts w:ascii="Noto Sans SC Thin" w:hAnsi="Noto Sans SC Thin" w:eastAsia="Noto Sans SC Thin"/>
          <w:b/>
          <w:color w:val="004951"/>
          <w:sz w:val="19"/>
        </w:rPr>
        <w:t>核心结论</w:t>
        <w:br/>
      </w:r>
      <w:r>
        <w:rPr>
          <w:rFonts w:ascii="Noto Sans SC Thin" w:hAnsi="Noto Sans SC Thin" w:eastAsia="Noto Sans SC Thin"/>
          <w:b/>
          <w:color w:val="00383E"/>
          <w:sz w:val="23"/>
        </w:rPr>
        <w:t>[在这里写读者最需要记住的一句话。]</w:t>
      </w:r>
    </w:p>
    <w:p>
      <w:pPr>
        <w:spacing w:after="120" w:line="300" w:lineRule="auto"/>
      </w:pPr>
      <w:r>
        <w:rPr>
          <w:rFonts w:ascii="Noto Sans SC Thin" w:hAnsi="Noto Sans SC Thin" w:eastAsia="Noto Sans SC Thin"/>
          <w:color w:val="00383E"/>
          <w:sz w:val="21"/>
        </w:rPr>
        <w:t>这是一份可直接复制使用的品牌文档模板。开始写作前，请先明确受众、商业目的和希望推动的行动，再用本模板中的标题、正文、列表、提示框与表格样式组织内容。</w:t>
      </w:r>
    </w:p>
    <w:p>
      <w:pPr>
        <w:pStyle w:val="Heading2"/>
        <w:keepNext/>
      </w:pPr>
      <w:r>
        <w:t>本页建议包含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当前背景或问题：为什么现在需要阅读这份文档；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核心判断或建议：我们认为应该做什么；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关键证据：哪些事实支持这一判断；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下一步行动：谁在什么时间完成什么。</w:t>
      </w:r>
    </w:p>
    <w:p>
      <w:pPr>
        <w:pStyle w:val="Heading2"/>
        <w:keepNext/>
      </w:pPr>
      <w:r>
        <w:t>关键数据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2966"/>
        <w:gridCol w:w="2967"/>
        <w:gridCol w:w="2967"/>
      </w:tblGrid>
      <w:tr>
        <w:trPr>
          <w:tblHeader w:val="true"/>
        </w:trPr>
        <w:tc>
          <w:tcPr>
            <w:tcW w:type="dxa" w:w="2966"/>
            <w:vAlign w:val="center"/>
            <w:shd w:fill="004951"/>
            <w:tcBorders>
              <w:top w:val="single" w:sz="6" w:color="004951"/>
              <w:left w:val="single" w:sz="6" w:color="004951"/>
              <w:bottom w:val="single" w:sz="6" w:color="004951"/>
              <w:right w:val="single" w:sz="6" w:color="004951"/>
              <w:insideH w:val="single" w:sz="6" w:color="004951"/>
              <w:insideV w:val="single" w:sz="6" w:color="004951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9"/>
              </w:rPr>
              <w:t>[指标一]</w:t>
            </w:r>
          </w:p>
        </w:tc>
        <w:tc>
          <w:tcPr>
            <w:tcW w:type="dxa" w:w="2967"/>
            <w:vAlign w:val="center"/>
            <w:shd w:fill="004951"/>
            <w:tcBorders>
              <w:top w:val="single" w:sz="6" w:color="004951"/>
              <w:left w:val="single" w:sz="6" w:color="004951"/>
              <w:bottom w:val="single" w:sz="6" w:color="004951"/>
              <w:right w:val="single" w:sz="6" w:color="004951"/>
              <w:insideH w:val="single" w:sz="6" w:color="004951"/>
              <w:insideV w:val="single" w:sz="6" w:color="004951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9"/>
              </w:rPr>
              <w:t>[指标二]</w:t>
            </w:r>
          </w:p>
        </w:tc>
        <w:tc>
          <w:tcPr>
            <w:tcW w:type="dxa" w:w="2967"/>
            <w:vAlign w:val="center"/>
            <w:shd w:fill="004951"/>
            <w:tcBorders>
              <w:top w:val="single" w:sz="6" w:color="004951"/>
              <w:left w:val="single" w:sz="6" w:color="004951"/>
              <w:bottom w:val="single" w:sz="6" w:color="004951"/>
              <w:right w:val="single" w:sz="6" w:color="004951"/>
              <w:insideH w:val="single" w:sz="6" w:color="004951"/>
              <w:insideV w:val="single" w:sz="6" w:color="004951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9"/>
              </w:rPr>
              <w:t>[指标三]</w:t>
            </w:r>
          </w:p>
        </w:tc>
      </w:tr>
      <w:tr>
        <w:trPr/>
        <w:tc>
          <w:tcPr>
            <w:tcW w:type="dxa" w:w="2966"/>
            <w:vAlign w:val="center"/>
            <w:shd w:fill="FFFFFF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B8E43A"/>
                <w:sz w:val="36"/>
              </w:rPr>
              <w:t>68%</w:t>
            </w:r>
          </w:p>
        </w:tc>
        <w:tc>
          <w:tcPr>
            <w:tcW w:type="dxa" w:w="2967"/>
            <w:vAlign w:val="center"/>
            <w:shd w:fill="FFFFFF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004951"/>
                <w:sz w:val="36"/>
              </w:rPr>
              <w:t>4周</w:t>
            </w:r>
          </w:p>
        </w:tc>
        <w:tc>
          <w:tcPr>
            <w:tcW w:type="dxa" w:w="2967"/>
            <w:vAlign w:val="center"/>
            <w:shd w:fill="FFFFFF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004951"/>
                <w:sz w:val="36"/>
              </w:rPr>
              <w:t>3个阶段</w:t>
            </w:r>
          </w:p>
        </w:tc>
      </w:tr>
      <w:tr>
        <w:trPr/>
        <w:tc>
          <w:tcPr>
            <w:tcW w:type="dxa" w:w="2966"/>
            <w:vAlign w:val="center"/>
            <w:shd w:fill="F6F2E9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004951"/>
                <w:sz w:val="19"/>
              </w:rPr>
              <w:t>[说明]</w:t>
            </w:r>
          </w:p>
        </w:tc>
        <w:tc>
          <w:tcPr>
            <w:tcW w:type="dxa" w:w="2967"/>
            <w:vAlign w:val="center"/>
            <w:shd w:fill="F6F2E9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004951"/>
                <w:sz w:val="19"/>
              </w:rPr>
              <w:t>[说明]</w:t>
            </w:r>
          </w:p>
        </w:tc>
        <w:tc>
          <w:tcPr>
            <w:tcW w:type="dxa" w:w="2967"/>
            <w:vAlign w:val="center"/>
            <w:shd w:fill="F6F2E9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004951"/>
                <w:sz w:val="19"/>
              </w:rPr>
              <w:t>[说明]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一级章节标题</w:t>
      </w:r>
    </w:p>
    <w:p>
      <w:pPr>
        <w:spacing w:after="120" w:line="300" w:lineRule="auto"/>
      </w:pPr>
      <w:r>
        <w:rPr>
          <w:rFonts w:ascii="Noto Sans SC Thin" w:hAnsi="Noto Sans SC Thin" w:eastAsia="Noto Sans SC Thin"/>
          <w:color w:val="00383E"/>
          <w:sz w:val="21"/>
        </w:rPr>
        <w:t>正文使用10.5磅中文无衬线字体与1.25倍行距。每段只表达一个观点，避免连续堆叠抽象概念。需要强调时优先使用明确的小标题或结论框，不要依赖彩色粗体制造层级。</w:t>
      </w:r>
    </w:p>
    <w:p>
      <w:pPr>
        <w:pStyle w:val="Heading2"/>
        <w:keepNext/>
      </w:pPr>
      <w:r>
        <w:t>1.1 二级标题</w:t>
      </w:r>
    </w:p>
    <w:p>
      <w:pPr>
        <w:spacing w:after="120" w:line="300" w:lineRule="auto"/>
      </w:pPr>
      <w:r>
        <w:rPr>
          <w:rFonts w:ascii="Noto Sans SC Thin" w:hAnsi="Noto Sans SC Thin" w:eastAsia="Noto Sans SC Thin"/>
          <w:color w:val="00383E"/>
          <w:sz w:val="21"/>
        </w:rPr>
        <w:t>建议先给出判断，再解释原因和证据。对外部数据、市场规模、客户结果和研究结论，应注明来源、时间范围、单位与假设。</w:t>
      </w:r>
    </w:p>
    <w:p>
      <w:pPr>
        <w:pStyle w:val="Heading3"/>
        <w:keepNext/>
      </w:pPr>
      <w:r>
        <w:t>三级标题示例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万物青用于标题、核心判断和主要信息；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暖砂白用于章节背景、故事和留白；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灵芽绿只用于AI激活、关键动作和少量数据焦点。</w:t>
      </w:r>
    </w:p>
    <w:p>
      <w:pPr>
        <w:spacing w:before="120" w:after="200" w:line="288" w:lineRule="auto"/>
        <w:ind w:left="340" w:right="227"/>
        <w:shd w:fill="F6F2E9"/>
        <w:pBdr>
          <w:left w:val="single" w:sz="18" w:space="12" w:color="B8E43A"/>
        </w:pBdr>
      </w:pPr>
      <w:r>
        <w:rPr>
          <w:rFonts w:ascii="Noto Sans SC Thin" w:hAnsi="Noto Sans SC Thin" w:eastAsia="Noto Sans SC Thin"/>
          <w:b/>
          <w:color w:val="004951"/>
          <w:sz w:val="19"/>
        </w:rPr>
        <w:t>AI状态</w:t>
        <w:br/>
      </w:r>
      <w:r>
        <w:rPr>
          <w:rFonts w:ascii="Noto Sans SC Thin" w:hAnsi="Noto Sans SC Thin" w:eastAsia="Noto Sans SC Thin"/>
          <w:b/>
          <w:color w:val="00383E"/>
          <w:sz w:val="23"/>
        </w:rPr>
        <w:t>当AI、成长或创造真正发生时，才出现灵芽绿。</w:t>
      </w:r>
    </w:p>
    <w:p>
      <w:pPr>
        <w:pStyle w:val="Heading2"/>
        <w:keepNext/>
      </w:pPr>
      <w:r>
        <w:t>操作步骤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Noto Sans SC Thin" w:hAnsi="Noto Sans SC Thin" w:eastAsia="Noto Sans SC Thin"/>
          <w:color w:val="00383E"/>
          <w:sz w:val="21"/>
        </w:rPr>
        <w:t>明确受众、目的与核心结论；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Noto Sans SC Thin" w:hAnsi="Noto Sans SC Thin" w:eastAsia="Noto Sans SC Thin"/>
          <w:color w:val="00383E"/>
          <w:sz w:val="21"/>
        </w:rPr>
        <w:t>整理事实、证据、假设和建议；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Noto Sans SC Thin" w:hAnsi="Noto Sans SC Thin" w:eastAsia="Noto Sans SC Thin"/>
          <w:color w:val="00383E"/>
          <w:sz w:val="21"/>
        </w:rPr>
        <w:t>选择最合适的内容结构；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Noto Sans SC Thin" w:hAnsi="Noto Sans SC Thin" w:eastAsia="Noto Sans SC Thin"/>
          <w:color w:val="00383E"/>
          <w:sz w:val="21"/>
        </w:rPr>
        <w:t>完成品牌与事实检查后再交付。</w:t>
      </w:r>
    </w:p>
    <w:p>
      <w:r>
        <w:br w:type="page"/>
      </w:r>
    </w:p>
    <w:p>
      <w:pPr>
        <w:pStyle w:val="Heading1"/>
        <w:keepNext/>
      </w:pPr>
      <w:r>
        <w:t>2. 数据、行动与责任</w:t>
      </w:r>
    </w:p>
    <w:p>
      <w:pPr>
        <w:spacing w:after="120" w:line="300" w:lineRule="auto"/>
      </w:pPr>
      <w:r>
        <w:rPr>
          <w:rFonts w:ascii="Noto Sans SC Thin" w:hAnsi="Noto Sans SC Thin" w:eastAsia="Noto Sans SC Thin"/>
          <w:color w:val="00383E"/>
          <w:sz w:val="21"/>
        </w:rPr>
        <w:t>表格只用于需要比较、追踪或查找的结构化信息。长段落应回到正文，不要塞入密集单元格。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800"/>
        <w:gridCol w:w="5300"/>
        <w:gridCol w:w="1800"/>
      </w:tblGrid>
      <w:tr>
        <w:trPr>
          <w:tblHeader w:val="true"/>
        </w:trPr>
        <w:tc>
          <w:tcPr>
            <w:tcW w:type="dxa" w:w="1800"/>
            <w:vAlign w:val="center"/>
            <w:shd w:fill="004951"/>
            <w:tcBorders>
              <w:top w:val="single" w:sz="6" w:color="004951"/>
              <w:left w:val="single" w:sz="6" w:color="004951"/>
              <w:bottom w:val="single" w:sz="6" w:color="004951"/>
              <w:right w:val="single" w:sz="6" w:color="004951"/>
              <w:insideH w:val="single" w:sz="6" w:color="004951"/>
              <w:insideV w:val="single" w:sz="6" w:color="004951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300"/>
            <w:vAlign w:val="center"/>
            <w:shd w:fill="004951"/>
            <w:tcBorders>
              <w:top w:val="single" w:sz="6" w:color="004951"/>
              <w:left w:val="single" w:sz="6" w:color="004951"/>
              <w:bottom w:val="single" w:sz="6" w:color="004951"/>
              <w:right w:val="single" w:sz="6" w:color="004951"/>
              <w:insideH w:val="single" w:sz="6" w:color="004951"/>
              <w:insideV w:val="single" w:sz="6" w:color="004951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Noto Sans SC Thin" w:hAnsi="Noto Sans SC Thin" w:eastAsia="Noto Sans SC Thin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800"/>
            <w:vAlign w:val="center"/>
            <w:shd w:fill="004951"/>
            <w:tcBorders>
              <w:top w:val="single" w:sz="6" w:color="004951"/>
              <w:left w:val="single" w:sz="6" w:color="004951"/>
              <w:bottom w:val="single" w:sz="6" w:color="004951"/>
              <w:right w:val="single" w:sz="6" w:color="004951"/>
              <w:insideH w:val="single" w:sz="6" w:color="004951"/>
              <w:insideV w:val="single" w:sz="6" w:color="004951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9"/>
              </w:rPr>
              <w:t>状态</w:t>
            </w:r>
          </w:p>
        </w:tc>
      </w:tr>
      <w:tr>
        <w:trPr/>
        <w:tc>
          <w:tcPr>
            <w:tcW w:type="dxa" w:w="1800"/>
            <w:vAlign w:val="center"/>
            <w:shd w:fill="FFFFFF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Noto Sans SC Thin" w:hAnsi="Noto Sans SC Thin" w:eastAsia="Noto Sans SC Thin"/>
                <w:color w:val="00383E"/>
                <w:sz w:val="19"/>
              </w:rPr>
              <w:t>关键任务</w:t>
            </w:r>
          </w:p>
        </w:tc>
        <w:tc>
          <w:tcPr>
            <w:tcW w:type="dxa" w:w="5300"/>
            <w:vAlign w:val="center"/>
            <w:shd w:fill="FFFFFF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Noto Sans SC Thin" w:hAnsi="Noto Sans SC Thin" w:eastAsia="Noto Sans SC Thin"/>
                <w:color w:val="00383E"/>
                <w:sz w:val="19"/>
              </w:rPr>
              <w:t>[填写需要完成的工作]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004951"/>
                <w:sz w:val="19"/>
              </w:rPr>
              <w:t>进行中</w:t>
            </w:r>
          </w:p>
        </w:tc>
      </w:tr>
      <w:tr>
        <w:trPr/>
        <w:tc>
          <w:tcPr>
            <w:tcW w:type="dxa" w:w="1800"/>
            <w:vAlign w:val="center"/>
            <w:shd w:fill="F6F2E9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Noto Sans SC Thin" w:hAnsi="Noto Sans SC Thin" w:eastAsia="Noto Sans SC Thin"/>
                <w:color w:val="00383E"/>
                <w:sz w:val="19"/>
              </w:rPr>
              <w:t>负责人</w:t>
            </w:r>
          </w:p>
        </w:tc>
        <w:tc>
          <w:tcPr>
            <w:tcW w:type="dxa" w:w="5300"/>
            <w:vAlign w:val="center"/>
            <w:shd w:fill="F6F2E9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Noto Sans SC Thin" w:hAnsi="Noto Sans SC Thin" w:eastAsia="Noto Sans SC Thin"/>
                <w:color w:val="00383E"/>
                <w:sz w:val="19"/>
              </w:rPr>
              <w:t>[填写负责人或团队]</w:t>
            </w:r>
          </w:p>
        </w:tc>
        <w:tc>
          <w:tcPr>
            <w:tcW w:type="dxa" w:w="1800"/>
            <w:vAlign w:val="center"/>
            <w:shd w:fill="F6F2E9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004951"/>
                <w:sz w:val="19"/>
              </w:rPr>
              <w:t>待确认</w:t>
            </w:r>
          </w:p>
        </w:tc>
      </w:tr>
      <w:tr>
        <w:trPr/>
        <w:tc>
          <w:tcPr>
            <w:tcW w:type="dxa" w:w="1800"/>
            <w:vAlign w:val="center"/>
            <w:shd w:fill="FFFFFF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Noto Sans SC Thin" w:hAnsi="Noto Sans SC Thin" w:eastAsia="Noto Sans SC Thin"/>
                <w:color w:val="00383E"/>
                <w:sz w:val="19"/>
              </w:rPr>
              <w:t>完成标准</w:t>
            </w:r>
          </w:p>
        </w:tc>
        <w:tc>
          <w:tcPr>
            <w:tcW w:type="dxa" w:w="5300"/>
            <w:vAlign w:val="center"/>
            <w:shd w:fill="FFFFFF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Noto Sans SC Thin" w:hAnsi="Noto Sans SC Thin" w:eastAsia="Noto Sans SC Thin"/>
                <w:color w:val="00383E"/>
                <w:sz w:val="19"/>
              </w:rPr>
              <w:t>[填写可验证的结果]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7E0DE"/>
              <w:left w:val="single" w:sz="6" w:color="D7E0DE"/>
              <w:bottom w:val="single" w:sz="6" w:color="D7E0DE"/>
              <w:right w:val="single" w:sz="6" w:color="D7E0DE"/>
              <w:insideH w:val="single" w:sz="6" w:color="D7E0DE"/>
              <w:insideV w:val="single" w:sz="6" w:color="D7E0DE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004951"/>
                <w:sz w:val="19"/>
              </w:rPr>
              <w:t>未开始</w:t>
            </w:r>
          </w:p>
        </w:tc>
      </w:tr>
    </w:tbl>
    <w:p>
      <w:pPr>
        <w:pStyle w:val="Heading2"/>
        <w:keepNext/>
      </w:pPr>
      <w:r>
        <w:t>下一步行动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[行动一：负责人、截止时间和完成标准]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[行动二：负责人、截止时间和完成标准]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Noto Sans SC Thin" w:hAnsi="Noto Sans SC Thin" w:eastAsia="Noto Sans SC Thin"/>
          <w:color w:val="00383E"/>
          <w:sz w:val="21"/>
        </w:rPr>
        <w:t>[行动三：负责人、截止时间和完成标准]</w:t>
      </w:r>
    </w:p>
    <w:p>
      <w:pPr>
        <w:pStyle w:val="Heading2"/>
        <w:keepNext/>
      </w:pPr>
      <w:r>
        <w:t>来源与说明</w:t>
      </w:r>
    </w:p>
    <w:p>
      <w:pPr>
        <w:spacing w:after="120" w:line="300" w:lineRule="auto"/>
      </w:pPr>
      <w:r>
        <w:rPr>
          <w:rFonts w:ascii="Noto Sans SC Thin" w:hAnsi="Noto Sans SC Thin" w:eastAsia="Noto Sans SC Thin"/>
          <w:color w:val="00383E"/>
          <w:sz w:val="21"/>
        </w:rPr>
        <w:t>[列出数据来源、文件名称、访问日期或计算假设。对无法确认的信息标记“待确认”，不要自动补齐。]</w:t>
      </w:r>
    </w:p>
    <w:p>
      <w:pPr>
        <w:spacing w:before="480"/>
        <w:jc w:val="left"/>
      </w:pPr>
      <w:r>
        <w:drawing>
          <wp:inline xmlns:a="http://schemas.openxmlformats.org/drawingml/2006/main" xmlns:pic="http://schemas.openxmlformats.org/drawingml/2006/picture">
            <wp:extent cx="540000" cy="546252"/>
            <wp:docPr id="2" name="Picture 2" title="万物友灵符号" descr="万物友灵万物青三叶符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mbol-wanwu-t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62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 Thin" w:hAnsi="Noto Sans SC Thin" w:eastAsia="Noto Sans SC Thin"/>
        <w:color w:val="50787C"/>
        <w:sz w:val="17"/>
      </w:rPr>
      <w:t xml:space="preserve">万物友灵品牌文档模板  ·  </w:t>
    </w:r>
    <w:r>
      <w:rPr>
        <w:rFonts w:ascii="Aptos" w:hAnsi="Aptos" w:eastAsia="Aptos"/>
        <w:color w:val="50787C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color w:val="50787C"/>
        <w:sz w:val="17"/>
      </w:rPr>
      <w:t>万物友灵  /  WANWU YOULING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B8E43A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004951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SC Thin" w:hAnsi="Noto Sans SC Thin" w:eastAsia="Noto Sans SC Thin"/>
      <w:color w:val="0038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0049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004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245F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Noto Sans SC Thin" w:hAnsi="Noto Sans SC Thin" w:eastAsia="Noto Sans SC Thin"/>
      <w:b/>
      <w:color w:val="00495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88" w:lineRule="auto"/>
    </w:pPr>
    <w:rPr>
      <w:rFonts w:asciiTheme="majorHAnsi" w:eastAsiaTheme="majorEastAsia" w:hAnsiTheme="majorHAnsi" w:cstheme="majorBidi" w:ascii="Noto Sans SC Thin" w:hAnsi="Noto Sans SC Thin" w:eastAsia="Noto Sans SC Thin"/>
      <w:b w:val="0"/>
      <w:i/>
      <w:iCs/>
      <w:color w:val="50787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万物友灵品牌文档模板</dc:title>
  <dc:subject>Wanwu Youling Brand AI Kit v1.0</dc:subject>
  <dc:creator>万物友灵</dc:creator>
  <cp:keywords>万物友灵, Wanwu Youling, Brand Template</cp:keywords>
  <dc:description>Official document template for Wanwu Youling.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