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74894" w14:textId="77777777" w:rsidR="00AD542F" w:rsidRDefault="00AD542F" w:rsidP="000516CB"/>
    <w:p w14:paraId="18A82A4A" w14:textId="77777777" w:rsidR="00AD542F" w:rsidRDefault="00AD542F" w:rsidP="00AD542F">
      <w:pPr>
        <w:jc w:val="center"/>
        <w:rPr>
          <w:b/>
          <w:sz w:val="32"/>
        </w:rPr>
      </w:pPr>
      <w:r w:rsidRPr="00AD542F">
        <w:rPr>
          <w:b/>
          <w:sz w:val="32"/>
        </w:rPr>
        <w:t>Transfer of learning to the discipline</w:t>
      </w:r>
    </w:p>
    <w:p w14:paraId="066B082B" w14:textId="77777777" w:rsidR="00AD542F" w:rsidRDefault="00AD542F" w:rsidP="00AD542F">
      <w:pPr>
        <w:rPr>
          <w:sz w:val="32"/>
        </w:rPr>
      </w:pPr>
    </w:p>
    <w:p w14:paraId="5324FE56" w14:textId="77777777" w:rsidR="00AD542F" w:rsidRDefault="00AD542F" w:rsidP="00AD542F">
      <w:pPr>
        <w:rPr>
          <w:sz w:val="24"/>
        </w:rPr>
      </w:pPr>
      <w:r w:rsidRPr="00AD542F">
        <w:rPr>
          <w:sz w:val="24"/>
        </w:rPr>
        <w:t xml:space="preserve">By the end of this session, you </w:t>
      </w:r>
      <w:r>
        <w:rPr>
          <w:sz w:val="24"/>
        </w:rPr>
        <w:t xml:space="preserve">should be better prepared to </w:t>
      </w:r>
      <w:r w:rsidR="00395FAB">
        <w:rPr>
          <w:sz w:val="24"/>
        </w:rPr>
        <w:t>apply</w:t>
      </w:r>
      <w:r>
        <w:rPr>
          <w:sz w:val="24"/>
        </w:rPr>
        <w:t xml:space="preserve"> the ES1103 module knowledge </w:t>
      </w:r>
      <w:r w:rsidR="000516CB">
        <w:rPr>
          <w:sz w:val="24"/>
        </w:rPr>
        <w:t xml:space="preserve">to </w:t>
      </w:r>
      <w:r>
        <w:rPr>
          <w:sz w:val="24"/>
        </w:rPr>
        <w:t>your various disciplinary and GE</w:t>
      </w:r>
      <w:r w:rsidR="000516CB">
        <w:rPr>
          <w:sz w:val="24"/>
        </w:rPr>
        <w:t xml:space="preserve"> modules.</w:t>
      </w:r>
    </w:p>
    <w:p w14:paraId="4D3E033B" w14:textId="77777777" w:rsidR="00346BCF" w:rsidRPr="007C51D6" w:rsidRDefault="00346BCF" w:rsidP="007C51D6">
      <w:pPr>
        <w:rPr>
          <w:sz w:val="24"/>
        </w:rPr>
      </w:pPr>
    </w:p>
    <w:p w14:paraId="5F0ECE0A" w14:textId="77777777" w:rsidR="00711C41" w:rsidRDefault="002C1FC2" w:rsidP="00711C41">
      <w:pPr>
        <w:pStyle w:val="ListParagraph"/>
        <w:numPr>
          <w:ilvl w:val="0"/>
          <w:numId w:val="2"/>
        </w:numPr>
        <w:rPr>
          <w:b/>
          <w:sz w:val="28"/>
        </w:rPr>
      </w:pPr>
      <w:r w:rsidRPr="00711C41">
        <w:rPr>
          <w:b/>
          <w:sz w:val="28"/>
        </w:rPr>
        <w:t xml:space="preserve"> </w:t>
      </w:r>
      <w:r w:rsidR="00711C41">
        <w:rPr>
          <w:b/>
          <w:sz w:val="28"/>
        </w:rPr>
        <w:t>Transfer</w:t>
      </w:r>
    </w:p>
    <w:p w14:paraId="56034D24" w14:textId="77777777" w:rsidR="00711C41" w:rsidRDefault="00711C41" w:rsidP="00263480">
      <w:pPr>
        <w:rPr>
          <w:sz w:val="24"/>
        </w:rPr>
      </w:pPr>
      <w:r w:rsidRPr="00711C41">
        <w:rPr>
          <w:b/>
          <w:sz w:val="24"/>
        </w:rPr>
        <w:t>Task:</w:t>
      </w:r>
      <w:r>
        <w:rPr>
          <w:sz w:val="24"/>
        </w:rPr>
        <w:t xml:space="preserve"> Read this short overview of transfer:</w:t>
      </w:r>
    </w:p>
    <w:p w14:paraId="57B3536A" w14:textId="77777777" w:rsidR="00263480" w:rsidRPr="00B55710" w:rsidRDefault="00263480" w:rsidP="00263480">
      <w:pPr>
        <w:rPr>
          <w:sz w:val="24"/>
        </w:rPr>
      </w:pPr>
      <w:r w:rsidRPr="00B55710">
        <w:rPr>
          <w:sz w:val="24"/>
        </w:rPr>
        <w:t xml:space="preserve">Transfer of learning is defined as occurring when “learning in one context or with one set of materials impacts on performance in another context or with another set of materials” </w:t>
      </w:r>
      <w:r w:rsidRPr="00B55710">
        <w:rPr>
          <w:sz w:val="24"/>
        </w:rPr>
        <w:fldChar w:fldCharType="begin" w:fldLock="1"/>
      </w:r>
      <w:r w:rsidRPr="00B55710">
        <w:rPr>
          <w:sz w:val="24"/>
        </w:rPr>
        <w:instrText>ADDIN CSL_CITATION { "citationItems" : [ { "id" : "ITEM-1", "itemData" : { "author" : [ { "dropping-particle" : "", "family" : "Perkins", "given" : "D.N", "non-dropping-particle" : "", "parse-names" : false, "suffix" : "" }, { "dropping-particle" : "", "family" : "Salomon", "given" : "G", "non-dropping-particle" : "", "parse-names" : false, "suffix" : "" } ], "container-title" : "The international encyclopedia of education", "id" : "ITEM-1", "issued" : { "date-parts" : [ [ "1994" ] ] }, "page" : "6452-6457", "publisher" : "Pergamon", "title" : "Transfer of Learning", "type" : "entry-encyclopedia" }, "uris" : [ "http://www.mendeley.com/documents/?uuid=b268d962-319e-449f-a752-d513cfdc83fd" ] } ], "mendeley" : { "formattedCitation" : "(Perkins &amp; Salomon, 1994)", "manualFormatting" : "(Perkins &amp; Salomon, 1994,", "plainTextFormattedCitation" : "(Perkins &amp; Salomon, 1994)", "previouslyFormattedCitation" : "(Perkins &amp; Salomon, 1994)" }, "properties" : { "noteIndex" : 0 }, "schema" : "https://github.com/citation-style-language/schema/raw/master/csl-citation.json" }</w:instrText>
      </w:r>
      <w:r w:rsidRPr="00B55710">
        <w:rPr>
          <w:sz w:val="24"/>
        </w:rPr>
        <w:fldChar w:fldCharType="separate"/>
      </w:r>
      <w:r w:rsidRPr="00B55710">
        <w:rPr>
          <w:sz w:val="24"/>
        </w:rPr>
        <w:t>(Perkins &amp; Salomon, 1994,</w:t>
      </w:r>
      <w:r w:rsidRPr="00B55710">
        <w:rPr>
          <w:sz w:val="24"/>
        </w:rPr>
        <w:fldChar w:fldCharType="end"/>
      </w:r>
      <w:r>
        <w:rPr>
          <w:sz w:val="24"/>
        </w:rPr>
        <w:t xml:space="preserve"> p. 6452). </w:t>
      </w:r>
    </w:p>
    <w:p w14:paraId="1593F495" w14:textId="77777777" w:rsidR="00263480" w:rsidRDefault="00263480" w:rsidP="00AD542F">
      <w:pPr>
        <w:rPr>
          <w:sz w:val="24"/>
        </w:rPr>
      </w:pPr>
      <w:r>
        <w:rPr>
          <w:sz w:val="24"/>
        </w:rPr>
        <w:t>The aim of ES1103 is to help you with the range of writing tasks you are encountering in your core modules as well as your GE modules. For this to happen, you need to transfer/apply knowledge from the ES1103 module</w:t>
      </w:r>
      <w:r w:rsidR="00D349AB">
        <w:rPr>
          <w:sz w:val="24"/>
        </w:rPr>
        <w:t xml:space="preserve"> (the initial context) to other modules and communication events (new contexts)</w:t>
      </w:r>
      <w:r>
        <w:rPr>
          <w:sz w:val="24"/>
        </w:rPr>
        <w:t>.</w:t>
      </w:r>
    </w:p>
    <w:p w14:paraId="681AC142" w14:textId="77777777" w:rsidR="00263480" w:rsidRDefault="00263480" w:rsidP="00AD542F">
      <w:pPr>
        <w:rPr>
          <w:sz w:val="24"/>
        </w:rPr>
      </w:pPr>
      <w:r>
        <w:rPr>
          <w:sz w:val="24"/>
        </w:rPr>
        <w:t xml:space="preserve">Whether transfer occurs depends on many variables. </w:t>
      </w:r>
      <w:r w:rsidR="00D349AB">
        <w:rPr>
          <w:sz w:val="24"/>
        </w:rPr>
        <w:t>First, t</w:t>
      </w:r>
      <w:r>
        <w:rPr>
          <w:sz w:val="24"/>
        </w:rPr>
        <w:t>he content knowledge in the first learning context has to be ‘generalizable’</w:t>
      </w:r>
      <w:r w:rsidR="00D349AB">
        <w:rPr>
          <w:sz w:val="24"/>
        </w:rPr>
        <w:t xml:space="preserve"> to enable</w:t>
      </w:r>
      <w:r>
        <w:rPr>
          <w:sz w:val="24"/>
        </w:rPr>
        <w:t xml:space="preserve"> the learner to extract knowledge and skills and apply them elsewhere.</w:t>
      </w:r>
      <w:r w:rsidR="00D349AB">
        <w:rPr>
          <w:sz w:val="24"/>
        </w:rPr>
        <w:t xml:space="preserve"> Also, t</w:t>
      </w:r>
      <w:r>
        <w:rPr>
          <w:sz w:val="24"/>
        </w:rPr>
        <w:t xml:space="preserve">he learners have to be prepared for transferring knowledge, and this can be done though analysing the new context with the concepts of </w:t>
      </w:r>
      <w:r w:rsidRPr="00263480">
        <w:rPr>
          <w:i/>
          <w:sz w:val="24"/>
        </w:rPr>
        <w:t>near</w:t>
      </w:r>
      <w:r>
        <w:rPr>
          <w:sz w:val="24"/>
        </w:rPr>
        <w:t xml:space="preserve"> and </w:t>
      </w:r>
      <w:r w:rsidRPr="00263480">
        <w:rPr>
          <w:i/>
          <w:sz w:val="24"/>
        </w:rPr>
        <w:t>far</w:t>
      </w:r>
      <w:r>
        <w:rPr>
          <w:sz w:val="24"/>
        </w:rPr>
        <w:t xml:space="preserve"> transfer.</w:t>
      </w:r>
    </w:p>
    <w:p w14:paraId="6574E59A" w14:textId="77777777" w:rsidR="000516CB" w:rsidRDefault="000516CB" w:rsidP="00AD542F">
      <w:pPr>
        <w:rPr>
          <w:sz w:val="24"/>
        </w:rPr>
      </w:pPr>
      <w:r>
        <w:rPr>
          <w:sz w:val="24"/>
        </w:rPr>
        <w:t>Near and Far</w:t>
      </w:r>
      <w:r w:rsidR="00263480">
        <w:rPr>
          <w:sz w:val="24"/>
        </w:rPr>
        <w:t xml:space="preserve"> transfer refer</w:t>
      </w:r>
      <w:r w:rsidR="002C1FC2">
        <w:rPr>
          <w:sz w:val="24"/>
        </w:rPr>
        <w:t xml:space="preserve"> to the similarity of tasks across contexts</w:t>
      </w:r>
      <w:r>
        <w:rPr>
          <w:sz w:val="24"/>
        </w:rPr>
        <w:t xml:space="preserve">. These concepts are also termed ‘Low road’ transfer which means automatic transfer, and </w:t>
      </w:r>
      <w:r w:rsidR="00263480">
        <w:rPr>
          <w:sz w:val="24"/>
        </w:rPr>
        <w:t>‘</w:t>
      </w:r>
      <w:r>
        <w:rPr>
          <w:sz w:val="24"/>
        </w:rPr>
        <w:t>High road</w:t>
      </w:r>
      <w:r w:rsidR="00263480">
        <w:rPr>
          <w:sz w:val="24"/>
        </w:rPr>
        <w:t>’</w:t>
      </w:r>
      <w:r>
        <w:rPr>
          <w:sz w:val="24"/>
        </w:rPr>
        <w:t xml:space="preserve"> transfer which means that the learner engages in mindful abstraction of knowledge to apply it to different contexts </w:t>
      </w:r>
      <w:r>
        <w:rPr>
          <w:sz w:val="24"/>
        </w:rPr>
        <w:fldChar w:fldCharType="begin" w:fldLock="1"/>
      </w:r>
      <w:r>
        <w:rPr>
          <w:sz w:val="24"/>
        </w:rPr>
        <w:instrText>ADDIN CSL_CITATION { "citationItems" : [ { "id" : "ITEM-1", "itemData" : { "author" : [ { "dropping-particle" : "", "family" : "Perkins", "given" : "D.N", "non-dropping-particle" : "", "parse-names" : false, "suffix" : "" }, { "dropping-particle" : "", "family" : "Salomon", "given" : "G", "non-dropping-particle" : "", "parse-names" : false, "suffix" : "" } ], "container-title" : "The international encyclopedia of education", "id" : "ITEM-1", "issued" : { "date-parts" : [ [ "1994" ] ] }, "page" : "6452-6457", "publisher" : "Pergamon", "title" : "Transfer of Learning", "type" : "entry-encyclopedia" }, "uris" : [ "http://www.mendeley.com/documents/?uuid=b268d962-319e-449f-a752-d513cfdc83fd" ] } ], "mendeley" : { "formattedCitation" : "(Perkins &amp; Salomon, 1994)", "plainTextFormattedCitation" : "(Perkins &amp; Salomon, 1994)" }, "properties" : { "noteIndex" : 0 }, "schema" : "https://github.com/citation-style-language/schema/raw/master/csl-citation.json" }</w:instrText>
      </w:r>
      <w:r>
        <w:rPr>
          <w:sz w:val="24"/>
        </w:rPr>
        <w:fldChar w:fldCharType="separate"/>
      </w:r>
      <w:r w:rsidRPr="000516CB">
        <w:rPr>
          <w:noProof/>
          <w:sz w:val="24"/>
        </w:rPr>
        <w:t>(Perkins &amp; Salomon, 1994)</w:t>
      </w:r>
      <w:r>
        <w:rPr>
          <w:sz w:val="24"/>
        </w:rPr>
        <w:fldChar w:fldCharType="end"/>
      </w:r>
      <w:r w:rsidR="002C1FC2">
        <w:rPr>
          <w:sz w:val="24"/>
        </w:rPr>
        <w:t xml:space="preserve">. </w:t>
      </w:r>
    </w:p>
    <w:p w14:paraId="509942F9" w14:textId="77777777" w:rsidR="002C1FC2" w:rsidRDefault="002C1FC2" w:rsidP="00AD542F">
      <w:pPr>
        <w:rPr>
          <w:sz w:val="24"/>
        </w:rPr>
      </w:pPr>
      <w:r>
        <w:rPr>
          <w:sz w:val="24"/>
        </w:rPr>
        <w:t>Near transfer occurs when the initial context is very similar to the next one. In this case, transfer can occur easily because the learner recognises that the same knowledge can be applied.</w:t>
      </w:r>
      <w:r w:rsidR="00D630C4">
        <w:rPr>
          <w:sz w:val="24"/>
        </w:rPr>
        <w:t xml:space="preserve"> In some cases, the transfer can occur automatically.</w:t>
      </w:r>
    </w:p>
    <w:p w14:paraId="22AB383B" w14:textId="77777777" w:rsidR="00877D18" w:rsidRDefault="00877D18" w:rsidP="00AD542F">
      <w:pPr>
        <w:rPr>
          <w:sz w:val="24"/>
        </w:rPr>
      </w:pPr>
      <w:r>
        <w:rPr>
          <w:sz w:val="24"/>
        </w:rPr>
        <w:t>Far transfer</w:t>
      </w:r>
      <w:r w:rsidR="00B834F4">
        <w:rPr>
          <w:sz w:val="24"/>
        </w:rPr>
        <w:t>, on the other hand,</w:t>
      </w:r>
      <w:r>
        <w:rPr>
          <w:sz w:val="24"/>
        </w:rPr>
        <w:t xml:space="preserve"> occurs between an initial and a new context which are very different. In this case, you may not notice that knowledge from the initial context </w:t>
      </w:r>
      <w:r w:rsidR="00D630C4">
        <w:rPr>
          <w:sz w:val="24"/>
        </w:rPr>
        <w:t xml:space="preserve">is relevant and </w:t>
      </w:r>
      <w:r>
        <w:rPr>
          <w:sz w:val="24"/>
        </w:rPr>
        <w:t xml:space="preserve">can be applied. Far transfer is more difficult to achieve and </w:t>
      </w:r>
      <w:r w:rsidR="00B834F4">
        <w:rPr>
          <w:sz w:val="24"/>
        </w:rPr>
        <w:t>needs to be planned for</w:t>
      </w:r>
      <w:r>
        <w:rPr>
          <w:sz w:val="24"/>
        </w:rPr>
        <w:t xml:space="preserve">. </w:t>
      </w:r>
      <w:r w:rsidR="002218F9">
        <w:rPr>
          <w:sz w:val="24"/>
        </w:rPr>
        <w:t xml:space="preserve">Throughout ES1103, we have tried to share knowledge about language and writing skills which you can apply to wide range of contexts if you can recognize the relevance. </w:t>
      </w:r>
      <w:r>
        <w:rPr>
          <w:sz w:val="24"/>
        </w:rPr>
        <w:t>This is what we are doing today.</w:t>
      </w:r>
    </w:p>
    <w:p w14:paraId="1D98E6E2" w14:textId="77777777" w:rsidR="00CA278F" w:rsidRDefault="00CA278F" w:rsidP="00AD542F">
      <w:pPr>
        <w:rPr>
          <w:sz w:val="24"/>
        </w:rPr>
      </w:pPr>
    </w:p>
    <w:p w14:paraId="0DDE2F77" w14:textId="77777777" w:rsidR="00CA278F" w:rsidRDefault="00CA278F" w:rsidP="00AD542F">
      <w:pPr>
        <w:rPr>
          <w:sz w:val="24"/>
        </w:rPr>
      </w:pPr>
    </w:p>
    <w:p w14:paraId="1FCFA706" w14:textId="77777777" w:rsidR="00711C41" w:rsidRPr="00711C41" w:rsidRDefault="00711C41" w:rsidP="00711C41">
      <w:pPr>
        <w:pStyle w:val="ListParagraph"/>
        <w:numPr>
          <w:ilvl w:val="0"/>
          <w:numId w:val="2"/>
        </w:numPr>
        <w:rPr>
          <w:b/>
          <w:sz w:val="28"/>
        </w:rPr>
      </w:pPr>
      <w:r w:rsidRPr="00711C41">
        <w:rPr>
          <w:b/>
          <w:sz w:val="28"/>
        </w:rPr>
        <w:lastRenderedPageBreak/>
        <w:t>Discussing ‘Near’ and ‘Far’ transfer</w:t>
      </w:r>
    </w:p>
    <w:p w14:paraId="7C474CE5" w14:textId="77777777" w:rsidR="00877D18" w:rsidRDefault="00711C41" w:rsidP="00AD542F">
      <w:pPr>
        <w:rPr>
          <w:sz w:val="24"/>
        </w:rPr>
      </w:pPr>
      <w:r w:rsidRPr="00711C41">
        <w:rPr>
          <w:b/>
          <w:sz w:val="24"/>
        </w:rPr>
        <w:t>Task</w:t>
      </w:r>
      <w:r>
        <w:rPr>
          <w:sz w:val="24"/>
        </w:rPr>
        <w:t xml:space="preserve">: </w:t>
      </w:r>
      <w:r w:rsidR="00877D18">
        <w:rPr>
          <w:sz w:val="24"/>
        </w:rPr>
        <w:t xml:space="preserve">On the continuum below, write the </w:t>
      </w:r>
      <w:r w:rsidR="00D630C4">
        <w:rPr>
          <w:sz w:val="24"/>
        </w:rPr>
        <w:t xml:space="preserve">types of </w:t>
      </w:r>
      <w:r w:rsidR="00877D18">
        <w:rPr>
          <w:sz w:val="24"/>
        </w:rPr>
        <w:t>writing tasks that you are completing in your other modules (other contexts) according to whether t</w:t>
      </w:r>
      <w:r w:rsidR="00D630C4">
        <w:rPr>
          <w:sz w:val="24"/>
        </w:rPr>
        <w:t>hey are near the ES1103 content/</w:t>
      </w:r>
      <w:r w:rsidR="00877D18">
        <w:rPr>
          <w:sz w:val="24"/>
        </w:rPr>
        <w:t>tasks or far.</w:t>
      </w:r>
    </w:p>
    <w:p w14:paraId="565DE47A" w14:textId="77777777" w:rsidR="00877D18" w:rsidRDefault="00877D18" w:rsidP="00AD542F">
      <w:pPr>
        <w:rPr>
          <w:sz w:val="24"/>
        </w:rPr>
      </w:pPr>
    </w:p>
    <w:p w14:paraId="6B12FCC0" w14:textId="77777777" w:rsidR="00877D18" w:rsidRDefault="00877D18" w:rsidP="00AD542F">
      <w:pPr>
        <w:rPr>
          <w:sz w:val="24"/>
        </w:rPr>
      </w:pPr>
    </w:p>
    <w:p w14:paraId="5277492F" w14:textId="77777777" w:rsidR="00877D18" w:rsidRDefault="00877D18" w:rsidP="00AD542F">
      <w:pPr>
        <w:rPr>
          <w:sz w:val="24"/>
        </w:rPr>
      </w:pPr>
    </w:p>
    <w:p w14:paraId="453F7E98" w14:textId="77777777" w:rsidR="00CE71D8" w:rsidRDefault="00CE71D8" w:rsidP="00AD542F">
      <w:pPr>
        <w:rPr>
          <w:sz w:val="24"/>
        </w:rPr>
      </w:pPr>
    </w:p>
    <w:p w14:paraId="2FE863FD" w14:textId="77777777" w:rsidR="00CE71D8" w:rsidRPr="00CE71D8" w:rsidRDefault="00282453" w:rsidP="00CE71D8">
      <w:pPr>
        <w:rPr>
          <w:sz w:val="24"/>
        </w:rPr>
      </w:pPr>
      <w:r>
        <w:rPr>
          <w:noProof/>
          <w:sz w:val="24"/>
          <w:lang w:val="en-US"/>
        </w:rPr>
        <mc:AlternateContent>
          <mc:Choice Requires="wps">
            <w:drawing>
              <wp:anchor distT="0" distB="0" distL="114300" distR="114300" simplePos="0" relativeHeight="251659264" behindDoc="0" locked="0" layoutInCell="1" allowOverlap="1" wp14:anchorId="6EC65D5D" wp14:editId="4AF8A50E">
                <wp:simplePos x="0" y="0"/>
                <wp:positionH relativeFrom="column">
                  <wp:posOffset>391767</wp:posOffset>
                </wp:positionH>
                <wp:positionV relativeFrom="paragraph">
                  <wp:posOffset>29707</wp:posOffset>
                </wp:positionV>
                <wp:extent cx="4752975" cy="495300"/>
                <wp:effectExtent l="19050" t="19050" r="47625" b="38100"/>
                <wp:wrapNone/>
                <wp:docPr id="1" name="Left-Right Arrow 1"/>
                <wp:cNvGraphicFramePr/>
                <a:graphic xmlns:a="http://schemas.openxmlformats.org/drawingml/2006/main">
                  <a:graphicData uri="http://schemas.microsoft.com/office/word/2010/wordprocessingShape">
                    <wps:wsp>
                      <wps:cNvSpPr/>
                      <wps:spPr>
                        <a:xfrm>
                          <a:off x="0" y="0"/>
                          <a:ext cx="4752975" cy="4953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03D281" w14:textId="77777777" w:rsidR="00877D18" w:rsidRPr="00877D18" w:rsidRDefault="00877D18" w:rsidP="00877D18">
                            <w:pPr>
                              <w:rPr>
                                <w:lang w:val="en-US"/>
                              </w:rPr>
                            </w:pPr>
                            <w:r>
                              <w:rPr>
                                <w:lang w:val="en-US"/>
                              </w:rPr>
                              <w:t>Near                                                                                                                   Far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C65D5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 o:spid="_x0000_s1026" type="#_x0000_t69" style="position:absolute;margin-left:30.85pt;margin-top:2.35pt;width:374.2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" adj="1125" fillcolor="#5b9bd5 [3204]" strokecolor="#1f4d78 [1604]" strokeweight="1pt">
                <v:textbox>
                  <w:txbxContent>
                    <w:p w14:paraId="3903D281" w14:textId="77777777" w:rsidR="00877D18" w:rsidRPr="00877D18" w:rsidRDefault="00877D18" w:rsidP="00877D18">
                      <w:pPr>
                        <w:rPr>
                          <w:lang w:val="en-US"/>
                        </w:rPr>
                      </w:pPr>
                      <w:r>
                        <w:rPr>
                          <w:lang w:val="en-US"/>
                        </w:rPr>
                        <w:t>Near                                                                                                                   Far</w:t>
                      </w:r>
                    </w:p>
                  </w:txbxContent>
                </v:textbox>
              </v:shape>
            </w:pict>
          </mc:Fallback>
        </mc:AlternateContent>
      </w:r>
    </w:p>
    <w:p w14:paraId="0150A16D" w14:textId="77777777" w:rsidR="00CE71D8" w:rsidRPr="00CE71D8" w:rsidRDefault="00CE71D8" w:rsidP="00CE71D8">
      <w:pPr>
        <w:rPr>
          <w:sz w:val="24"/>
        </w:rPr>
      </w:pPr>
    </w:p>
    <w:p w14:paraId="0D4D9523" w14:textId="77777777" w:rsidR="00CE71D8" w:rsidRPr="00CE71D8" w:rsidRDefault="00CE71D8" w:rsidP="00CE71D8">
      <w:pPr>
        <w:rPr>
          <w:sz w:val="24"/>
        </w:rPr>
      </w:pPr>
    </w:p>
    <w:p w14:paraId="745F1E94" w14:textId="77777777" w:rsidR="00CE71D8" w:rsidRPr="00CE71D8" w:rsidRDefault="00CE71D8" w:rsidP="00CE71D8">
      <w:pPr>
        <w:rPr>
          <w:sz w:val="24"/>
        </w:rPr>
      </w:pPr>
    </w:p>
    <w:p w14:paraId="00250852" w14:textId="77777777" w:rsidR="00CE71D8" w:rsidRDefault="00CE71D8" w:rsidP="00CE71D8">
      <w:pPr>
        <w:rPr>
          <w:sz w:val="24"/>
        </w:rPr>
      </w:pPr>
    </w:p>
    <w:p w14:paraId="27BCE6EA" w14:textId="77777777" w:rsidR="00877D18" w:rsidRPr="00282453" w:rsidRDefault="00877D18" w:rsidP="00CE71D8">
      <w:pPr>
        <w:rPr>
          <w:b/>
          <w:sz w:val="24"/>
        </w:rPr>
      </w:pPr>
    </w:p>
    <w:p w14:paraId="14F37089" w14:textId="77777777" w:rsidR="00B67DCE" w:rsidRDefault="00282453" w:rsidP="00CE71D8">
      <w:pPr>
        <w:rPr>
          <w:sz w:val="24"/>
        </w:rPr>
      </w:pPr>
      <w:r w:rsidRPr="00282453">
        <w:rPr>
          <w:b/>
          <w:sz w:val="24"/>
        </w:rPr>
        <w:t>Task:</w:t>
      </w:r>
      <w:r>
        <w:rPr>
          <w:sz w:val="24"/>
        </w:rPr>
        <w:t xml:space="preserve"> </w:t>
      </w:r>
      <w:r w:rsidR="00B67DCE">
        <w:rPr>
          <w:sz w:val="24"/>
        </w:rPr>
        <w:t>Discuss whether the ES1103 module content can be applied to the tasks you have written on the FAR side of the continuum.</w:t>
      </w:r>
    </w:p>
    <w:p w14:paraId="5A30EB3E" w14:textId="77777777" w:rsidR="00CE71D8" w:rsidRDefault="00CE71D8" w:rsidP="00CE71D8">
      <w:pPr>
        <w:rPr>
          <w:sz w:val="24"/>
        </w:rPr>
      </w:pPr>
    </w:p>
    <w:p w14:paraId="21BDA190" w14:textId="77777777" w:rsidR="00CE71D8" w:rsidRPr="00CE71D8" w:rsidRDefault="00CE71D8" w:rsidP="00CE71D8">
      <w:pPr>
        <w:rPr>
          <w:b/>
          <w:sz w:val="32"/>
        </w:rPr>
      </w:pPr>
      <w:r w:rsidRPr="00CE71D8">
        <w:rPr>
          <w:b/>
          <w:sz w:val="32"/>
        </w:rPr>
        <w:t>Task 2: Transfer from ES1103</w:t>
      </w:r>
    </w:p>
    <w:p w14:paraId="02EBC458" w14:textId="77777777" w:rsidR="00CE71D8" w:rsidRDefault="00CE71D8" w:rsidP="00CE71D8">
      <w:pPr>
        <w:rPr>
          <w:sz w:val="24"/>
          <w:lang w:val="en-US"/>
        </w:rPr>
      </w:pPr>
      <w:r w:rsidRPr="007C51D6">
        <w:rPr>
          <w:sz w:val="24"/>
          <w:lang w:val="en-US"/>
        </w:rPr>
        <w:t xml:space="preserve">What, from the </w:t>
      </w:r>
      <w:r>
        <w:rPr>
          <w:sz w:val="24"/>
          <w:lang w:val="en-US"/>
        </w:rPr>
        <w:t xml:space="preserve">ES1103 </w:t>
      </w:r>
      <w:r w:rsidRPr="007C51D6">
        <w:rPr>
          <w:sz w:val="24"/>
          <w:lang w:val="en-US"/>
        </w:rPr>
        <w:t xml:space="preserve">EAP module, do you think can transfer to your discipline or other modules: refer to </w:t>
      </w:r>
      <w:r>
        <w:rPr>
          <w:sz w:val="24"/>
          <w:lang w:val="en-US"/>
        </w:rPr>
        <w:t xml:space="preserve">specific </w:t>
      </w:r>
      <w:r w:rsidRPr="007C51D6">
        <w:rPr>
          <w:sz w:val="24"/>
          <w:lang w:val="en-US"/>
        </w:rPr>
        <w:t xml:space="preserve">examples from this semester’s modules </w:t>
      </w:r>
      <w:r>
        <w:rPr>
          <w:sz w:val="24"/>
          <w:lang w:val="en-US"/>
        </w:rPr>
        <w:t xml:space="preserve">(using the course schedule to remind yourself of the content) </w:t>
      </w:r>
      <w:r w:rsidRPr="007C51D6">
        <w:rPr>
          <w:sz w:val="24"/>
          <w:lang w:val="en-US"/>
        </w:rPr>
        <w:t>and draw a list.</w:t>
      </w:r>
    </w:p>
    <w:tbl>
      <w:tblPr>
        <w:tblStyle w:val="TableGrid"/>
        <w:tblW w:w="0" w:type="auto"/>
        <w:tblLook w:val="04A0" w:firstRow="1" w:lastRow="0" w:firstColumn="1" w:lastColumn="0" w:noHBand="0" w:noVBand="1"/>
      </w:tblPr>
      <w:tblGrid>
        <w:gridCol w:w="2264"/>
        <w:gridCol w:w="6752"/>
      </w:tblGrid>
      <w:tr w:rsidR="00CE71D8" w14:paraId="2D3A1955" w14:textId="77777777" w:rsidTr="008A0889">
        <w:tc>
          <w:tcPr>
            <w:tcW w:w="2122" w:type="dxa"/>
          </w:tcPr>
          <w:p w14:paraId="29D80BD5" w14:textId="77777777" w:rsidR="00CE71D8" w:rsidRDefault="00CE71D8" w:rsidP="008A0889">
            <w:pPr>
              <w:rPr>
                <w:sz w:val="24"/>
              </w:rPr>
            </w:pPr>
            <w:r>
              <w:rPr>
                <w:sz w:val="24"/>
              </w:rPr>
              <w:t>ES1103 content</w:t>
            </w:r>
          </w:p>
        </w:tc>
        <w:tc>
          <w:tcPr>
            <w:tcW w:w="6894" w:type="dxa"/>
          </w:tcPr>
          <w:p w14:paraId="604AB622" w14:textId="77777777" w:rsidR="00CE71D8" w:rsidRDefault="00CE71D8" w:rsidP="008A0889">
            <w:pPr>
              <w:rPr>
                <w:sz w:val="24"/>
              </w:rPr>
            </w:pPr>
            <w:r>
              <w:rPr>
                <w:sz w:val="24"/>
              </w:rPr>
              <w:t>Can be useful in my discipline modules/GEM modules</w:t>
            </w:r>
          </w:p>
        </w:tc>
      </w:tr>
      <w:tr w:rsidR="00776914" w14:paraId="4BB70D4B" w14:textId="77777777" w:rsidTr="00F65527">
        <w:tc>
          <w:tcPr>
            <w:tcW w:w="2122" w:type="dxa"/>
            <w:shd w:val="clear" w:color="auto" w:fill="E7E6E6" w:themeFill="background2"/>
          </w:tcPr>
          <w:p w14:paraId="28EAA9B2" w14:textId="77777777" w:rsidR="00776914" w:rsidRDefault="00487489" w:rsidP="008A0889">
            <w:pPr>
              <w:rPr>
                <w:sz w:val="24"/>
              </w:rPr>
            </w:pPr>
            <w:r>
              <w:rPr>
                <w:sz w:val="24"/>
              </w:rPr>
              <w:t>Language choices seen as directly impacted by the context</w:t>
            </w:r>
            <w:r w:rsidR="00DE5EB0">
              <w:rPr>
                <w:sz w:val="24"/>
              </w:rPr>
              <w:t xml:space="preserve"> - Genre knowledge </w:t>
            </w:r>
          </w:p>
        </w:tc>
        <w:tc>
          <w:tcPr>
            <w:tcW w:w="6894" w:type="dxa"/>
            <w:shd w:val="clear" w:color="auto" w:fill="E7E6E6" w:themeFill="background2"/>
          </w:tcPr>
          <w:p w14:paraId="4D7CE702" w14:textId="77777777" w:rsidR="00776914" w:rsidRDefault="00776914" w:rsidP="00CC7040">
            <w:pPr>
              <w:rPr>
                <w:sz w:val="24"/>
              </w:rPr>
            </w:pPr>
          </w:p>
        </w:tc>
      </w:tr>
      <w:tr w:rsidR="00CE71D8" w14:paraId="60FEFFDF" w14:textId="77777777" w:rsidTr="008A0889">
        <w:tc>
          <w:tcPr>
            <w:tcW w:w="2122" w:type="dxa"/>
          </w:tcPr>
          <w:p w14:paraId="4885E0B8" w14:textId="77777777" w:rsidR="00CE71D8" w:rsidRDefault="00CE71D8" w:rsidP="008A0889">
            <w:pPr>
              <w:rPr>
                <w:sz w:val="24"/>
              </w:rPr>
            </w:pPr>
            <w:r>
              <w:rPr>
                <w:sz w:val="24"/>
              </w:rPr>
              <w:t>Reading and note-taking strategies</w:t>
            </w:r>
          </w:p>
        </w:tc>
        <w:tc>
          <w:tcPr>
            <w:tcW w:w="6894" w:type="dxa"/>
          </w:tcPr>
          <w:p w14:paraId="530AD0F4" w14:textId="77777777" w:rsidR="00CE71D8" w:rsidRDefault="00CE71D8" w:rsidP="008A0889">
            <w:pPr>
              <w:rPr>
                <w:sz w:val="24"/>
              </w:rPr>
            </w:pPr>
          </w:p>
        </w:tc>
      </w:tr>
      <w:tr w:rsidR="00CE71D8" w14:paraId="5962DCAF" w14:textId="77777777" w:rsidTr="00F65527">
        <w:tc>
          <w:tcPr>
            <w:tcW w:w="2122" w:type="dxa"/>
            <w:shd w:val="clear" w:color="auto" w:fill="E7E6E6" w:themeFill="background2"/>
          </w:tcPr>
          <w:p w14:paraId="31AB090C" w14:textId="77777777" w:rsidR="00CE71D8" w:rsidRDefault="00CE71D8" w:rsidP="008A0889">
            <w:pPr>
              <w:rPr>
                <w:sz w:val="24"/>
              </w:rPr>
            </w:pPr>
            <w:r>
              <w:rPr>
                <w:sz w:val="24"/>
              </w:rPr>
              <w:t>Paraphrasing and summarizing</w:t>
            </w:r>
          </w:p>
          <w:p w14:paraId="0986CE94" w14:textId="77777777" w:rsidR="00CE71D8" w:rsidRDefault="00CE71D8" w:rsidP="008A0889">
            <w:pPr>
              <w:rPr>
                <w:sz w:val="24"/>
              </w:rPr>
            </w:pPr>
            <w:r>
              <w:rPr>
                <w:sz w:val="24"/>
              </w:rPr>
              <w:t>Writing syntheses</w:t>
            </w:r>
          </w:p>
        </w:tc>
        <w:tc>
          <w:tcPr>
            <w:tcW w:w="6894" w:type="dxa"/>
            <w:shd w:val="clear" w:color="auto" w:fill="E7E6E6" w:themeFill="background2"/>
          </w:tcPr>
          <w:p w14:paraId="13AFC69B" w14:textId="77777777" w:rsidR="00CE71D8" w:rsidRDefault="00CE71D8" w:rsidP="008A0889">
            <w:pPr>
              <w:rPr>
                <w:sz w:val="24"/>
              </w:rPr>
            </w:pPr>
          </w:p>
        </w:tc>
      </w:tr>
      <w:tr w:rsidR="00CE71D8" w14:paraId="65A1B539" w14:textId="77777777" w:rsidTr="008A0889">
        <w:tc>
          <w:tcPr>
            <w:tcW w:w="2122" w:type="dxa"/>
          </w:tcPr>
          <w:p w14:paraId="40B8FE24" w14:textId="77777777" w:rsidR="00CE71D8" w:rsidRDefault="00CE71D8" w:rsidP="008A0889">
            <w:pPr>
              <w:rPr>
                <w:sz w:val="24"/>
              </w:rPr>
            </w:pPr>
            <w:r>
              <w:rPr>
                <w:sz w:val="24"/>
              </w:rPr>
              <w:t>Avoiding plagiarism</w:t>
            </w:r>
          </w:p>
          <w:p w14:paraId="13FA7962" w14:textId="77777777" w:rsidR="00CE71D8" w:rsidRDefault="00CE71D8" w:rsidP="008A0889">
            <w:pPr>
              <w:rPr>
                <w:sz w:val="24"/>
              </w:rPr>
            </w:pPr>
            <w:r>
              <w:rPr>
                <w:sz w:val="24"/>
              </w:rPr>
              <w:t>Using a citation system such as APA (in-text and end-text)</w:t>
            </w:r>
          </w:p>
        </w:tc>
        <w:tc>
          <w:tcPr>
            <w:tcW w:w="6894" w:type="dxa"/>
          </w:tcPr>
          <w:p w14:paraId="0B0F50F6" w14:textId="77777777" w:rsidR="00CE71D8" w:rsidRDefault="00CE71D8" w:rsidP="008A0889">
            <w:pPr>
              <w:rPr>
                <w:sz w:val="24"/>
              </w:rPr>
            </w:pPr>
          </w:p>
        </w:tc>
      </w:tr>
      <w:tr w:rsidR="00CE71D8" w14:paraId="618F6780" w14:textId="77777777" w:rsidTr="00F65527">
        <w:tc>
          <w:tcPr>
            <w:tcW w:w="2122" w:type="dxa"/>
            <w:shd w:val="clear" w:color="auto" w:fill="E7E6E6" w:themeFill="background2"/>
          </w:tcPr>
          <w:p w14:paraId="07B22CF8" w14:textId="77777777" w:rsidR="00CE71D8" w:rsidRDefault="00CE71D8" w:rsidP="008A0889">
            <w:pPr>
              <w:rPr>
                <w:sz w:val="24"/>
              </w:rPr>
            </w:pPr>
            <w:r>
              <w:rPr>
                <w:sz w:val="24"/>
              </w:rPr>
              <w:t>Analysing a prompt</w:t>
            </w:r>
          </w:p>
          <w:p w14:paraId="5973D0BA" w14:textId="77777777" w:rsidR="00CE71D8" w:rsidRDefault="00CE71D8" w:rsidP="008A0889">
            <w:pPr>
              <w:rPr>
                <w:sz w:val="24"/>
              </w:rPr>
            </w:pPr>
            <w:r>
              <w:rPr>
                <w:sz w:val="24"/>
              </w:rPr>
              <w:t xml:space="preserve">Brainstorming </w:t>
            </w:r>
          </w:p>
          <w:p w14:paraId="4B1B56F9" w14:textId="77777777" w:rsidR="00CE71D8" w:rsidRDefault="00CE71D8" w:rsidP="008A0889">
            <w:pPr>
              <w:rPr>
                <w:sz w:val="24"/>
              </w:rPr>
            </w:pPr>
            <w:r>
              <w:rPr>
                <w:sz w:val="24"/>
              </w:rPr>
              <w:t>Outlining</w:t>
            </w:r>
          </w:p>
          <w:p w14:paraId="72E45B68" w14:textId="77777777" w:rsidR="00CE71D8" w:rsidRDefault="00CE71D8" w:rsidP="008A0889">
            <w:pPr>
              <w:rPr>
                <w:sz w:val="24"/>
              </w:rPr>
            </w:pPr>
            <w:r>
              <w:rPr>
                <w:sz w:val="24"/>
              </w:rPr>
              <w:t>Gathering sources</w:t>
            </w:r>
          </w:p>
        </w:tc>
        <w:tc>
          <w:tcPr>
            <w:tcW w:w="6894" w:type="dxa"/>
            <w:shd w:val="clear" w:color="auto" w:fill="E7E6E6" w:themeFill="background2"/>
          </w:tcPr>
          <w:p w14:paraId="3D939387" w14:textId="77777777" w:rsidR="00CE71D8" w:rsidRDefault="00CE71D8" w:rsidP="008A0889">
            <w:pPr>
              <w:rPr>
                <w:sz w:val="24"/>
              </w:rPr>
            </w:pPr>
          </w:p>
        </w:tc>
      </w:tr>
      <w:tr w:rsidR="00CE71D8" w14:paraId="13AB8BD8" w14:textId="77777777" w:rsidTr="008A0889">
        <w:tc>
          <w:tcPr>
            <w:tcW w:w="2122" w:type="dxa"/>
          </w:tcPr>
          <w:p w14:paraId="558281F3" w14:textId="77777777" w:rsidR="004C69D8" w:rsidRDefault="00CE71D8" w:rsidP="008A0889">
            <w:pPr>
              <w:rPr>
                <w:sz w:val="24"/>
              </w:rPr>
            </w:pPr>
            <w:r>
              <w:rPr>
                <w:sz w:val="24"/>
              </w:rPr>
              <w:t>Writing cohesive texts</w:t>
            </w:r>
            <w:r w:rsidR="004C69D8">
              <w:rPr>
                <w:sz w:val="24"/>
              </w:rPr>
              <w:t>: thesis and scope/hyperthemes/</w:t>
            </w:r>
          </w:p>
          <w:p w14:paraId="0AC02910" w14:textId="77777777" w:rsidR="00CE71D8" w:rsidRDefault="004C69D8" w:rsidP="008A0889">
            <w:pPr>
              <w:rPr>
                <w:sz w:val="24"/>
              </w:rPr>
            </w:pPr>
            <w:r>
              <w:rPr>
                <w:sz w:val="24"/>
              </w:rPr>
              <w:t>thematic progression</w:t>
            </w:r>
          </w:p>
        </w:tc>
        <w:tc>
          <w:tcPr>
            <w:tcW w:w="6894" w:type="dxa"/>
          </w:tcPr>
          <w:p w14:paraId="08F3FFDE" w14:textId="77777777" w:rsidR="00CE71D8" w:rsidRDefault="00CE71D8" w:rsidP="008A0889">
            <w:pPr>
              <w:rPr>
                <w:sz w:val="24"/>
              </w:rPr>
            </w:pPr>
          </w:p>
        </w:tc>
      </w:tr>
      <w:tr w:rsidR="00CE71D8" w14:paraId="044859DD" w14:textId="77777777" w:rsidTr="00F65527">
        <w:tc>
          <w:tcPr>
            <w:tcW w:w="2122" w:type="dxa"/>
            <w:shd w:val="clear" w:color="auto" w:fill="E7E6E6" w:themeFill="background2"/>
          </w:tcPr>
          <w:p w14:paraId="372086AE" w14:textId="77777777" w:rsidR="00CE71D8" w:rsidRDefault="00CE71D8" w:rsidP="008A0889">
            <w:pPr>
              <w:rPr>
                <w:sz w:val="24"/>
              </w:rPr>
            </w:pPr>
            <w:r>
              <w:rPr>
                <w:sz w:val="24"/>
              </w:rPr>
              <w:t>Writing introductions</w:t>
            </w:r>
          </w:p>
        </w:tc>
        <w:tc>
          <w:tcPr>
            <w:tcW w:w="6894" w:type="dxa"/>
            <w:shd w:val="clear" w:color="auto" w:fill="E7E6E6" w:themeFill="background2"/>
          </w:tcPr>
          <w:p w14:paraId="75DB974D" w14:textId="77777777" w:rsidR="00CE71D8" w:rsidRDefault="00CE71D8" w:rsidP="008A0889">
            <w:pPr>
              <w:rPr>
                <w:sz w:val="24"/>
              </w:rPr>
            </w:pPr>
          </w:p>
        </w:tc>
      </w:tr>
      <w:tr w:rsidR="00CE71D8" w14:paraId="08B60EDD" w14:textId="77777777" w:rsidTr="008A0889">
        <w:tc>
          <w:tcPr>
            <w:tcW w:w="2122" w:type="dxa"/>
          </w:tcPr>
          <w:p w14:paraId="66AC348C" w14:textId="77777777" w:rsidR="00CE71D8" w:rsidRDefault="00CE71D8" w:rsidP="008A0889">
            <w:pPr>
              <w:rPr>
                <w:sz w:val="24"/>
              </w:rPr>
            </w:pPr>
            <w:r>
              <w:rPr>
                <w:sz w:val="24"/>
              </w:rPr>
              <w:t>Writing complex sentences and expressing clear logical meaning</w:t>
            </w:r>
          </w:p>
        </w:tc>
        <w:tc>
          <w:tcPr>
            <w:tcW w:w="6894" w:type="dxa"/>
          </w:tcPr>
          <w:p w14:paraId="7768C0B6" w14:textId="77777777" w:rsidR="00CE71D8" w:rsidRDefault="00CE71D8" w:rsidP="008A0889">
            <w:pPr>
              <w:rPr>
                <w:sz w:val="24"/>
              </w:rPr>
            </w:pPr>
          </w:p>
        </w:tc>
      </w:tr>
      <w:tr w:rsidR="00CE71D8" w14:paraId="2A838C36" w14:textId="77777777" w:rsidTr="00F65527">
        <w:tc>
          <w:tcPr>
            <w:tcW w:w="2122" w:type="dxa"/>
            <w:shd w:val="clear" w:color="auto" w:fill="E7E6E6" w:themeFill="background2"/>
          </w:tcPr>
          <w:p w14:paraId="4B64FACB" w14:textId="77777777" w:rsidR="00CE71D8" w:rsidRDefault="00CE71D8" w:rsidP="008A0889">
            <w:pPr>
              <w:rPr>
                <w:sz w:val="24"/>
              </w:rPr>
            </w:pPr>
            <w:r>
              <w:rPr>
                <w:sz w:val="24"/>
              </w:rPr>
              <w:t>Reviewing a peer’s essay</w:t>
            </w:r>
          </w:p>
        </w:tc>
        <w:tc>
          <w:tcPr>
            <w:tcW w:w="6894" w:type="dxa"/>
            <w:shd w:val="clear" w:color="auto" w:fill="E7E6E6" w:themeFill="background2"/>
          </w:tcPr>
          <w:p w14:paraId="7BF614A9" w14:textId="77777777" w:rsidR="00CE71D8" w:rsidRDefault="00CE71D8" w:rsidP="008A0889">
            <w:pPr>
              <w:rPr>
                <w:sz w:val="24"/>
              </w:rPr>
            </w:pPr>
          </w:p>
        </w:tc>
      </w:tr>
      <w:tr w:rsidR="00645F6B" w14:paraId="114084A9" w14:textId="77777777" w:rsidTr="008A0889">
        <w:tc>
          <w:tcPr>
            <w:tcW w:w="2122" w:type="dxa"/>
          </w:tcPr>
          <w:p w14:paraId="13A6ADFD" w14:textId="77777777" w:rsidR="00645F6B" w:rsidRDefault="00645F6B" w:rsidP="008A0889">
            <w:pPr>
              <w:rPr>
                <w:sz w:val="24"/>
              </w:rPr>
            </w:pPr>
            <w:r>
              <w:rPr>
                <w:sz w:val="24"/>
              </w:rPr>
              <w:t>Writing process (multiple drafting and revisions)</w:t>
            </w:r>
          </w:p>
        </w:tc>
        <w:tc>
          <w:tcPr>
            <w:tcW w:w="6894" w:type="dxa"/>
          </w:tcPr>
          <w:p w14:paraId="7C6D897D" w14:textId="77777777" w:rsidR="00645F6B" w:rsidRDefault="00645F6B" w:rsidP="008A0889">
            <w:pPr>
              <w:rPr>
                <w:sz w:val="24"/>
              </w:rPr>
            </w:pPr>
          </w:p>
        </w:tc>
      </w:tr>
      <w:tr w:rsidR="00CE71D8" w14:paraId="0EB0BB83" w14:textId="77777777" w:rsidTr="00F65527">
        <w:tc>
          <w:tcPr>
            <w:tcW w:w="2122" w:type="dxa"/>
            <w:shd w:val="clear" w:color="auto" w:fill="E7E6E6" w:themeFill="background2"/>
          </w:tcPr>
          <w:p w14:paraId="732E11CC" w14:textId="77777777" w:rsidR="00CE71D8" w:rsidRDefault="00CE71D8" w:rsidP="008A0889">
            <w:pPr>
              <w:rPr>
                <w:sz w:val="24"/>
              </w:rPr>
            </w:pPr>
            <w:r>
              <w:rPr>
                <w:sz w:val="24"/>
              </w:rPr>
              <w:t>Expressing dense meanings using complex noun groups</w:t>
            </w:r>
            <w:r w:rsidR="008A4B35">
              <w:rPr>
                <w:sz w:val="24"/>
              </w:rPr>
              <w:t>-writing academically</w:t>
            </w:r>
          </w:p>
        </w:tc>
        <w:tc>
          <w:tcPr>
            <w:tcW w:w="6894" w:type="dxa"/>
            <w:shd w:val="clear" w:color="auto" w:fill="E7E6E6" w:themeFill="background2"/>
          </w:tcPr>
          <w:p w14:paraId="496DA71C" w14:textId="77777777" w:rsidR="00CE71D8" w:rsidRDefault="00CE71D8" w:rsidP="008A0889">
            <w:pPr>
              <w:rPr>
                <w:sz w:val="24"/>
              </w:rPr>
            </w:pPr>
          </w:p>
        </w:tc>
      </w:tr>
      <w:tr w:rsidR="008A4B35" w14:paraId="6FF6F2D2" w14:textId="77777777" w:rsidTr="008A0889">
        <w:tc>
          <w:tcPr>
            <w:tcW w:w="2122" w:type="dxa"/>
          </w:tcPr>
          <w:p w14:paraId="2D163801" w14:textId="77777777" w:rsidR="008A4B35" w:rsidRDefault="008A4B35" w:rsidP="008A0889">
            <w:pPr>
              <w:rPr>
                <w:sz w:val="24"/>
              </w:rPr>
            </w:pPr>
            <w:r>
              <w:rPr>
                <w:sz w:val="24"/>
              </w:rPr>
              <w:t>Engaging with a body of literature and expressing stance through endorsing and distancing language</w:t>
            </w:r>
            <w:r w:rsidR="008F2781">
              <w:rPr>
                <w:sz w:val="24"/>
              </w:rPr>
              <w:t xml:space="preserve"> (making the sources talk to each other).</w:t>
            </w:r>
          </w:p>
        </w:tc>
        <w:tc>
          <w:tcPr>
            <w:tcW w:w="6894" w:type="dxa"/>
          </w:tcPr>
          <w:p w14:paraId="486F46AB" w14:textId="77777777" w:rsidR="008A4B35" w:rsidRDefault="008A4B35" w:rsidP="008A0889">
            <w:pPr>
              <w:rPr>
                <w:sz w:val="24"/>
              </w:rPr>
            </w:pPr>
          </w:p>
        </w:tc>
      </w:tr>
      <w:tr w:rsidR="00CE71D8" w14:paraId="013640C1" w14:textId="77777777" w:rsidTr="00F65527">
        <w:tc>
          <w:tcPr>
            <w:tcW w:w="2122" w:type="dxa"/>
            <w:shd w:val="clear" w:color="auto" w:fill="E7E6E6" w:themeFill="background2"/>
          </w:tcPr>
          <w:p w14:paraId="6FCE6749" w14:textId="77777777" w:rsidR="00CE71D8" w:rsidRDefault="00CE71D8" w:rsidP="008A0889">
            <w:pPr>
              <w:rPr>
                <w:sz w:val="24"/>
              </w:rPr>
            </w:pPr>
            <w:r>
              <w:rPr>
                <w:sz w:val="24"/>
              </w:rPr>
              <w:t>Writing Reference lists manually and with Mendeley</w:t>
            </w:r>
          </w:p>
        </w:tc>
        <w:tc>
          <w:tcPr>
            <w:tcW w:w="6894" w:type="dxa"/>
            <w:shd w:val="clear" w:color="auto" w:fill="E7E6E6" w:themeFill="background2"/>
          </w:tcPr>
          <w:p w14:paraId="5C5D453E" w14:textId="77777777" w:rsidR="00CE71D8" w:rsidRDefault="00CE71D8" w:rsidP="008A0889">
            <w:pPr>
              <w:rPr>
                <w:sz w:val="24"/>
              </w:rPr>
            </w:pPr>
          </w:p>
        </w:tc>
      </w:tr>
      <w:tr w:rsidR="00CE71D8" w14:paraId="02E398BE" w14:textId="77777777" w:rsidTr="008A0889">
        <w:tc>
          <w:tcPr>
            <w:tcW w:w="2122" w:type="dxa"/>
          </w:tcPr>
          <w:p w14:paraId="195EEECD" w14:textId="77777777" w:rsidR="00CE71D8" w:rsidRDefault="00CE71D8" w:rsidP="008A0889">
            <w:pPr>
              <w:rPr>
                <w:sz w:val="24"/>
              </w:rPr>
            </w:pPr>
            <w:r>
              <w:rPr>
                <w:sz w:val="24"/>
              </w:rPr>
              <w:t>Analysing disciplinary texts</w:t>
            </w:r>
          </w:p>
        </w:tc>
        <w:tc>
          <w:tcPr>
            <w:tcW w:w="6894" w:type="dxa"/>
          </w:tcPr>
          <w:p w14:paraId="69FBFB46" w14:textId="77777777" w:rsidR="00CE71D8" w:rsidRDefault="00CE71D8" w:rsidP="008A0889">
            <w:pPr>
              <w:rPr>
                <w:sz w:val="24"/>
              </w:rPr>
            </w:pPr>
          </w:p>
        </w:tc>
      </w:tr>
      <w:tr w:rsidR="00CE71D8" w14:paraId="423BDEFD" w14:textId="77777777" w:rsidTr="00F65527">
        <w:tc>
          <w:tcPr>
            <w:tcW w:w="2122" w:type="dxa"/>
            <w:shd w:val="clear" w:color="auto" w:fill="E7E6E6" w:themeFill="background2"/>
          </w:tcPr>
          <w:p w14:paraId="706766D2" w14:textId="77777777" w:rsidR="00CE71D8" w:rsidRDefault="00CE71D8" w:rsidP="008A0889">
            <w:pPr>
              <w:rPr>
                <w:sz w:val="24"/>
              </w:rPr>
            </w:pPr>
            <w:r>
              <w:rPr>
                <w:sz w:val="24"/>
              </w:rPr>
              <w:t>Writing critical reflections</w:t>
            </w:r>
          </w:p>
        </w:tc>
        <w:tc>
          <w:tcPr>
            <w:tcW w:w="6894" w:type="dxa"/>
            <w:shd w:val="clear" w:color="auto" w:fill="E7E6E6" w:themeFill="background2"/>
          </w:tcPr>
          <w:p w14:paraId="49E0702A" w14:textId="77777777" w:rsidR="00CE71D8" w:rsidRDefault="00CE71D8" w:rsidP="008A0889">
            <w:pPr>
              <w:rPr>
                <w:sz w:val="24"/>
              </w:rPr>
            </w:pPr>
          </w:p>
        </w:tc>
      </w:tr>
    </w:tbl>
    <w:p w14:paraId="0DE660B0" w14:textId="77777777" w:rsidR="00CE71D8" w:rsidRDefault="00CE71D8" w:rsidP="00CE71D8">
      <w:pPr>
        <w:rPr>
          <w:sz w:val="24"/>
        </w:rPr>
      </w:pPr>
    </w:p>
    <w:p w14:paraId="5A17EC12" w14:textId="77777777" w:rsidR="003B6636" w:rsidRDefault="003B6636" w:rsidP="00CE71D8">
      <w:pPr>
        <w:rPr>
          <w:sz w:val="24"/>
        </w:rPr>
      </w:pPr>
    </w:p>
    <w:p w14:paraId="62C847DA" w14:textId="77777777" w:rsidR="003B6636" w:rsidRDefault="003B6636" w:rsidP="00CE71D8">
      <w:pPr>
        <w:rPr>
          <w:sz w:val="24"/>
        </w:rPr>
      </w:pPr>
    </w:p>
    <w:p w14:paraId="387963D1" w14:textId="77777777" w:rsidR="003B6636" w:rsidRPr="003B6636" w:rsidRDefault="003B6636" w:rsidP="00CE71D8">
      <w:pPr>
        <w:rPr>
          <w:b/>
          <w:sz w:val="36"/>
        </w:rPr>
      </w:pPr>
      <w:r w:rsidRPr="003B6636">
        <w:rPr>
          <w:b/>
          <w:sz w:val="36"/>
        </w:rPr>
        <w:t>Reminder:</w:t>
      </w:r>
    </w:p>
    <w:p w14:paraId="23F718CD" w14:textId="77777777" w:rsidR="003B6636" w:rsidRDefault="003B6636" w:rsidP="00CE71D8">
      <w:pPr>
        <w:rPr>
          <w:sz w:val="24"/>
        </w:rPr>
      </w:pPr>
    </w:p>
    <w:p w14:paraId="597F3C13" w14:textId="77777777" w:rsidR="00C20C44" w:rsidRDefault="00CD2535" w:rsidP="00C20C44">
      <w:pPr>
        <w:rPr>
          <w:sz w:val="28"/>
        </w:rPr>
      </w:pPr>
      <w:r>
        <w:rPr>
          <w:sz w:val="28"/>
        </w:rPr>
        <w:t>Prepare the sources you will need for CA5 (Reflection Assignment) which you will complete in class in Week 13 tutorial 2 and submit at the end of the tutorial.</w:t>
      </w:r>
    </w:p>
    <w:p w14:paraId="0130894F" w14:textId="06392D20" w:rsidR="00CD2535" w:rsidRDefault="00545F23" w:rsidP="00C20C44">
      <w:pPr>
        <w:rPr>
          <w:sz w:val="28"/>
        </w:rPr>
      </w:pPr>
      <w:r>
        <w:rPr>
          <w:sz w:val="28"/>
        </w:rPr>
        <w:t>S</w:t>
      </w:r>
      <w:r w:rsidR="00CD2535">
        <w:rPr>
          <w:sz w:val="28"/>
        </w:rPr>
        <w:t xml:space="preserve">ubmit your </w:t>
      </w:r>
      <w:r w:rsidR="00CD2535" w:rsidRPr="001D660A">
        <w:rPr>
          <w:b/>
          <w:sz w:val="28"/>
        </w:rPr>
        <w:t>CA4</w:t>
      </w:r>
      <w:r w:rsidR="00CD2535">
        <w:rPr>
          <w:sz w:val="28"/>
        </w:rPr>
        <w:t xml:space="preserve"> (complete revised problem solutions essay </w:t>
      </w:r>
      <w:r w:rsidR="001D660A">
        <w:rPr>
          <w:sz w:val="28"/>
        </w:rPr>
        <w:t xml:space="preserve">including your revisions of CA2 and CA3, </w:t>
      </w:r>
      <w:bookmarkStart w:id="0" w:name="_GoBack"/>
      <w:bookmarkEnd w:id="0"/>
      <w:r w:rsidR="00CD2535">
        <w:rPr>
          <w:sz w:val="28"/>
        </w:rPr>
        <w:t>with formatted APA reference list by the end of Week 13).</w:t>
      </w:r>
    </w:p>
    <w:p w14:paraId="3E105E76" w14:textId="77777777" w:rsidR="00CD2535" w:rsidRPr="003B6636" w:rsidRDefault="00CD2535" w:rsidP="00C20C44">
      <w:pPr>
        <w:rPr>
          <w:sz w:val="28"/>
        </w:rPr>
      </w:pPr>
    </w:p>
    <w:p w14:paraId="1504A8A4" w14:textId="77777777" w:rsidR="003B6636" w:rsidRPr="003B6636" w:rsidRDefault="003B6636" w:rsidP="00C20C44">
      <w:pPr>
        <w:rPr>
          <w:sz w:val="28"/>
        </w:rPr>
      </w:pPr>
    </w:p>
    <w:sectPr w:rsidR="003B6636" w:rsidRPr="003B663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E55A2" w14:textId="77777777" w:rsidR="00FB4344" w:rsidRDefault="00FB4344" w:rsidP="00FB4344">
      <w:pPr>
        <w:spacing w:after="0" w:line="240" w:lineRule="auto"/>
      </w:pPr>
      <w:r>
        <w:separator/>
      </w:r>
    </w:p>
  </w:endnote>
  <w:endnote w:type="continuationSeparator" w:id="0">
    <w:p w14:paraId="1E45538D" w14:textId="77777777" w:rsidR="00FB4344" w:rsidRDefault="00FB4344" w:rsidP="00FB4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781869"/>
      <w:docPartObj>
        <w:docPartGallery w:val="Page Numbers (Bottom of Page)"/>
        <w:docPartUnique/>
      </w:docPartObj>
    </w:sdtPr>
    <w:sdtEndPr>
      <w:rPr>
        <w:noProof/>
      </w:rPr>
    </w:sdtEndPr>
    <w:sdtContent>
      <w:p w14:paraId="2604443B" w14:textId="77777777" w:rsidR="00711C41" w:rsidRDefault="00711C41">
        <w:pPr>
          <w:pStyle w:val="Footer"/>
          <w:jc w:val="center"/>
        </w:pPr>
        <w:r>
          <w:fldChar w:fldCharType="begin"/>
        </w:r>
        <w:r>
          <w:instrText xml:space="preserve"> PAGE   \* MERGEFORMAT </w:instrText>
        </w:r>
        <w:r>
          <w:fldChar w:fldCharType="separate"/>
        </w:r>
        <w:r w:rsidR="00545F23">
          <w:rPr>
            <w:noProof/>
          </w:rPr>
          <w:t>4</w:t>
        </w:r>
        <w:r>
          <w:rPr>
            <w:noProof/>
          </w:rPr>
          <w:fldChar w:fldCharType="end"/>
        </w:r>
      </w:p>
    </w:sdtContent>
  </w:sdt>
  <w:p w14:paraId="0CBA5E15" w14:textId="77777777" w:rsidR="00711C41" w:rsidRDefault="00711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0F60F" w14:textId="77777777" w:rsidR="00FB4344" w:rsidRDefault="00FB4344" w:rsidP="00FB4344">
      <w:pPr>
        <w:spacing w:after="0" w:line="240" w:lineRule="auto"/>
      </w:pPr>
      <w:r>
        <w:separator/>
      </w:r>
    </w:p>
  </w:footnote>
  <w:footnote w:type="continuationSeparator" w:id="0">
    <w:p w14:paraId="7310947E" w14:textId="77777777" w:rsidR="00FB4344" w:rsidRDefault="00FB4344" w:rsidP="00FB4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1FE49" w14:textId="74B46911" w:rsidR="00FB4344" w:rsidRDefault="00FB4344">
    <w:pPr>
      <w:pStyle w:val="Header"/>
    </w:pPr>
    <w:r>
      <w:t xml:space="preserve">ES1103 Week 11 </w:t>
    </w:r>
    <w:r w:rsidR="001D660A">
      <w:t xml:space="preserve">_1 </w:t>
    </w:r>
    <w:r>
      <w:t xml:space="preserve">Transfer of </w:t>
    </w:r>
    <w:r w:rsidR="003C231C">
      <w:t>learning</w:t>
    </w:r>
    <w:r>
      <w:t xml:space="preserve"> to the discipline</w:t>
    </w:r>
  </w:p>
  <w:p w14:paraId="5EC52842" w14:textId="77777777" w:rsidR="00FB4344" w:rsidRDefault="00FB43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0F27"/>
    <w:multiLevelType w:val="hybridMultilevel"/>
    <w:tmpl w:val="26FAA3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5D63157"/>
    <w:multiLevelType w:val="hybridMultilevel"/>
    <w:tmpl w:val="119AB5A4"/>
    <w:lvl w:ilvl="0" w:tplc="D236F418">
      <w:start w:val="1"/>
      <w:numFmt w:val="bullet"/>
      <w:lvlText w:val=""/>
      <w:lvlJc w:val="left"/>
      <w:pPr>
        <w:tabs>
          <w:tab w:val="num" w:pos="720"/>
        </w:tabs>
        <w:ind w:left="720" w:hanging="360"/>
      </w:pPr>
      <w:rPr>
        <w:rFonts w:ascii="Wingdings 2" w:hAnsi="Wingdings 2" w:hint="default"/>
      </w:rPr>
    </w:lvl>
    <w:lvl w:ilvl="1" w:tplc="D8340234" w:tentative="1">
      <w:start w:val="1"/>
      <w:numFmt w:val="bullet"/>
      <w:lvlText w:val=""/>
      <w:lvlJc w:val="left"/>
      <w:pPr>
        <w:tabs>
          <w:tab w:val="num" w:pos="1440"/>
        </w:tabs>
        <w:ind w:left="1440" w:hanging="360"/>
      </w:pPr>
      <w:rPr>
        <w:rFonts w:ascii="Wingdings 2" w:hAnsi="Wingdings 2" w:hint="default"/>
      </w:rPr>
    </w:lvl>
    <w:lvl w:ilvl="2" w:tplc="BDB2E3B8" w:tentative="1">
      <w:start w:val="1"/>
      <w:numFmt w:val="bullet"/>
      <w:lvlText w:val=""/>
      <w:lvlJc w:val="left"/>
      <w:pPr>
        <w:tabs>
          <w:tab w:val="num" w:pos="2160"/>
        </w:tabs>
        <w:ind w:left="2160" w:hanging="360"/>
      </w:pPr>
      <w:rPr>
        <w:rFonts w:ascii="Wingdings 2" w:hAnsi="Wingdings 2" w:hint="default"/>
      </w:rPr>
    </w:lvl>
    <w:lvl w:ilvl="3" w:tplc="9B3A6DB4" w:tentative="1">
      <w:start w:val="1"/>
      <w:numFmt w:val="bullet"/>
      <w:lvlText w:val=""/>
      <w:lvlJc w:val="left"/>
      <w:pPr>
        <w:tabs>
          <w:tab w:val="num" w:pos="2880"/>
        </w:tabs>
        <w:ind w:left="2880" w:hanging="360"/>
      </w:pPr>
      <w:rPr>
        <w:rFonts w:ascii="Wingdings 2" w:hAnsi="Wingdings 2" w:hint="default"/>
      </w:rPr>
    </w:lvl>
    <w:lvl w:ilvl="4" w:tplc="254409C2" w:tentative="1">
      <w:start w:val="1"/>
      <w:numFmt w:val="bullet"/>
      <w:lvlText w:val=""/>
      <w:lvlJc w:val="left"/>
      <w:pPr>
        <w:tabs>
          <w:tab w:val="num" w:pos="3600"/>
        </w:tabs>
        <w:ind w:left="3600" w:hanging="360"/>
      </w:pPr>
      <w:rPr>
        <w:rFonts w:ascii="Wingdings 2" w:hAnsi="Wingdings 2" w:hint="default"/>
      </w:rPr>
    </w:lvl>
    <w:lvl w:ilvl="5" w:tplc="ADC6114C" w:tentative="1">
      <w:start w:val="1"/>
      <w:numFmt w:val="bullet"/>
      <w:lvlText w:val=""/>
      <w:lvlJc w:val="left"/>
      <w:pPr>
        <w:tabs>
          <w:tab w:val="num" w:pos="4320"/>
        </w:tabs>
        <w:ind w:left="4320" w:hanging="360"/>
      </w:pPr>
      <w:rPr>
        <w:rFonts w:ascii="Wingdings 2" w:hAnsi="Wingdings 2" w:hint="default"/>
      </w:rPr>
    </w:lvl>
    <w:lvl w:ilvl="6" w:tplc="FDFA29EE" w:tentative="1">
      <w:start w:val="1"/>
      <w:numFmt w:val="bullet"/>
      <w:lvlText w:val=""/>
      <w:lvlJc w:val="left"/>
      <w:pPr>
        <w:tabs>
          <w:tab w:val="num" w:pos="5040"/>
        </w:tabs>
        <w:ind w:left="5040" w:hanging="360"/>
      </w:pPr>
      <w:rPr>
        <w:rFonts w:ascii="Wingdings 2" w:hAnsi="Wingdings 2" w:hint="default"/>
      </w:rPr>
    </w:lvl>
    <w:lvl w:ilvl="7" w:tplc="D63E8BD8" w:tentative="1">
      <w:start w:val="1"/>
      <w:numFmt w:val="bullet"/>
      <w:lvlText w:val=""/>
      <w:lvlJc w:val="left"/>
      <w:pPr>
        <w:tabs>
          <w:tab w:val="num" w:pos="5760"/>
        </w:tabs>
        <w:ind w:left="5760" w:hanging="360"/>
      </w:pPr>
      <w:rPr>
        <w:rFonts w:ascii="Wingdings 2" w:hAnsi="Wingdings 2" w:hint="default"/>
      </w:rPr>
    </w:lvl>
    <w:lvl w:ilvl="8" w:tplc="69EE438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8B710B1"/>
    <w:multiLevelType w:val="hybridMultilevel"/>
    <w:tmpl w:val="0EC26C1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344"/>
    <w:rsid w:val="000516CB"/>
    <w:rsid w:val="0013011B"/>
    <w:rsid w:val="001D660A"/>
    <w:rsid w:val="002218F9"/>
    <w:rsid w:val="00263480"/>
    <w:rsid w:val="00282453"/>
    <w:rsid w:val="002C1FC2"/>
    <w:rsid w:val="00346BCF"/>
    <w:rsid w:val="00395FAB"/>
    <w:rsid w:val="003B6636"/>
    <w:rsid w:val="003C231C"/>
    <w:rsid w:val="004012E5"/>
    <w:rsid w:val="0045659A"/>
    <w:rsid w:val="00487489"/>
    <w:rsid w:val="004C69D8"/>
    <w:rsid w:val="00545F23"/>
    <w:rsid w:val="00641186"/>
    <w:rsid w:val="00645F6B"/>
    <w:rsid w:val="00711C41"/>
    <w:rsid w:val="00776914"/>
    <w:rsid w:val="007C51D6"/>
    <w:rsid w:val="008577BA"/>
    <w:rsid w:val="00877D18"/>
    <w:rsid w:val="008A4B35"/>
    <w:rsid w:val="008F2781"/>
    <w:rsid w:val="00A3723F"/>
    <w:rsid w:val="00A469C6"/>
    <w:rsid w:val="00AD06EA"/>
    <w:rsid w:val="00AD542F"/>
    <w:rsid w:val="00B55710"/>
    <w:rsid w:val="00B67DCE"/>
    <w:rsid w:val="00B834F4"/>
    <w:rsid w:val="00BF6FEA"/>
    <w:rsid w:val="00C20C44"/>
    <w:rsid w:val="00CA278F"/>
    <w:rsid w:val="00CC7040"/>
    <w:rsid w:val="00CD2535"/>
    <w:rsid w:val="00CE71D8"/>
    <w:rsid w:val="00D349AB"/>
    <w:rsid w:val="00D61A3F"/>
    <w:rsid w:val="00D630C4"/>
    <w:rsid w:val="00D934E9"/>
    <w:rsid w:val="00DA61EB"/>
    <w:rsid w:val="00DD6F3B"/>
    <w:rsid w:val="00DE5EB0"/>
    <w:rsid w:val="00F65527"/>
    <w:rsid w:val="00F93938"/>
    <w:rsid w:val="00FB43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3D9C"/>
  <w15:chartTrackingRefBased/>
  <w15:docId w15:val="{F4E7FC05-3337-4805-A236-9BA1A48F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344"/>
  </w:style>
  <w:style w:type="paragraph" w:styleId="Footer">
    <w:name w:val="footer"/>
    <w:basedOn w:val="Normal"/>
    <w:link w:val="FooterChar"/>
    <w:uiPriority w:val="99"/>
    <w:unhideWhenUsed/>
    <w:rsid w:val="00FB4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344"/>
  </w:style>
  <w:style w:type="table" w:styleId="TableGrid">
    <w:name w:val="Table Grid"/>
    <w:basedOn w:val="TableNormal"/>
    <w:uiPriority w:val="39"/>
    <w:rsid w:val="00346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489935">
      <w:bodyDiv w:val="1"/>
      <w:marLeft w:val="0"/>
      <w:marRight w:val="0"/>
      <w:marTop w:val="0"/>
      <w:marBottom w:val="0"/>
      <w:divBdr>
        <w:top w:val="none" w:sz="0" w:space="0" w:color="auto"/>
        <w:left w:val="none" w:sz="0" w:space="0" w:color="auto"/>
        <w:bottom w:val="none" w:sz="0" w:space="0" w:color="auto"/>
        <w:right w:val="none" w:sz="0" w:space="0" w:color="auto"/>
      </w:divBdr>
      <w:divsChild>
        <w:div w:id="1587152007">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C44A3-F49F-4062-BDC6-917C25228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dc:creator>
  <cp:keywords/>
  <dc:description/>
  <cp:lastModifiedBy>Reviewer</cp:lastModifiedBy>
  <cp:revision>2</cp:revision>
  <dcterms:created xsi:type="dcterms:W3CDTF">2019-04-01T05:34:00Z</dcterms:created>
  <dcterms:modified xsi:type="dcterms:W3CDTF">2019-04-01T05:34:00Z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b4761083-5ce8-3991-8895-b194aa409f73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