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 xml:space="preserve"> 2016,10月CDN需求规格说明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0" w:name="_Toc454897635"/>
      <w:r>
        <w:rPr>
          <w:rFonts w:hint="eastAsia" w:ascii="微软雅黑" w:hAnsi="微软雅黑" w:eastAsia="微软雅黑" w:cs="微软雅黑"/>
        </w:rPr>
        <w:t>CDN加速</w:t>
      </w:r>
      <w:bookmarkEnd w:id="0"/>
    </w:p>
    <w:p>
      <w:pPr>
        <w:pStyle w:val="4"/>
        <w:rPr>
          <w:rFonts w:hint="eastAsia" w:ascii="微软雅黑" w:hAnsi="微软雅黑" w:eastAsia="微软雅黑" w:cs="微软雅黑"/>
        </w:rPr>
      </w:pPr>
      <w:bookmarkStart w:id="1" w:name="_Toc454897638"/>
      <w:r>
        <w:rPr>
          <w:rFonts w:hint="eastAsia" w:ascii="微软雅黑" w:hAnsi="微软雅黑" w:eastAsia="微软雅黑" w:cs="微软雅黑"/>
        </w:rPr>
        <w:t>CDN加速的计费对接</w:t>
      </w:r>
      <w:bookmarkEnd w:id="1"/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DN加速可能产生涉及计费流量为用户从cache节点获取数据时候的CDN下载流量，cache节点从对象存储服务获取源数据的回源流量。其中CDN下载流量为全新的计费项目，回源流量计为对象存储服务的普通下载流量。具体数据可以通过《网宿云分发平台API规范》2.13 加速域名流量统计获取不同bucket的流量信息。具体数据需要计入统计模块，在流量统计部分中添加新的类别”CDN下载流量“。</w:t>
      </w:r>
    </w:p>
    <w:p>
      <w:pPr>
        <w:ind w:firstLine="420"/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</w:rPr>
        <w:t>1.1版本需要统计的流量包括：</w:t>
      </w:r>
      <w:r>
        <w:rPr>
          <w:rFonts w:hint="eastAsia" w:ascii="微软雅黑" w:hAnsi="微软雅黑" w:eastAsia="微软雅黑" w:cs="微软雅黑"/>
          <w:highlight w:val="yellow"/>
        </w:rPr>
        <w:t>流入流量（上传流量）、流出流量（下载流量）、CDN下载流量（根据CDN供应商接口获取CDN下载流量）、CDN回源流量（根据CDN供应商接口获取CDN回源流量）、内网流入流量（如果可能的话）、内网流出流量（如果可能的话）。</w:t>
      </w:r>
    </w:p>
    <w:p>
      <w:pPr>
        <w:ind w:firstLine="420"/>
        <w:rPr>
          <w:rFonts w:hint="eastAsia" w:ascii="微软雅黑" w:hAnsi="微软雅黑" w:eastAsia="微软雅黑" w:cs="微软雅黑"/>
          <w:highlight w:val="none"/>
        </w:rPr>
      </w:pPr>
      <w:r>
        <w:rPr>
          <w:rFonts w:hint="eastAsia" w:ascii="微软雅黑" w:hAnsi="微软雅黑" w:eastAsia="微软雅黑" w:cs="微软雅黑"/>
          <w:highlight w:val="none"/>
        </w:rPr>
        <w:t>无论CDN功能开启与否，在ECSC资源报表与Bucket详情中的使用流量里，均需要加入CDN下载流量的展现，展现规则如下：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highlight w:val="none"/>
        </w:rPr>
      </w:pPr>
      <w:r>
        <w:rPr>
          <w:rFonts w:hint="eastAsia" w:ascii="微软雅黑" w:hAnsi="微软雅黑" w:eastAsia="微软雅黑" w:cs="微软雅黑"/>
          <w:highlight w:val="none"/>
        </w:rPr>
        <w:t>ECSC资源报表中，加入CDN流量（代表CDN下载流量）选项，规则展现与“下载流量”一致。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highlight w:val="none"/>
        </w:rPr>
      </w:pPr>
      <w:r>
        <w:rPr>
          <w:rFonts w:hint="eastAsia" w:ascii="微软雅黑" w:hAnsi="微软雅黑" w:eastAsia="微软雅黑" w:cs="微软雅黑"/>
          <w:highlight w:val="none"/>
        </w:rPr>
        <w:t>Bucket详情的常规选项中，使用流量中，加入“CDN流量”项目，规则展现与“下载流量”一致。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454897643"/>
      <w:r>
        <w:rPr>
          <w:rFonts w:hint="eastAsia" w:ascii="微软雅黑" w:hAnsi="微软雅黑" w:eastAsia="微软雅黑" w:cs="微软雅黑"/>
        </w:rPr>
        <w:t>ECMC</w:t>
      </w:r>
      <w:bookmarkEnd w:id="2"/>
    </w:p>
    <w:p>
      <w:pPr>
        <w:pStyle w:val="4"/>
        <w:rPr>
          <w:rFonts w:hint="eastAsia" w:ascii="微软雅黑" w:hAnsi="微软雅黑" w:eastAsia="微软雅黑" w:cs="微软雅黑"/>
        </w:rPr>
      </w:pPr>
      <w:bookmarkStart w:id="3" w:name="_Toc454897644"/>
      <w:r>
        <w:rPr>
          <w:rFonts w:hint="eastAsia" w:ascii="微软雅黑" w:hAnsi="微软雅黑" w:eastAsia="微软雅黑" w:cs="微软雅黑"/>
        </w:rPr>
        <w:t>概述</w:t>
      </w:r>
      <w:bookmarkEnd w:id="3"/>
    </w:p>
    <w:p>
      <w:pPr>
        <w:ind w:left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ECMC中，CDN服务为单独页面展示，以客户维度展示CDN服务的内容。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left="42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下图在【加速域名】列表中最后一列加入“回源流量”项，记录所有</w:t>
      </w:r>
      <w:r>
        <w:rPr>
          <w:rFonts w:hint="eastAsia" w:ascii="微软雅黑" w:hAnsi="微软雅黑" w:eastAsia="微软雅黑" w:cs="微软雅黑"/>
          <w:lang w:val="en-US" w:eastAsia="zh-CN"/>
        </w:rPr>
        <w:t>CDN厂商从源主机回源的所有流量，具体需求见1.2.2功能详情。</w:t>
      </w:r>
    </w:p>
    <w:p>
      <w:r>
        <w:drawing>
          <wp:inline distT="0" distB="0" distL="0" distR="0">
            <wp:extent cx="5270500" cy="311848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功能详述</w:t>
      </w:r>
      <w:bookmarkStart w:id="4" w:name="_GoBack"/>
      <w:bookmarkEnd w:id="4"/>
    </w:p>
    <w:tbl>
      <w:tblPr>
        <w:tblStyle w:val="7"/>
        <w:tblW w:w="82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134"/>
        <w:gridCol w:w="1809"/>
        <w:gridCol w:w="3402"/>
        <w:gridCol w:w="1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编号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功能名称</w:t>
            </w:r>
          </w:p>
        </w:tc>
        <w:tc>
          <w:tcPr>
            <w:tcW w:w="180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功能前提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功能描述</w:t>
            </w:r>
          </w:p>
        </w:tc>
        <w:tc>
          <w:tcPr>
            <w:tcW w:w="116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Align w:val="center"/>
          </w:tcPr>
          <w:p>
            <w:pPr>
              <w:pStyle w:val="8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界面展示</w:t>
            </w:r>
          </w:p>
        </w:tc>
        <w:tc>
          <w:tcPr>
            <w:tcW w:w="180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无</w:t>
            </w:r>
          </w:p>
        </w:tc>
        <w:tc>
          <w:tcPr>
            <w:tcW w:w="3402" w:type="dxa"/>
            <w:vAlign w:val="center"/>
          </w:tcPr>
          <w:p>
            <w:pPr>
              <w:pStyle w:val="8"/>
              <w:numPr>
                <w:ilvl w:val="0"/>
                <w:numId w:val="4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展示CDN服务的基本内容。</w:t>
            </w:r>
          </w:p>
        </w:tc>
        <w:tc>
          <w:tcPr>
            <w:tcW w:w="116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  <w:vAlign w:val="center"/>
          </w:tcPr>
          <w:p>
            <w:pPr>
              <w:pStyle w:val="8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选择用户</w:t>
            </w:r>
          </w:p>
        </w:tc>
        <w:tc>
          <w:tcPr>
            <w:tcW w:w="180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无</w:t>
            </w:r>
          </w:p>
        </w:tc>
        <w:tc>
          <w:tcPr>
            <w:tcW w:w="3402" w:type="dxa"/>
            <w:vAlign w:val="center"/>
          </w:tcPr>
          <w:p>
            <w:pPr>
              <w:pStyle w:val="8"/>
              <w:numPr>
                <w:ilvl w:val="0"/>
                <w:numId w:val="5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左上角为选择用户下拉菜单，界面缺省值为排序第一的客户。</w:t>
            </w:r>
          </w:p>
        </w:tc>
        <w:tc>
          <w:tcPr>
            <w:tcW w:w="116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738" w:type="dxa"/>
            <w:vAlign w:val="center"/>
          </w:tcPr>
          <w:p>
            <w:pPr>
              <w:pStyle w:val="8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本月使用</w:t>
            </w:r>
          </w:p>
        </w:tc>
        <w:tc>
          <w:tcPr>
            <w:tcW w:w="180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无</w:t>
            </w:r>
          </w:p>
        </w:tc>
        <w:tc>
          <w:tcPr>
            <w:tcW w:w="3402" w:type="dxa"/>
            <w:vAlign w:val="center"/>
          </w:tcPr>
          <w:p>
            <w:pPr>
              <w:pStyle w:val="8"/>
              <w:numPr>
                <w:ilvl w:val="0"/>
                <w:numId w:val="6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展示用户本自然月使用的CDN下载流量总数。</w:t>
            </w:r>
          </w:p>
        </w:tc>
        <w:tc>
          <w:tcPr>
            <w:tcW w:w="116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738" w:type="dxa"/>
            <w:vAlign w:val="center"/>
          </w:tcPr>
          <w:p>
            <w:pPr>
              <w:pStyle w:val="8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加速域名</w:t>
            </w:r>
          </w:p>
        </w:tc>
        <w:tc>
          <w:tcPr>
            <w:tcW w:w="180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无</w:t>
            </w:r>
          </w:p>
        </w:tc>
        <w:tc>
          <w:tcPr>
            <w:tcW w:w="3402" w:type="dxa"/>
            <w:vAlign w:val="center"/>
          </w:tcPr>
          <w:p>
            <w:pPr>
              <w:pStyle w:val="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展示用户自然月所有正在使用或者曾经使用CDN服务的加速域名列表。</w:t>
            </w:r>
          </w:p>
          <w:p>
            <w:pPr>
              <w:pStyle w:val="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点击加速域名一栏的加速域名地址，可以直接跳转到域名详情一栏，并且将下拉菜单直接选择为点击的域名。</w:t>
            </w:r>
          </w:p>
          <w:p>
            <w:pPr>
              <w:pStyle w:val="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加速域名为cname后实际使用的域名。</w:t>
            </w:r>
          </w:p>
          <w:p>
            <w:pPr>
              <w:pStyle w:val="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cdn域名为cdn服务提供的cdn域名。</w:t>
            </w:r>
          </w:p>
          <w:p>
            <w:pPr>
              <w:pStyle w:val="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源站为回源域名地址。</w:t>
            </w:r>
          </w:p>
          <w:p>
            <w:pPr>
              <w:pStyle w:val="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倒数第二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列展示本月已使用的CDN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下载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流量。</w:t>
            </w:r>
          </w:p>
          <w:p>
            <w:pPr>
              <w:pStyle w:val="8"/>
              <w:numPr>
                <w:ilvl w:val="0"/>
                <w:numId w:val="7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最后一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列展示本月已使用的CDN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回源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流量。</w:t>
            </w:r>
          </w:p>
        </w:tc>
        <w:tc>
          <w:tcPr>
            <w:tcW w:w="116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738" w:type="dxa"/>
            <w:vAlign w:val="center"/>
          </w:tcPr>
          <w:p>
            <w:pPr>
              <w:pStyle w:val="8"/>
              <w:numPr>
                <w:ilvl w:val="0"/>
                <w:numId w:val="3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域名详情</w:t>
            </w:r>
          </w:p>
        </w:tc>
        <w:tc>
          <w:tcPr>
            <w:tcW w:w="1809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无</w:t>
            </w:r>
          </w:p>
        </w:tc>
        <w:tc>
          <w:tcPr>
            <w:tcW w:w="3402" w:type="dxa"/>
            <w:vAlign w:val="center"/>
          </w:tcPr>
          <w:p>
            <w:pPr>
              <w:pStyle w:val="8"/>
              <w:numPr>
                <w:ilvl w:val="0"/>
                <w:numId w:val="8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选择加速域名项，可以选择“所有”。缺省显示“所有”下的数据。</w:t>
            </w:r>
          </w:p>
          <w:p>
            <w:pPr>
              <w:pStyle w:val="8"/>
              <w:numPr>
                <w:ilvl w:val="0"/>
                <w:numId w:val="8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选择时间范围最长为当前时间之前60天。</w:t>
            </w:r>
          </w:p>
          <w:p>
            <w:pPr>
              <w:pStyle w:val="8"/>
              <w:numPr>
                <w:ilvl w:val="0"/>
                <w:numId w:val="8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折线图以天为节点，但至少6个节点。（如区间选择为1天，则4H为一个节点）。</w:t>
            </w:r>
          </w:p>
          <w:p>
            <w:pPr>
              <w:pStyle w:val="8"/>
              <w:numPr>
                <w:ilvl w:val="0"/>
                <w:numId w:val="8"/>
              </w:numPr>
              <w:ind w:firstLine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折线图纵坐标的顶点值为所选区间最大值的1.2倍，基点值为所选区间最小值的0.8倍。</w:t>
            </w:r>
          </w:p>
        </w:tc>
        <w:tc>
          <w:tcPr>
            <w:tcW w:w="116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/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anting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504020202020204"/>
    <w:charset w:val="00"/>
    <w:family w:val="auto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40E43"/>
    <w:multiLevelType w:val="multilevel"/>
    <w:tmpl w:val="1E740E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EC3F4F"/>
    <w:multiLevelType w:val="multilevel"/>
    <w:tmpl w:val="27EC3F4F"/>
    <w:lvl w:ilvl="0" w:tentative="0">
      <w:start w:val="1"/>
      <w:numFmt w:val="decimal"/>
      <w:lvlText w:val="%1、"/>
      <w:lvlJc w:val="left"/>
      <w:pPr>
        <w:ind w:left="4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60" w:hanging="480"/>
      </w:pPr>
    </w:lvl>
    <w:lvl w:ilvl="2" w:tentative="0">
      <w:start w:val="1"/>
      <w:numFmt w:val="lowerRoman"/>
      <w:lvlText w:val="%3."/>
      <w:lvlJc w:val="right"/>
      <w:pPr>
        <w:ind w:left="1540" w:hanging="480"/>
      </w:pPr>
    </w:lvl>
    <w:lvl w:ilvl="3" w:tentative="0">
      <w:start w:val="1"/>
      <w:numFmt w:val="decimal"/>
      <w:lvlText w:val="%4."/>
      <w:lvlJc w:val="left"/>
      <w:pPr>
        <w:ind w:left="2020" w:hanging="480"/>
      </w:pPr>
    </w:lvl>
    <w:lvl w:ilvl="4" w:tentative="0">
      <w:start w:val="1"/>
      <w:numFmt w:val="lowerLetter"/>
      <w:lvlText w:val="%5)"/>
      <w:lvlJc w:val="left"/>
      <w:pPr>
        <w:ind w:left="2500" w:hanging="480"/>
      </w:pPr>
    </w:lvl>
    <w:lvl w:ilvl="5" w:tentative="0">
      <w:start w:val="1"/>
      <w:numFmt w:val="lowerRoman"/>
      <w:lvlText w:val="%6."/>
      <w:lvlJc w:val="right"/>
      <w:pPr>
        <w:ind w:left="2980" w:hanging="480"/>
      </w:pPr>
    </w:lvl>
    <w:lvl w:ilvl="6" w:tentative="0">
      <w:start w:val="1"/>
      <w:numFmt w:val="decimal"/>
      <w:lvlText w:val="%7."/>
      <w:lvlJc w:val="left"/>
      <w:pPr>
        <w:ind w:left="3460" w:hanging="480"/>
      </w:pPr>
    </w:lvl>
    <w:lvl w:ilvl="7" w:tentative="0">
      <w:start w:val="1"/>
      <w:numFmt w:val="lowerLetter"/>
      <w:lvlText w:val="%8)"/>
      <w:lvlJc w:val="left"/>
      <w:pPr>
        <w:ind w:left="3940" w:hanging="480"/>
      </w:pPr>
    </w:lvl>
    <w:lvl w:ilvl="8" w:tentative="0">
      <w:start w:val="1"/>
      <w:numFmt w:val="lowerRoman"/>
      <w:lvlText w:val="%9."/>
      <w:lvlJc w:val="right"/>
      <w:pPr>
        <w:ind w:left="4420" w:hanging="480"/>
      </w:pPr>
    </w:lvl>
  </w:abstractNum>
  <w:abstractNum w:abstractNumId="2">
    <w:nsid w:val="48467122"/>
    <w:multiLevelType w:val="multilevel"/>
    <w:tmpl w:val="484671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ABC52DD"/>
    <w:multiLevelType w:val="multilevel"/>
    <w:tmpl w:val="4ABC52DD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36754F9"/>
    <w:multiLevelType w:val="multilevel"/>
    <w:tmpl w:val="536754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6F65A5D"/>
    <w:multiLevelType w:val="multilevel"/>
    <w:tmpl w:val="56F65A5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C0D7E02"/>
    <w:multiLevelType w:val="multilevel"/>
    <w:tmpl w:val="6C0D7E02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pStyle w:val="3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7128494E"/>
    <w:multiLevelType w:val="multilevel"/>
    <w:tmpl w:val="712849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30012"/>
    <w:rsid w:val="03C120E4"/>
    <w:rsid w:val="0D9C0213"/>
    <w:rsid w:val="0F4110AF"/>
    <w:rsid w:val="18D878B7"/>
    <w:rsid w:val="22FA2BA6"/>
    <w:rsid w:val="23502378"/>
    <w:rsid w:val="2A0F7E7E"/>
    <w:rsid w:val="2BE93A2A"/>
    <w:rsid w:val="404A5C90"/>
    <w:rsid w:val="443214A8"/>
    <w:rsid w:val="591F6424"/>
    <w:rsid w:val="5B5B2CA3"/>
    <w:rsid w:val="5B927330"/>
    <w:rsid w:val="5E0D19F9"/>
    <w:rsid w:val="5F330C73"/>
    <w:rsid w:val="66A2410C"/>
    <w:rsid w:val="773F3B6C"/>
    <w:rsid w:val="793A7BBF"/>
    <w:rsid w:val="7DD70C1B"/>
    <w:rsid w:val="7F733D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2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2016-10-19T02:39:48Z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