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2496"/>
        <w:gridCol w:w="1939"/>
        <w:gridCol w:w="2695"/>
      </w:tblGrid>
      <w:tr w:rsidR="00547F18">
        <w:trPr>
          <w:trHeight w:val="312"/>
        </w:trPr>
        <w:tc>
          <w:tcPr>
            <w:tcW w:w="1906" w:type="dxa"/>
            <w:vAlign w:val="center"/>
          </w:tcPr>
          <w:p w:rsidR="00547F18" w:rsidRDefault="001B3ABD">
            <w:pPr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文件编码</w:t>
            </w:r>
          </w:p>
        </w:tc>
        <w:tc>
          <w:tcPr>
            <w:tcW w:w="2496" w:type="dxa"/>
            <w:vAlign w:val="center"/>
          </w:tcPr>
          <w:p w:rsidR="00547F18" w:rsidRDefault="001B3ABD">
            <w:pPr>
              <w:spacing w:line="276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EY</w:t>
            </w:r>
            <w:r>
              <w:rPr>
                <w:rFonts w:ascii="Arial" w:hAnsi="Arial" w:cs="Arial" w:hint="eastAsia"/>
                <w:szCs w:val="21"/>
              </w:rPr>
              <w:t>-PM-TS002</w:t>
            </w:r>
          </w:p>
        </w:tc>
        <w:tc>
          <w:tcPr>
            <w:tcW w:w="1939" w:type="dxa"/>
            <w:vAlign w:val="center"/>
          </w:tcPr>
          <w:p w:rsidR="00547F18" w:rsidRDefault="00547F18">
            <w:pPr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547F18" w:rsidRDefault="00547F18">
            <w:pPr>
              <w:spacing w:line="276" w:lineRule="auto"/>
              <w:rPr>
                <w:rFonts w:ascii="Arial" w:hAnsi="Arial" w:cs="Arial"/>
                <w:szCs w:val="21"/>
              </w:rPr>
            </w:pPr>
          </w:p>
        </w:tc>
      </w:tr>
      <w:tr w:rsidR="00547F18">
        <w:trPr>
          <w:trHeight w:val="312"/>
        </w:trPr>
        <w:tc>
          <w:tcPr>
            <w:tcW w:w="1906" w:type="dxa"/>
            <w:vAlign w:val="center"/>
          </w:tcPr>
          <w:p w:rsidR="00547F18" w:rsidRDefault="001B3ABD">
            <w:pPr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最新发布日期</w:t>
            </w:r>
          </w:p>
        </w:tc>
        <w:tc>
          <w:tcPr>
            <w:tcW w:w="2496" w:type="dxa"/>
            <w:vAlign w:val="center"/>
          </w:tcPr>
          <w:p w:rsidR="00547F18" w:rsidRDefault="001B3ABD">
            <w:pPr>
              <w:spacing w:line="276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6</w:t>
            </w:r>
            <w:r>
              <w:rPr>
                <w:rFonts w:ascii="Arial" w:hAnsi="Arial" w:cs="Arial"/>
                <w:szCs w:val="21"/>
              </w:rPr>
              <w:t>年</w:t>
            </w:r>
          </w:p>
        </w:tc>
        <w:tc>
          <w:tcPr>
            <w:tcW w:w="1939" w:type="dxa"/>
            <w:vAlign w:val="center"/>
          </w:tcPr>
          <w:p w:rsidR="00547F18" w:rsidRDefault="001B3ABD">
            <w:pPr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当前版本</w:t>
            </w:r>
          </w:p>
        </w:tc>
        <w:tc>
          <w:tcPr>
            <w:tcW w:w="2695" w:type="dxa"/>
            <w:vAlign w:val="center"/>
          </w:tcPr>
          <w:p w:rsidR="00547F18" w:rsidRDefault="001B3ABD">
            <w:pPr>
              <w:spacing w:line="276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1.0</w:t>
            </w:r>
          </w:p>
        </w:tc>
      </w:tr>
    </w:tbl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  <w:bookmarkStart w:id="0" w:name="_GoBack"/>
      <w:bookmarkEnd w:id="0"/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1B3ABD">
      <w:pPr>
        <w:jc w:val="center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易云</w:t>
      </w:r>
      <w:r>
        <w:rPr>
          <w:rFonts w:ascii="Arial" w:eastAsia="黑体" w:hAnsi="Arial" w:cs="Arial"/>
          <w:b/>
          <w:sz w:val="52"/>
          <w:szCs w:val="52"/>
        </w:rPr>
        <w:t>捷</w:t>
      </w:r>
      <w:r>
        <w:rPr>
          <w:rFonts w:ascii="Arial" w:eastAsia="黑体" w:hAnsi="Arial" w:cs="Arial" w:hint="eastAsia"/>
          <w:b/>
          <w:sz w:val="52"/>
          <w:szCs w:val="52"/>
        </w:rPr>
        <w:t>讯</w:t>
      </w:r>
      <w:r>
        <w:rPr>
          <w:rFonts w:ascii="Arial" w:eastAsia="黑体" w:hAnsi="Arial" w:cs="Arial"/>
          <w:b/>
          <w:sz w:val="52"/>
          <w:szCs w:val="52"/>
        </w:rPr>
        <w:t>科技（</w:t>
      </w:r>
      <w:r>
        <w:rPr>
          <w:rFonts w:ascii="Arial" w:eastAsia="黑体" w:hAnsi="Arial" w:cs="Arial" w:hint="eastAsia"/>
          <w:b/>
          <w:sz w:val="52"/>
          <w:szCs w:val="52"/>
        </w:rPr>
        <w:t>北京</w:t>
      </w:r>
      <w:r>
        <w:rPr>
          <w:rFonts w:ascii="Arial" w:eastAsia="黑体" w:hAnsi="Arial" w:cs="Arial"/>
          <w:b/>
          <w:sz w:val="52"/>
          <w:szCs w:val="52"/>
        </w:rPr>
        <w:t>）</w:t>
      </w:r>
      <w:r>
        <w:rPr>
          <w:rFonts w:ascii="Arial" w:eastAsia="黑体" w:hAnsi="Arial" w:cs="Arial" w:hint="eastAsia"/>
          <w:b/>
          <w:sz w:val="52"/>
          <w:szCs w:val="52"/>
        </w:rPr>
        <w:t>有限</w:t>
      </w:r>
      <w:r>
        <w:rPr>
          <w:rFonts w:ascii="Arial" w:eastAsia="黑体" w:hAnsi="Arial" w:cs="Arial"/>
          <w:b/>
          <w:sz w:val="52"/>
          <w:szCs w:val="52"/>
        </w:rPr>
        <w:t>公司</w:t>
      </w:r>
    </w:p>
    <w:p w:rsidR="00547F18" w:rsidRDefault="001B3ABD">
      <w:pPr>
        <w:spacing w:line="360" w:lineRule="auto"/>
        <w:jc w:val="center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技术路线说明书</w:t>
      </w:r>
      <w:r>
        <w:rPr>
          <w:rFonts w:ascii="Arial" w:eastAsia="黑体" w:hAnsi="Arial" w:cs="Arial" w:hint="eastAsia"/>
          <w:b/>
          <w:sz w:val="52"/>
          <w:szCs w:val="52"/>
        </w:rPr>
        <w:t>-Api</w:t>
      </w:r>
      <w:r>
        <w:rPr>
          <w:rFonts w:ascii="Arial" w:eastAsia="黑体" w:hAnsi="Arial" w:cs="Arial" w:hint="eastAsia"/>
          <w:b/>
          <w:sz w:val="52"/>
          <w:szCs w:val="52"/>
        </w:rPr>
        <w:t>单元测试</w:t>
      </w:r>
    </w:p>
    <w:p w:rsidR="00547F18" w:rsidRDefault="00547F18">
      <w:pPr>
        <w:spacing w:line="360" w:lineRule="auto"/>
        <w:jc w:val="center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jc w:val="center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547F18">
      <w:pPr>
        <w:spacing w:line="360" w:lineRule="auto"/>
        <w:rPr>
          <w:rFonts w:ascii="Arial" w:hAnsi="Arial" w:cs="Arial"/>
          <w:szCs w:val="21"/>
        </w:rPr>
      </w:pPr>
    </w:p>
    <w:p w:rsidR="00547F18" w:rsidRDefault="001B3ABD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Cs w:val="21"/>
        </w:rPr>
        <w:t>郑重声明：</w:t>
      </w:r>
      <w:r>
        <w:rPr>
          <w:rFonts w:ascii="Arial" w:hAnsi="Arial" w:cs="Arial" w:hint="eastAsia"/>
          <w:sz w:val="22"/>
        </w:rPr>
        <w:t>易云捷讯</w:t>
      </w:r>
      <w:r>
        <w:rPr>
          <w:rFonts w:ascii="Arial" w:hAnsi="Arial" w:cs="Arial"/>
          <w:sz w:val="22"/>
        </w:rPr>
        <w:t>科技（</w:t>
      </w:r>
      <w:r>
        <w:rPr>
          <w:rFonts w:ascii="Arial" w:hAnsi="Arial" w:cs="Arial" w:hint="eastAsia"/>
          <w:sz w:val="22"/>
        </w:rPr>
        <w:t>北京</w:t>
      </w:r>
      <w:r>
        <w:rPr>
          <w:rFonts w:ascii="Arial" w:hAnsi="Arial" w:cs="Arial"/>
          <w:sz w:val="22"/>
        </w:rPr>
        <w:t>）有限公司版权所有。本文档中任何部分未经</w:t>
      </w:r>
      <w:r>
        <w:rPr>
          <w:rFonts w:ascii="Arial" w:hAnsi="Arial" w:cs="Arial" w:hint="eastAsia"/>
          <w:sz w:val="22"/>
        </w:rPr>
        <w:t>易云捷讯</w:t>
      </w:r>
      <w:r>
        <w:rPr>
          <w:rFonts w:ascii="Arial" w:hAnsi="Arial" w:cs="Arial"/>
          <w:sz w:val="22"/>
        </w:rPr>
        <w:t>科技（</w:t>
      </w:r>
      <w:r>
        <w:rPr>
          <w:rFonts w:ascii="Arial" w:hAnsi="Arial" w:cs="Arial" w:hint="eastAsia"/>
          <w:sz w:val="22"/>
        </w:rPr>
        <w:t>北京</w:t>
      </w:r>
      <w:r>
        <w:rPr>
          <w:rFonts w:ascii="Arial" w:hAnsi="Arial" w:cs="Arial"/>
          <w:sz w:val="22"/>
        </w:rPr>
        <w:t>）有限公司书面授权，不得将材料泄露给第三方，不得以任何手段、任何形式进行复制与传播。</w:t>
      </w:r>
    </w:p>
    <w:p w:rsidR="00547F18" w:rsidRDefault="00547F18">
      <w:pPr>
        <w:rPr>
          <w:rFonts w:ascii="Arial" w:hAnsi="Arial" w:cs="Arial"/>
        </w:rPr>
        <w:sectPr w:rsidR="00547F18">
          <w:footerReference w:type="even" r:id="rId8"/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547F18" w:rsidRDefault="00547F18">
      <w:pPr>
        <w:rPr>
          <w:rFonts w:ascii="Arial" w:hAnsi="Arial" w:cs="Arial"/>
        </w:rPr>
      </w:pPr>
    </w:p>
    <w:p w:rsidR="00547F18" w:rsidRDefault="001B3ABD">
      <w:pPr>
        <w:jc w:val="center"/>
        <w:rPr>
          <w:rFonts w:ascii="Arial" w:eastAsia="黑体" w:hAnsi="Arial" w:cs="Arial"/>
          <w:b/>
          <w:sz w:val="36"/>
          <w:szCs w:val="36"/>
        </w:rPr>
      </w:pPr>
      <w:r>
        <w:rPr>
          <w:rFonts w:ascii="Arial" w:eastAsia="黑体" w:hAnsi="Arial" w:cs="Arial"/>
          <w:b/>
          <w:sz w:val="36"/>
          <w:szCs w:val="36"/>
        </w:rPr>
        <w:t>变更履历</w:t>
      </w:r>
    </w:p>
    <w:tbl>
      <w:tblPr>
        <w:tblW w:w="903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311"/>
        <w:gridCol w:w="1281"/>
        <w:gridCol w:w="3582"/>
        <w:gridCol w:w="1062"/>
        <w:gridCol w:w="1130"/>
      </w:tblGrid>
      <w:tr w:rsidR="00547F18">
        <w:trPr>
          <w:jc w:val="center"/>
        </w:trPr>
        <w:tc>
          <w:tcPr>
            <w:tcW w:w="670" w:type="dxa"/>
            <w:tcBorders>
              <w:bottom w:val="nil"/>
            </w:tcBorders>
            <w:vAlign w:val="center"/>
          </w:tcPr>
          <w:p w:rsidR="00547F18" w:rsidRDefault="001B3ABD">
            <w:pPr>
              <w:pStyle w:val="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547F18" w:rsidRDefault="001B3A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281" w:type="dxa"/>
            <w:tcBorders>
              <w:bottom w:val="nil"/>
            </w:tcBorders>
            <w:vAlign w:val="center"/>
          </w:tcPr>
          <w:p w:rsidR="00547F18" w:rsidRDefault="001B3A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变更位置</w:t>
            </w:r>
          </w:p>
        </w:tc>
        <w:tc>
          <w:tcPr>
            <w:tcW w:w="3582" w:type="dxa"/>
            <w:tcBorders>
              <w:bottom w:val="nil"/>
            </w:tcBorders>
            <w:vAlign w:val="center"/>
          </w:tcPr>
          <w:p w:rsidR="00547F18" w:rsidRDefault="001B3ABD">
            <w:pPr>
              <w:pStyle w:val="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变更理由</w:t>
            </w:r>
            <w:r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变更内容</w:t>
            </w: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1B3A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变更人</w:t>
            </w: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1B3A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备注</w:t>
            </w:r>
          </w:p>
        </w:tc>
      </w:tr>
      <w:tr w:rsidR="00547F18">
        <w:trPr>
          <w:jc w:val="center"/>
        </w:trPr>
        <w:tc>
          <w:tcPr>
            <w:tcW w:w="670" w:type="dxa"/>
            <w:tcBorders>
              <w:bottom w:val="nil"/>
            </w:tcBorders>
            <w:vAlign w:val="center"/>
          </w:tcPr>
          <w:p w:rsidR="00547F18" w:rsidRDefault="001B3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547F18" w:rsidRDefault="001B3A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</w:t>
            </w: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11</w:t>
            </w:r>
          </w:p>
        </w:tc>
        <w:tc>
          <w:tcPr>
            <w:tcW w:w="1281" w:type="dxa"/>
            <w:tcBorders>
              <w:bottom w:val="nil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  <w:tcBorders>
              <w:bottom w:val="nil"/>
            </w:tcBorders>
            <w:vAlign w:val="center"/>
          </w:tcPr>
          <w:p w:rsidR="00547F18" w:rsidRDefault="001B3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新建</w:t>
            </w: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1B3ABD">
            <w:pPr>
              <w:pStyle w:val="Tex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祝军</w:t>
            </w: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pStyle w:val="Text"/>
              <w:rPr>
                <w:rFonts w:ascii="Arial" w:hAnsi="Arial" w:cs="Arial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pStyle w:val="Text"/>
              <w:rPr>
                <w:rFonts w:ascii="Arial" w:hAnsi="Arial" w:cs="Arial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pStyle w:val="Text"/>
              <w:rPr>
                <w:rFonts w:ascii="Arial" w:hAnsi="Arial" w:cs="Arial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</w:tr>
      <w:tr w:rsidR="00547F18">
        <w:trPr>
          <w:jc w:val="center"/>
        </w:trPr>
        <w:tc>
          <w:tcPr>
            <w:tcW w:w="670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281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  <w:vAlign w:val="center"/>
          </w:tcPr>
          <w:p w:rsidR="00547F18" w:rsidRDefault="00547F18">
            <w:pPr>
              <w:rPr>
                <w:rFonts w:ascii="Arial" w:hAnsi="Arial" w:cs="Arial"/>
              </w:rPr>
            </w:pP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auto"/>
            </w:tcBorders>
            <w:vAlign w:val="center"/>
          </w:tcPr>
          <w:p w:rsidR="00547F18" w:rsidRDefault="00547F18">
            <w:pPr>
              <w:rPr>
                <w:rFonts w:ascii="Arial" w:hAnsi="Arial" w:cs="Arial"/>
                <w:sz w:val="18"/>
              </w:rPr>
            </w:pPr>
          </w:p>
        </w:tc>
      </w:tr>
    </w:tbl>
    <w:p w:rsidR="00547F18" w:rsidRDefault="00547F18"/>
    <w:p w:rsidR="00547F18" w:rsidRDefault="001B3ABD">
      <w:pPr>
        <w:pStyle w:val="1"/>
      </w:pPr>
      <w:r>
        <w:rPr>
          <w:rFonts w:hint="eastAsia"/>
        </w:rPr>
        <w:t>背景</w:t>
      </w:r>
    </w:p>
    <w:p w:rsidR="00547F18" w:rsidRDefault="001B3ABD">
      <w:r>
        <w:rPr>
          <w:rFonts w:hint="eastAsia"/>
        </w:rPr>
        <w:t>Api</w:t>
      </w:r>
      <w:r>
        <w:rPr>
          <w:rFonts w:hint="eastAsia"/>
        </w:rPr>
        <w:t>接口服务是下阶段重要的项目，使用</w:t>
      </w:r>
      <w:r>
        <w:rPr>
          <w:rFonts w:hint="eastAsia"/>
        </w:rPr>
        <w:t>spring mvc</w:t>
      </w:r>
      <w:r>
        <w:rPr>
          <w:rFonts w:hint="eastAsia"/>
        </w:rPr>
        <w:t>开发，为保证项目接口质量，需要一套方便可行的接口测试工具。</w:t>
      </w:r>
    </w:p>
    <w:p w:rsidR="00547F18" w:rsidRDefault="00547F18"/>
    <w:p w:rsidR="00547F18" w:rsidRDefault="001B3ABD">
      <w:pPr>
        <w:pStyle w:val="1"/>
      </w:pPr>
      <w:r>
        <w:rPr>
          <w:rFonts w:hint="eastAsia"/>
        </w:rPr>
        <w:t>技术选型</w:t>
      </w:r>
    </w:p>
    <w:p w:rsidR="00547F18" w:rsidRDefault="001B3ABD">
      <w:pPr>
        <w:pStyle w:val="2"/>
      </w:pPr>
      <w:r>
        <w:rPr>
          <w:rFonts w:hint="eastAsia"/>
        </w:rPr>
        <w:t>MockMVC</w:t>
      </w:r>
    </w:p>
    <w:p w:rsidR="00547F18" w:rsidRDefault="001B3ABD">
      <w:r>
        <w:rPr>
          <w:rFonts w:hint="eastAsia"/>
        </w:rPr>
        <w:t>mockMvc</w:t>
      </w:r>
      <w:r>
        <w:rPr>
          <w:rFonts w:hint="eastAsia"/>
        </w:rPr>
        <w:t>是</w:t>
      </w:r>
      <w:r>
        <w:rPr>
          <w:rFonts w:hint="eastAsia"/>
        </w:rPr>
        <w:t>srping-test</w:t>
      </w:r>
      <w:r>
        <w:rPr>
          <w:rFonts w:hint="eastAsia"/>
        </w:rPr>
        <w:t>模块中带的专用于测试</w:t>
      </w:r>
      <w:r>
        <w:rPr>
          <w:rFonts w:hint="eastAsia"/>
        </w:rPr>
        <w:t>spring mvc</w:t>
      </w:r>
      <w:r>
        <w:rPr>
          <w:rFonts w:hint="eastAsia"/>
        </w:rPr>
        <w:t>的工具。方便与</w:t>
      </w:r>
      <w:r>
        <w:rPr>
          <w:rFonts w:hint="eastAsia"/>
        </w:rPr>
        <w:t>spring</w:t>
      </w:r>
      <w:r>
        <w:rPr>
          <w:rFonts w:hint="eastAsia"/>
        </w:rPr>
        <w:t>框架结合，能在同一个进程中模拟</w:t>
      </w:r>
      <w:r>
        <w:rPr>
          <w:rFonts w:hint="eastAsia"/>
        </w:rPr>
        <w:t>http</w:t>
      </w:r>
      <w:r>
        <w:rPr>
          <w:rFonts w:hint="eastAsia"/>
        </w:rPr>
        <w:t>请求，支持对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等响应内容设置断言。</w:t>
      </w:r>
    </w:p>
    <w:p w:rsidR="00547F18" w:rsidRDefault="00547F18"/>
    <w:p w:rsidR="00547F18" w:rsidRDefault="001B3ABD">
      <w:pPr>
        <w:pStyle w:val="2"/>
      </w:pPr>
      <w:r>
        <w:rPr>
          <w:rFonts w:hint="eastAsia"/>
        </w:rPr>
        <w:t>TestNG</w:t>
      </w:r>
    </w:p>
    <w:p w:rsidR="00547F18" w:rsidRDefault="001B3ABD">
      <w:r>
        <w:rPr>
          <w:rFonts w:hint="eastAsia"/>
        </w:rPr>
        <w:t>TestNG</w:t>
      </w:r>
      <w:r>
        <w:rPr>
          <w:rFonts w:hint="eastAsia"/>
        </w:rPr>
        <w:t>与</w:t>
      </w:r>
      <w:r>
        <w:rPr>
          <w:rFonts w:hint="eastAsia"/>
        </w:rPr>
        <w:t>Junit</w:t>
      </w:r>
      <w:r>
        <w:rPr>
          <w:rFonts w:hint="eastAsia"/>
        </w:rPr>
        <w:t>比较</w:t>
      </w:r>
    </w:p>
    <w:tbl>
      <w:tblPr>
        <w:tblW w:w="8923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4075"/>
        <w:gridCol w:w="2731"/>
      </w:tblGrid>
      <w:tr w:rsidR="00547F18">
        <w:trPr>
          <w:tblCellSpacing w:w="0" w:type="dxa"/>
        </w:trPr>
        <w:tc>
          <w:tcPr>
            <w:tcW w:w="2117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特性或指标</w:t>
            </w:r>
          </w:p>
        </w:tc>
        <w:tc>
          <w:tcPr>
            <w:tcW w:w="4075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TESTNG</w:t>
            </w:r>
          </w:p>
        </w:tc>
        <w:tc>
          <w:tcPr>
            <w:tcW w:w="2731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JUINT4</w:t>
            </w:r>
          </w:p>
        </w:tc>
      </w:tr>
      <w:tr w:rsidR="00547F18">
        <w:trPr>
          <w:tblCellSpacing w:w="0" w:type="dxa"/>
        </w:trPr>
        <w:tc>
          <w:tcPr>
            <w:tcW w:w="2117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lastRenderedPageBreak/>
              <w:t>1</w:t>
            </w:r>
            <w:r>
              <w:t>．</w:t>
            </w:r>
            <w:r>
              <w:t> </w:t>
            </w:r>
            <w:r>
              <w:t>测试是否支持</w:t>
            </w:r>
            <w:r>
              <w:t>(Annotations)</w:t>
            </w:r>
          </w:p>
        </w:tc>
        <w:tc>
          <w:tcPr>
            <w:tcW w:w="4075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YES</w:t>
            </w:r>
          </w:p>
        </w:tc>
        <w:tc>
          <w:tcPr>
            <w:tcW w:w="2731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YES</w:t>
            </w:r>
          </w:p>
        </w:tc>
      </w:tr>
      <w:tr w:rsidR="00547F18">
        <w:trPr>
          <w:tblCellSpacing w:w="0" w:type="dxa"/>
        </w:trPr>
        <w:tc>
          <w:tcPr>
            <w:tcW w:w="2117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2</w:t>
            </w:r>
            <w:r>
              <w:t>．框架依赖程度</w:t>
            </w:r>
          </w:p>
        </w:tc>
        <w:tc>
          <w:tcPr>
            <w:tcW w:w="4075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不需要扩展特定的基类和实现特定的方法</w:t>
            </w:r>
          </w:p>
        </w:tc>
        <w:tc>
          <w:tcPr>
            <w:tcW w:w="2731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不需要扩展特定的基类和实现特定的方法</w:t>
            </w:r>
          </w:p>
        </w:tc>
      </w:tr>
      <w:tr w:rsidR="00547F18">
        <w:trPr>
          <w:tblCellSpacing w:w="0" w:type="dxa"/>
        </w:trPr>
        <w:tc>
          <w:tcPr>
            <w:tcW w:w="2117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3</w:t>
            </w:r>
            <w:r>
              <w:t>．灵活性</w:t>
            </w:r>
          </w:p>
        </w:tc>
        <w:tc>
          <w:tcPr>
            <w:tcW w:w="4075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同样支持</w:t>
            </w:r>
            <w:r>
              <w:t>Before,After</w:t>
            </w:r>
            <w:r>
              <w:t>方法，</w:t>
            </w:r>
            <w:r>
              <w:t>TestNG</w:t>
            </w:r>
            <w:r>
              <w:t>更为灵活，支持各种签名方式，</w:t>
            </w:r>
          </w:p>
          <w:p w:rsidR="00547F18" w:rsidRDefault="001B3ABD">
            <w:pPr>
              <w:pStyle w:val="a4"/>
              <w:widowControl/>
              <w:ind w:firstLine="420"/>
            </w:pPr>
            <w:r>
              <w:t>如</w:t>
            </w:r>
            <w:r>
              <w:t>private,protected</w:t>
            </w:r>
          </w:p>
          <w:p w:rsidR="00547F18" w:rsidRDefault="001B3ABD">
            <w:pPr>
              <w:pStyle w:val="a4"/>
              <w:widowControl/>
              <w:ind w:firstLine="420"/>
            </w:pPr>
            <w:r>
              <w:t>同样也支持</w:t>
            </w:r>
            <w:r>
              <w:t xml:space="preserve">BeforeClass </w:t>
            </w:r>
            <w:r>
              <w:t>和</w:t>
            </w:r>
            <w:r>
              <w:t>AfterClass</w:t>
            </w:r>
            <w:r>
              <w:t>，只执行一次的方法，但是可以不需要使用</w:t>
            </w:r>
            <w:r>
              <w:t>static</w:t>
            </w:r>
            <w:r>
              <w:t>签名</w:t>
            </w:r>
          </w:p>
        </w:tc>
        <w:tc>
          <w:tcPr>
            <w:tcW w:w="2731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支持</w:t>
            </w:r>
            <w:r>
              <w:t>Before,After</w:t>
            </w:r>
            <w:r>
              <w:t>方法</w:t>
            </w:r>
          </w:p>
          <w:p w:rsidR="00547F18" w:rsidRDefault="001B3ABD">
            <w:pPr>
              <w:pStyle w:val="a4"/>
              <w:widowControl/>
              <w:ind w:firstLine="420"/>
            </w:pPr>
            <w:r>
              <w:t>支持</w:t>
            </w:r>
            <w:r>
              <w:t xml:space="preserve">BeforeClass </w:t>
            </w:r>
            <w:r>
              <w:t>和</w:t>
            </w:r>
            <w:r>
              <w:t>AfterClass</w:t>
            </w:r>
          </w:p>
        </w:tc>
      </w:tr>
      <w:tr w:rsidR="00547F18">
        <w:trPr>
          <w:tblCellSpacing w:w="0" w:type="dxa"/>
        </w:trPr>
        <w:tc>
          <w:tcPr>
            <w:tcW w:w="2117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4</w:t>
            </w:r>
            <w:r>
              <w:t>．依赖性测试</w:t>
            </w:r>
          </w:p>
        </w:tc>
        <w:tc>
          <w:tcPr>
            <w:tcW w:w="4075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利用</w:t>
            </w:r>
            <w:r>
              <w:t xml:space="preserve"> Test </w:t>
            </w:r>
            <w:r>
              <w:t>注释的</w:t>
            </w:r>
            <w:r>
              <w:t xml:space="preserve"> dependsOnMethods </w:t>
            </w:r>
            <w:r>
              <w:t>属性来应对测试的依赖性问题。有了这个便利的特性，就可以轻松指定依赖方法。</w:t>
            </w:r>
          </w:p>
        </w:tc>
        <w:tc>
          <w:tcPr>
            <w:tcW w:w="2731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难确定测试用例执行的顺序</w:t>
            </w:r>
          </w:p>
        </w:tc>
      </w:tr>
      <w:tr w:rsidR="00547F18">
        <w:trPr>
          <w:tblCellSpacing w:w="0" w:type="dxa"/>
        </w:trPr>
        <w:tc>
          <w:tcPr>
            <w:tcW w:w="2117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5</w:t>
            </w:r>
            <w:r>
              <w:t>．失败和重运行</w:t>
            </w:r>
          </w:p>
        </w:tc>
        <w:tc>
          <w:tcPr>
            <w:tcW w:w="4075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一旦</w:t>
            </w:r>
            <w:r>
              <w:t xml:space="preserve"> TestNG </w:t>
            </w:r>
            <w:r>
              <w:t>中出现失败，它就会创建一个</w:t>
            </w:r>
            <w:r>
              <w:t xml:space="preserve"> XML </w:t>
            </w:r>
            <w:r>
              <w:t>配置文件，对失败的测试加以说明。如果利用这个文件执行</w:t>
            </w:r>
            <w:r>
              <w:t xml:space="preserve"> TestNG </w:t>
            </w:r>
            <w:r>
              <w:t>运行程序，</w:t>
            </w:r>
            <w:r>
              <w:t xml:space="preserve">TestNG </w:t>
            </w:r>
            <w:r>
              <w:t>就只运行失败的测试。这样可以快速定位出错方法，并且节约大量的时间。</w:t>
            </w:r>
          </w:p>
          <w:p w:rsidR="00547F18" w:rsidRDefault="001B3ABD">
            <w:pPr>
              <w:pStyle w:val="a4"/>
              <w:widowControl/>
              <w:ind w:firstLine="420"/>
            </w:pPr>
            <w:r>
              <w:t>失败文件，一般命名为</w:t>
            </w:r>
            <w:r>
              <w:t>testng-failed.xml</w:t>
            </w:r>
            <w:r>
              <w:t>，以后只需要运行此文件就可以了。</w:t>
            </w:r>
          </w:p>
        </w:tc>
        <w:tc>
          <w:tcPr>
            <w:tcW w:w="2731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如果测试套件包括</w:t>
            </w:r>
            <w:r>
              <w:t xml:space="preserve"> N </w:t>
            </w:r>
            <w:r>
              <w:t>项测试，其中</w:t>
            </w:r>
            <w:r>
              <w:t xml:space="preserve"> M(M&lt;=N) </w:t>
            </w:r>
            <w:r>
              <w:t>项失败，很可能就会迫使您重新运行整个测试套件（修改错误以后）。这样的工作会耗费掉大量的时间。</w:t>
            </w:r>
          </w:p>
        </w:tc>
      </w:tr>
      <w:tr w:rsidR="00547F18">
        <w:trPr>
          <w:tblCellSpacing w:w="0" w:type="dxa"/>
        </w:trPr>
        <w:tc>
          <w:tcPr>
            <w:tcW w:w="2117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6</w:t>
            </w:r>
            <w:r>
              <w:t>．参数化测试</w:t>
            </w:r>
          </w:p>
        </w:tc>
        <w:tc>
          <w:tcPr>
            <w:tcW w:w="4075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 xml:space="preserve">TestNG </w:t>
            </w:r>
            <w:r>
              <w:t>提供了开箱即用的类似特性。通过在</w:t>
            </w:r>
            <w:r>
              <w:t xml:space="preserve"> TestNG </w:t>
            </w:r>
            <w:r>
              <w:t>的</w:t>
            </w:r>
            <w:r>
              <w:t xml:space="preserve"> XML </w:t>
            </w:r>
            <w:r>
              <w:t>配置文件中放入参数化数据，就可以对不同的数据集重用同一个测试用例，甚至有可能会得到不同的结果。</w:t>
            </w:r>
          </w:p>
          <w:p w:rsidR="00547F18" w:rsidRDefault="001B3ABD">
            <w:pPr>
              <w:pStyle w:val="a4"/>
              <w:widowControl/>
              <w:ind w:firstLine="420"/>
            </w:pPr>
            <w:r>
              <w:t>支持</w:t>
            </w:r>
            <w:r>
              <w:t xml:space="preserve">@DataProvider </w:t>
            </w:r>
            <w:r>
              <w:t>注释可以方便地把复杂参数类型映射到某个测试方法。</w:t>
            </w:r>
          </w:p>
        </w:tc>
        <w:tc>
          <w:tcPr>
            <w:tcW w:w="2731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如果您想改变某个受测方法的参数组，就只能给每个</w:t>
            </w:r>
            <w:r>
              <w:t xml:space="preserve"> </w:t>
            </w:r>
            <w:r>
              <w:t>不同的参数组编写一个测试用例。多数情况下，这不会带来太多麻烦。出现大量的重复测试代码。</w:t>
            </w:r>
          </w:p>
        </w:tc>
      </w:tr>
      <w:tr w:rsidR="00547F18">
        <w:trPr>
          <w:tblCellSpacing w:w="0" w:type="dxa"/>
        </w:trPr>
        <w:tc>
          <w:tcPr>
            <w:tcW w:w="2117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7</w:t>
            </w:r>
            <w:r>
              <w:t>．测试分组</w:t>
            </w:r>
          </w:p>
        </w:tc>
        <w:tc>
          <w:tcPr>
            <w:tcW w:w="4075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支持</w:t>
            </w:r>
          </w:p>
        </w:tc>
        <w:tc>
          <w:tcPr>
            <w:tcW w:w="2731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不支持</w:t>
            </w:r>
          </w:p>
        </w:tc>
      </w:tr>
      <w:tr w:rsidR="00547F18">
        <w:trPr>
          <w:tblCellSpacing w:w="0" w:type="dxa"/>
        </w:trPr>
        <w:tc>
          <w:tcPr>
            <w:tcW w:w="2117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8</w:t>
            </w:r>
            <w:r>
              <w:t>．多线程测试</w:t>
            </w:r>
          </w:p>
        </w:tc>
        <w:tc>
          <w:tcPr>
            <w:tcW w:w="4075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TestNG</w:t>
            </w:r>
            <w:r>
              <w:t>对多线程测试的支持良好，只需要配置即可。</w:t>
            </w:r>
          </w:p>
        </w:tc>
        <w:tc>
          <w:tcPr>
            <w:tcW w:w="2731" w:type="dxa"/>
            <w:shd w:val="clear" w:color="auto" w:fill="auto"/>
          </w:tcPr>
          <w:p w:rsidR="00547F18" w:rsidRDefault="001B3ABD">
            <w:pPr>
              <w:pStyle w:val="a4"/>
              <w:widowControl/>
              <w:ind w:firstLine="420"/>
            </w:pPr>
            <w:r>
              <w:t>JUnit</w:t>
            </w:r>
            <w:r>
              <w:t>中要想进行多线程测试比较麻烦，需要其它模块。</w:t>
            </w:r>
          </w:p>
        </w:tc>
      </w:tr>
    </w:tbl>
    <w:p w:rsidR="00547F18" w:rsidRDefault="00547F18"/>
    <w:p w:rsidR="00547F18" w:rsidRDefault="00547F18"/>
    <w:p w:rsidR="00547F18" w:rsidRDefault="001B3ABD">
      <w:r>
        <w:rPr>
          <w:rFonts w:hint="eastAsia"/>
        </w:rPr>
        <w:t>TestNG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中的一套测试框架，与</w:t>
      </w:r>
      <w:r>
        <w:rPr>
          <w:rFonts w:hint="eastAsia"/>
        </w:rPr>
        <w:t>Junit</w:t>
      </w:r>
      <w:r>
        <w:rPr>
          <w:rFonts w:hint="eastAsia"/>
        </w:rPr>
        <w:t>类似。能很好的支持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，增加了</w:t>
      </w:r>
      <w:r>
        <w:rPr>
          <w:rFonts w:hint="eastAsia"/>
        </w:rPr>
        <w:t>junit</w:t>
      </w:r>
      <w:r>
        <w:rPr>
          <w:rFonts w:hint="eastAsia"/>
        </w:rPr>
        <w:t>没有的一些特性：测试依赖、</w:t>
      </w:r>
      <w:r>
        <w:rPr>
          <w:rFonts w:hint="eastAsia"/>
        </w:rPr>
        <w:t>Skip</w:t>
      </w:r>
      <w:r>
        <w:rPr>
          <w:rFonts w:hint="eastAsia"/>
        </w:rPr>
        <w:t>状态（当测试用例的上游测试失败时，该测试被标记为“跳过”状态）</w:t>
      </w:r>
    </w:p>
    <w:p w:rsidR="00547F18" w:rsidRDefault="00547F18"/>
    <w:p w:rsidR="00547F18" w:rsidRDefault="001B3ABD">
      <w:r>
        <w:rPr>
          <w:rFonts w:hint="eastAsia"/>
        </w:rPr>
        <w:t>测试依赖可以指定某与关联测试之间的先后顺序，如：很多测试依赖于获取</w:t>
      </w:r>
      <w:r>
        <w:rPr>
          <w:rFonts w:hint="eastAsia"/>
        </w:rPr>
        <w:t>token</w:t>
      </w:r>
      <w:r>
        <w:rPr>
          <w:rFonts w:hint="eastAsia"/>
        </w:rPr>
        <w:t>；修改、删除测试依赖于创建测试。</w:t>
      </w:r>
    </w:p>
    <w:p w:rsidR="00547F18" w:rsidRDefault="001B3ABD">
      <w:pPr>
        <w:pStyle w:val="1"/>
      </w:pPr>
      <w:r>
        <w:rPr>
          <w:rFonts w:hint="eastAsia"/>
        </w:rPr>
        <w:t>规范、规则</w:t>
      </w:r>
    </w:p>
    <w:p w:rsidR="00547F18" w:rsidRDefault="001B3ABD">
      <w:r>
        <w:rPr>
          <w:rFonts w:hint="eastAsia"/>
        </w:rPr>
        <w:t>测试代码目录位置：</w:t>
      </w:r>
      <w:r>
        <w:rPr>
          <w:rFonts w:hint="eastAsia"/>
        </w:rPr>
        <w:t>/eayun-api/</w:t>
      </w:r>
      <w:bookmarkStart w:id="1" w:name="OLE_LINK3"/>
      <w:r>
        <w:rPr>
          <w:rFonts w:hint="eastAsia"/>
        </w:rPr>
        <w:t>src/test/java</w:t>
      </w:r>
      <w:bookmarkEnd w:id="1"/>
      <w:r>
        <w:rPr>
          <w:rFonts w:hint="eastAsia"/>
        </w:rPr>
        <w:t>。</w:t>
      </w:r>
    </w:p>
    <w:p w:rsidR="00547F18" w:rsidRDefault="001B3ABD">
      <w:r>
        <w:rPr>
          <w:rFonts w:hint="eastAsia"/>
        </w:rPr>
        <w:t>测试用例类名使用</w:t>
      </w:r>
      <w:r>
        <w:rPr>
          <w:rFonts w:hint="eastAsia"/>
        </w:rPr>
        <w:t>Test</w:t>
      </w:r>
      <w:r>
        <w:rPr>
          <w:rFonts w:hint="eastAsia"/>
        </w:rPr>
        <w:t>后缀。</w:t>
      </w:r>
    </w:p>
    <w:p w:rsidR="00547F18" w:rsidRDefault="001B3ABD">
      <w:r>
        <w:rPr>
          <w:rFonts w:hint="eastAsia"/>
        </w:rPr>
        <w:t>测试方法上加</w:t>
      </w:r>
      <w:r>
        <w:rPr>
          <w:rFonts w:hint="eastAsia"/>
        </w:rPr>
        <w:t>@</w:t>
      </w:r>
      <w:r>
        <w:rPr>
          <w:rFonts w:hint="eastAsia"/>
        </w:rPr>
        <w:t>Test</w:t>
      </w:r>
      <w:r>
        <w:rPr>
          <w:rFonts w:hint="eastAsia"/>
        </w:rPr>
        <w:t>，如果</w:t>
      </w:r>
      <w:r>
        <w:rPr>
          <w:rFonts w:hint="eastAsia"/>
        </w:rPr>
        <w:t>@Test</w:t>
      </w:r>
      <w:r>
        <w:rPr>
          <w:rFonts w:hint="eastAsia"/>
        </w:rPr>
        <w:t>加到类上，相当于所有实例方法都加</w:t>
      </w:r>
      <w:bookmarkStart w:id="2" w:name="OLE_LINK4"/>
      <w:r>
        <w:rPr>
          <w:rFonts w:hint="eastAsia"/>
        </w:rPr>
        <w:t>@Test</w:t>
      </w:r>
      <w:bookmarkEnd w:id="2"/>
      <w:r>
        <w:rPr>
          <w:rFonts w:hint="eastAsia"/>
        </w:rPr>
        <w:t>。</w:t>
      </w:r>
    </w:p>
    <w:p w:rsidR="00547F18" w:rsidRDefault="00547F18"/>
    <w:p w:rsidR="00547F18" w:rsidRDefault="001B3ABD">
      <w:pPr>
        <w:pStyle w:val="1"/>
      </w:pPr>
      <w:r>
        <w:rPr>
          <w:rFonts w:hint="eastAsia"/>
        </w:rPr>
        <w:t>代码示例</w:t>
      </w:r>
    </w:p>
    <w:p w:rsidR="00547F18" w:rsidRDefault="001B3ABD">
      <w:pPr>
        <w:pStyle w:val="2"/>
      </w:pPr>
      <w:r>
        <w:rPr>
          <w:rFonts w:hint="eastAsia"/>
        </w:rPr>
        <w:t>测试基类</w:t>
      </w:r>
    </w:p>
    <w:p w:rsidR="00547F18" w:rsidRDefault="001B3ABD">
      <w:r>
        <w:rPr>
          <w:rFonts w:hint="eastAsia"/>
        </w:rPr>
        <w:t>测试基类</w:t>
      </w:r>
      <w:r>
        <w:rPr>
          <w:rFonts w:hint="eastAsia"/>
        </w:rPr>
        <w:t>com.eayun.api.test.</w:t>
      </w:r>
      <w:bookmarkStart w:id="3" w:name="OLE_LINK1"/>
      <w:r>
        <w:rPr>
          <w:rFonts w:hint="eastAsia"/>
        </w:rPr>
        <w:t>AbstrackApiTests</w:t>
      </w:r>
      <w:bookmarkEnd w:id="3"/>
      <w:r>
        <w:rPr>
          <w:rFonts w:hint="eastAsia"/>
        </w:rPr>
        <w:t>，所有</w:t>
      </w:r>
      <w:r>
        <w:rPr>
          <w:rFonts w:hint="eastAsia"/>
        </w:rPr>
        <w:t>api</w:t>
      </w:r>
      <w:r>
        <w:rPr>
          <w:rFonts w:hint="eastAsia"/>
        </w:rPr>
        <w:t>测试类的基类。用于加载</w:t>
      </w:r>
      <w:r>
        <w:rPr>
          <w:rFonts w:hint="eastAsia"/>
        </w:rPr>
        <w:t>spring</w:t>
      </w:r>
      <w:r>
        <w:rPr>
          <w:rFonts w:hint="eastAsia"/>
        </w:rPr>
        <w:t>配置、获取</w:t>
      </w:r>
      <w:r>
        <w:rPr>
          <w:rFonts w:hint="eastAsia"/>
        </w:rPr>
        <w:t>MockMvc</w:t>
      </w:r>
      <w:r>
        <w:rPr>
          <w:rFonts w:hint="eastAsia"/>
        </w:rPr>
        <w:t>。</w:t>
      </w:r>
    </w:p>
    <w:p w:rsidR="00547F18" w:rsidRDefault="001B3ABD">
      <w:r>
        <w:rPr>
          <w:noProof/>
        </w:rPr>
        <w:drawing>
          <wp:inline distT="0" distB="0" distL="114300" distR="114300">
            <wp:extent cx="5273675" cy="2639695"/>
            <wp:effectExtent l="0" t="0" r="317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47F18" w:rsidRDefault="00547F18"/>
    <w:p w:rsidR="00547F18" w:rsidRDefault="00547F18"/>
    <w:p w:rsidR="00547F18" w:rsidRDefault="001B3ABD">
      <w:pPr>
        <w:pStyle w:val="2"/>
      </w:pPr>
      <w:bookmarkStart w:id="4" w:name="OLE_LINK2"/>
      <w:r>
        <w:rPr>
          <w:rFonts w:hint="eastAsia"/>
        </w:rPr>
        <w:t>测试用例编写</w:t>
      </w:r>
      <w:bookmarkEnd w:id="4"/>
    </w:p>
    <w:p w:rsidR="00547F18" w:rsidRDefault="001B3ABD">
      <w:r>
        <w:rPr>
          <w:rFonts w:hint="eastAsia"/>
        </w:rPr>
        <w:t>例子：</w:t>
      </w:r>
    </w:p>
    <w:p w:rsidR="00547F18" w:rsidRDefault="001B3ABD">
      <w:pPr>
        <w:jc w:val="left"/>
      </w:pPr>
      <w:r>
        <w:rPr>
          <w:rFonts w:hint="eastAsia"/>
        </w:rPr>
        <w:t>com.eayun.customer.ecmccontroller.EcmcCustomerControllerTest</w:t>
      </w:r>
      <w:r>
        <w:rPr>
          <w:rFonts w:hint="eastAsia"/>
        </w:rPr>
        <w:t xml:space="preserve"> </w:t>
      </w:r>
      <w:r>
        <w:rPr>
          <w:rFonts w:hint="eastAsia"/>
        </w:rPr>
        <w:t>用于测试</w:t>
      </w:r>
      <w:r>
        <w:rPr>
          <w:rFonts w:hint="eastAsia"/>
        </w:rPr>
        <w:t>com.eayun.customer.ecmccontroller.EcmcCustomerController</w:t>
      </w:r>
      <w:r>
        <w:rPr>
          <w:rFonts w:hint="eastAsia"/>
        </w:rPr>
        <w:t>接口。</w:t>
      </w:r>
    </w:p>
    <w:p w:rsidR="00547F18" w:rsidRDefault="00547F18">
      <w:pPr>
        <w:jc w:val="left"/>
      </w:pPr>
    </w:p>
    <w:p w:rsidR="00547F18" w:rsidRDefault="001B3ABD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1770" cy="190500"/>
            <wp:effectExtent l="0" t="0" r="508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47F18" w:rsidRDefault="001B3ABD">
      <w:pPr>
        <w:jc w:val="left"/>
      </w:pPr>
      <w:r>
        <w:rPr>
          <w:rFonts w:hint="eastAsia"/>
        </w:rPr>
        <w:t>继承</w:t>
      </w:r>
      <w:r>
        <w:rPr>
          <w:rFonts w:hint="eastAsia"/>
        </w:rPr>
        <w:t>AbstrackApiTests</w:t>
      </w:r>
      <w:r>
        <w:rPr>
          <w:rFonts w:hint="eastAsia"/>
        </w:rPr>
        <w:t>类。</w:t>
      </w:r>
    </w:p>
    <w:p w:rsidR="00547F18" w:rsidRDefault="00547F18">
      <w:pPr>
        <w:jc w:val="left"/>
      </w:pPr>
    </w:p>
    <w:p w:rsidR="00547F18" w:rsidRDefault="00547F18">
      <w:pPr>
        <w:jc w:val="left"/>
      </w:pPr>
    </w:p>
    <w:p w:rsidR="00547F18" w:rsidRDefault="001B3ABD">
      <w:pPr>
        <w:jc w:val="left"/>
      </w:pPr>
      <w:r>
        <w:rPr>
          <w:noProof/>
        </w:rPr>
        <w:drawing>
          <wp:inline distT="0" distB="0" distL="114300" distR="114300">
            <wp:extent cx="5269230" cy="2345055"/>
            <wp:effectExtent l="0" t="0" r="7620" b="171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47F18" w:rsidRDefault="001B3ABD">
      <w:pPr>
        <w:jc w:val="left"/>
      </w:pPr>
      <w:r>
        <w:rPr>
          <w:rFonts w:hint="eastAsia"/>
        </w:rPr>
        <w:t>第一个测试用例方法需要加注解</w:t>
      </w:r>
      <w:r>
        <w:rPr>
          <w:rFonts w:hint="eastAsia"/>
        </w:rPr>
        <w:t>org.testng.annotations.Test</w:t>
      </w:r>
      <w:r>
        <w:rPr>
          <w:rFonts w:hint="eastAsia"/>
        </w:rPr>
        <w:t>。</w:t>
      </w:r>
    </w:p>
    <w:p w:rsidR="00547F18" w:rsidRDefault="001B3ABD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MockMvc</w:t>
      </w:r>
      <w:r>
        <w:rPr>
          <w:rFonts w:hint="eastAsia"/>
        </w:rPr>
        <w:t>测试接口，这里大致有三个步骤：</w:t>
      </w:r>
    </w:p>
    <w:p w:rsidR="00547F18" w:rsidRDefault="001B3ABD">
      <w:pPr>
        <w:numPr>
          <w:ilvl w:val="0"/>
          <w:numId w:val="2"/>
        </w:numPr>
        <w:ind w:left="845"/>
        <w:jc w:val="left"/>
      </w:pPr>
      <w:r>
        <w:rPr>
          <w:rFonts w:hint="eastAsia"/>
        </w:rPr>
        <w:t>组织参数</w:t>
      </w:r>
    </w:p>
    <w:p w:rsidR="00547F18" w:rsidRDefault="001B3ABD">
      <w:pPr>
        <w:numPr>
          <w:ilvl w:val="0"/>
          <w:numId w:val="2"/>
        </w:numPr>
        <w:ind w:left="845"/>
        <w:jc w:val="left"/>
      </w:pPr>
      <w:r>
        <w:rPr>
          <w:rFonts w:hint="eastAsia"/>
        </w:rPr>
        <w:t>发起请求</w:t>
      </w:r>
    </w:p>
    <w:p w:rsidR="00547F18" w:rsidRDefault="001B3ABD">
      <w:pPr>
        <w:numPr>
          <w:ilvl w:val="0"/>
          <w:numId w:val="2"/>
        </w:numPr>
        <w:ind w:left="845"/>
        <w:jc w:val="left"/>
      </w:pPr>
      <w:r>
        <w:rPr>
          <w:rFonts w:hint="eastAsia"/>
        </w:rPr>
        <w:t>对响应设置断言</w:t>
      </w:r>
    </w:p>
    <w:p w:rsidR="00547F18" w:rsidRDefault="00547F18"/>
    <w:p w:rsidR="00547F18" w:rsidRDefault="001B3ABD">
      <w:pPr>
        <w:pStyle w:val="1"/>
      </w:pPr>
      <w:r>
        <w:rPr>
          <w:rFonts w:hint="eastAsia"/>
        </w:rPr>
        <w:t>执行测试</w:t>
      </w:r>
    </w:p>
    <w:p w:rsidR="00547F18" w:rsidRDefault="001B3ABD">
      <w:r>
        <w:rPr>
          <w:rFonts w:hint="eastAsia"/>
        </w:rPr>
        <w:t>TestNG</w:t>
      </w:r>
      <w:r>
        <w:rPr>
          <w:rFonts w:hint="eastAsia"/>
        </w:rPr>
        <w:t>已经可以与</w:t>
      </w:r>
      <w:r>
        <w:rPr>
          <w:rFonts w:hint="eastAsia"/>
        </w:rPr>
        <w:t>maven</w:t>
      </w:r>
      <w:r>
        <w:rPr>
          <w:rFonts w:hint="eastAsia"/>
        </w:rPr>
        <w:t>很好的集成使用，在</w:t>
      </w:r>
      <w:r>
        <w:rPr>
          <w:rFonts w:hint="eastAsia"/>
        </w:rPr>
        <w:t>maven test</w:t>
      </w:r>
      <w:r>
        <w:rPr>
          <w:rFonts w:hint="eastAsia"/>
        </w:rPr>
        <w:t>环节，</w:t>
      </w:r>
      <w:r>
        <w:rPr>
          <w:rFonts w:hint="eastAsia"/>
        </w:rPr>
        <w:t>maven</w:t>
      </w:r>
      <w:r>
        <w:rPr>
          <w:rFonts w:hint="eastAsia"/>
        </w:rPr>
        <w:t>会去扫描项目</w:t>
      </w:r>
      <w:r>
        <w:rPr>
          <w:rFonts w:hint="eastAsia"/>
        </w:rPr>
        <w:t>src/test/java</w:t>
      </w:r>
      <w:r>
        <w:rPr>
          <w:rFonts w:hint="eastAsia"/>
        </w:rPr>
        <w:t>目录下所有</w:t>
      </w:r>
      <w:r>
        <w:rPr>
          <w:rFonts w:hint="eastAsia"/>
        </w:rPr>
        <w:t>Test</w:t>
      </w:r>
      <w:r>
        <w:rPr>
          <w:rFonts w:hint="eastAsia"/>
        </w:rPr>
        <w:t>后缀的类，</w:t>
      </w:r>
      <w:r>
        <w:rPr>
          <w:rFonts w:hint="eastAsia"/>
        </w:rPr>
        <w:t>并执行使用</w:t>
      </w:r>
      <w:r>
        <w:rPr>
          <w:rFonts w:hint="eastAsia"/>
        </w:rPr>
        <w:t>@Test</w:t>
      </w:r>
      <w:r>
        <w:rPr>
          <w:rFonts w:hint="eastAsia"/>
        </w:rPr>
        <w:t>标记的方法。所以</w:t>
      </w:r>
      <w:r>
        <w:rPr>
          <w:rFonts w:hint="eastAsia"/>
        </w:rPr>
        <w:t>TestNG</w:t>
      </w:r>
      <w:r>
        <w:rPr>
          <w:rFonts w:hint="eastAsia"/>
        </w:rPr>
        <w:t>的测试使用可使用</w:t>
      </w:r>
      <w:r>
        <w:rPr>
          <w:rFonts w:hint="eastAsia"/>
        </w:rPr>
        <w:t>maven</w:t>
      </w:r>
      <w:r>
        <w:rPr>
          <w:rFonts w:hint="eastAsia"/>
        </w:rPr>
        <w:t>来执行，步骤如下：</w:t>
      </w:r>
    </w:p>
    <w:p w:rsidR="00547F18" w:rsidRDefault="001B3ABD">
      <w:r>
        <w:rPr>
          <w:noProof/>
        </w:rPr>
        <w:lastRenderedPageBreak/>
        <w:drawing>
          <wp:inline distT="0" distB="0" distL="114300" distR="114300">
            <wp:extent cx="5269230" cy="5309235"/>
            <wp:effectExtent l="0" t="0" r="762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0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47F18" w:rsidRDefault="00547F18"/>
    <w:p w:rsidR="00547F18" w:rsidRDefault="001B3ABD">
      <w:r>
        <w:rPr>
          <w:noProof/>
        </w:rPr>
        <w:lastRenderedPageBreak/>
        <w:drawing>
          <wp:inline distT="0" distB="0" distL="114300" distR="114300">
            <wp:extent cx="5271770" cy="3966845"/>
            <wp:effectExtent l="0" t="0" r="508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47F18" w:rsidRDefault="00547F18"/>
    <w:p w:rsidR="00547F18" w:rsidRDefault="001B3ABD">
      <w:r>
        <w:rPr>
          <w:rFonts w:hint="eastAsia"/>
        </w:rPr>
        <w:t>执行测试后，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surefire</w:t>
      </w:r>
      <w:r>
        <w:rPr>
          <w:rFonts w:hint="eastAsia"/>
        </w:rPr>
        <w:t>会生成对应的测试报告，目录为：</w:t>
      </w:r>
      <w:r>
        <w:rPr>
          <w:rFonts w:hint="eastAsia"/>
        </w:rPr>
        <w:t>target/surefire-reports</w:t>
      </w:r>
      <w:r>
        <w:rPr>
          <w:rFonts w:hint="eastAsia"/>
        </w:rPr>
        <w:t>，如图：</w:t>
      </w:r>
    </w:p>
    <w:p w:rsidR="00547F18" w:rsidRDefault="001B3ABD">
      <w:r>
        <w:rPr>
          <w:noProof/>
        </w:rPr>
        <w:drawing>
          <wp:inline distT="0" distB="0" distL="114300" distR="114300">
            <wp:extent cx="5264785" cy="3679190"/>
            <wp:effectExtent l="0" t="0" r="12065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47F18" w:rsidRDefault="00547F18"/>
    <w:p w:rsidR="00547F18" w:rsidRDefault="001B3ABD">
      <w:pPr>
        <w:pStyle w:val="1"/>
      </w:pPr>
      <w:r>
        <w:rPr>
          <w:rFonts w:hint="eastAsia"/>
        </w:rPr>
        <w:lastRenderedPageBreak/>
        <w:t>测试框架</w:t>
      </w:r>
      <w:r>
        <w:rPr>
          <w:rFonts w:hint="eastAsia"/>
        </w:rPr>
        <w:t>pom</w:t>
      </w:r>
      <w:r>
        <w:rPr>
          <w:rFonts w:hint="eastAsia"/>
        </w:rPr>
        <w:t>依赖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org.springframework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spring-test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${spring.version}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008080"/>
          <w:sz w:val="24"/>
        </w:rPr>
        <w:t>/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scope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test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scope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org.testng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testng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6.8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scope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test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scope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com.jayway.jsonpath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json</w:t>
      </w:r>
      <w:r>
        <w:rPr>
          <w:rFonts w:ascii="Consolas" w:eastAsia="Consolas" w:hAnsi="Consolas" w:hint="eastAsia"/>
          <w:color w:val="000000"/>
          <w:sz w:val="24"/>
        </w:rPr>
        <w:t>-path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0.9.0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scope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test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scope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1B3ABD">
      <w:pPr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547F18" w:rsidRDefault="00547F18">
      <w:pPr>
        <w:rPr>
          <w:rFonts w:ascii="Consolas" w:eastAsia="Consolas" w:hAnsi="Consolas"/>
          <w:color w:val="008080"/>
          <w:sz w:val="24"/>
        </w:rPr>
      </w:pPr>
    </w:p>
    <w:p w:rsidR="00547F18" w:rsidRDefault="001B3ABD">
      <w:pPr>
        <w:pStyle w:val="1"/>
      </w:pPr>
      <w:r>
        <w:rPr>
          <w:rFonts w:hint="eastAsia"/>
        </w:rPr>
        <w:t>TestNG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插件</w:t>
      </w:r>
    </w:p>
    <w:p w:rsidR="00547F18" w:rsidRDefault="001B3ABD">
      <w:r>
        <w:rPr>
          <w:rFonts w:hint="eastAsia"/>
        </w:rPr>
        <w:t>TestNG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下提供了插件，可以用于执行、生成测试类，安装如下图，使用这里就不多说了。</w:t>
      </w:r>
    </w:p>
    <w:p w:rsidR="00547F18" w:rsidRDefault="001B3ABD">
      <w:r>
        <w:rPr>
          <w:noProof/>
        </w:rPr>
        <w:lastRenderedPageBreak/>
        <w:drawing>
          <wp:inline distT="0" distB="0" distL="114300" distR="114300">
            <wp:extent cx="5272405" cy="43935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47F18" w:rsidRDefault="00547F18">
      <w:pPr>
        <w:rPr>
          <w:rFonts w:ascii="Consolas" w:eastAsia="宋体" w:hAnsi="Consolas"/>
          <w:color w:val="008080"/>
          <w:sz w:val="24"/>
        </w:rPr>
      </w:pPr>
    </w:p>
    <w:p w:rsidR="00547F18" w:rsidRDefault="00547F18">
      <w:pPr>
        <w:rPr>
          <w:rFonts w:ascii="Consolas" w:eastAsia="Consolas" w:hAnsi="Consolas"/>
          <w:color w:val="008080"/>
          <w:sz w:val="24"/>
        </w:rPr>
      </w:pPr>
    </w:p>
    <w:sectPr w:rsidR="00547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ABD" w:rsidRDefault="001B3ABD">
      <w:r>
        <w:separator/>
      </w:r>
    </w:p>
  </w:endnote>
  <w:endnote w:type="continuationSeparator" w:id="0">
    <w:p w:rsidR="001B3ABD" w:rsidRDefault="001B3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F18" w:rsidRDefault="001B3AB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47F18" w:rsidRDefault="00547F1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ABD" w:rsidRDefault="001B3ABD">
      <w:r>
        <w:separator/>
      </w:r>
    </w:p>
  </w:footnote>
  <w:footnote w:type="continuationSeparator" w:id="0">
    <w:p w:rsidR="001B3ABD" w:rsidRDefault="001B3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C8533"/>
    <w:multiLevelType w:val="multilevel"/>
    <w:tmpl w:val="57FC8533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7FC8F1E"/>
    <w:multiLevelType w:val="singleLevel"/>
    <w:tmpl w:val="57FC8F1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B3ABD"/>
    <w:rsid w:val="00547F18"/>
    <w:rsid w:val="00C31A24"/>
    <w:rsid w:val="013F5FAA"/>
    <w:rsid w:val="02A63F31"/>
    <w:rsid w:val="02AA0B35"/>
    <w:rsid w:val="02FC39D9"/>
    <w:rsid w:val="045B35A5"/>
    <w:rsid w:val="05001416"/>
    <w:rsid w:val="05F05E3F"/>
    <w:rsid w:val="07BE6F72"/>
    <w:rsid w:val="09213018"/>
    <w:rsid w:val="093339DB"/>
    <w:rsid w:val="0CBF1D95"/>
    <w:rsid w:val="0CD85FF8"/>
    <w:rsid w:val="0D8E008C"/>
    <w:rsid w:val="0E000B88"/>
    <w:rsid w:val="0E1D4143"/>
    <w:rsid w:val="102E2129"/>
    <w:rsid w:val="10D31784"/>
    <w:rsid w:val="12164ECB"/>
    <w:rsid w:val="159B469C"/>
    <w:rsid w:val="181705E0"/>
    <w:rsid w:val="19D04F2F"/>
    <w:rsid w:val="1A6214FE"/>
    <w:rsid w:val="1CA342CB"/>
    <w:rsid w:val="1CC65A1F"/>
    <w:rsid w:val="1DF1465E"/>
    <w:rsid w:val="1DFB1CFE"/>
    <w:rsid w:val="1EDE31D6"/>
    <w:rsid w:val="1F4D18C8"/>
    <w:rsid w:val="1F725966"/>
    <w:rsid w:val="1FC3020D"/>
    <w:rsid w:val="20F40F1E"/>
    <w:rsid w:val="223D03FD"/>
    <w:rsid w:val="238F5088"/>
    <w:rsid w:val="23956922"/>
    <w:rsid w:val="24061A0C"/>
    <w:rsid w:val="24AA122F"/>
    <w:rsid w:val="24AA22AB"/>
    <w:rsid w:val="25C32D23"/>
    <w:rsid w:val="25DA7D4E"/>
    <w:rsid w:val="291E2143"/>
    <w:rsid w:val="2952570D"/>
    <w:rsid w:val="2A5436CA"/>
    <w:rsid w:val="2AE96D52"/>
    <w:rsid w:val="2AF617EE"/>
    <w:rsid w:val="2C76682B"/>
    <w:rsid w:val="32F71669"/>
    <w:rsid w:val="350C1D90"/>
    <w:rsid w:val="35C836FC"/>
    <w:rsid w:val="37876177"/>
    <w:rsid w:val="37A3329D"/>
    <w:rsid w:val="3ACD5B09"/>
    <w:rsid w:val="3D182AE6"/>
    <w:rsid w:val="3D881528"/>
    <w:rsid w:val="3E266F84"/>
    <w:rsid w:val="3E8772C0"/>
    <w:rsid w:val="3E8C7BC6"/>
    <w:rsid w:val="3F0D0DA6"/>
    <w:rsid w:val="40B20602"/>
    <w:rsid w:val="40D43608"/>
    <w:rsid w:val="412021F3"/>
    <w:rsid w:val="41993533"/>
    <w:rsid w:val="453F5B72"/>
    <w:rsid w:val="455A2AA4"/>
    <w:rsid w:val="45751D8C"/>
    <w:rsid w:val="45AF4DBB"/>
    <w:rsid w:val="45C5647A"/>
    <w:rsid w:val="464646CB"/>
    <w:rsid w:val="470D1FED"/>
    <w:rsid w:val="470F6A70"/>
    <w:rsid w:val="48CF57BA"/>
    <w:rsid w:val="4CB60B0A"/>
    <w:rsid w:val="4DA92422"/>
    <w:rsid w:val="4EB01B92"/>
    <w:rsid w:val="4F2540F2"/>
    <w:rsid w:val="527852A4"/>
    <w:rsid w:val="55807508"/>
    <w:rsid w:val="58105777"/>
    <w:rsid w:val="58276959"/>
    <w:rsid w:val="585C1363"/>
    <w:rsid w:val="59363EF9"/>
    <w:rsid w:val="59892BDF"/>
    <w:rsid w:val="5EF7657E"/>
    <w:rsid w:val="5FFD3FF4"/>
    <w:rsid w:val="608D0D80"/>
    <w:rsid w:val="609A325C"/>
    <w:rsid w:val="612D1D16"/>
    <w:rsid w:val="61586088"/>
    <w:rsid w:val="61B865F7"/>
    <w:rsid w:val="64C06B7C"/>
    <w:rsid w:val="656459A3"/>
    <w:rsid w:val="65707BDB"/>
    <w:rsid w:val="660C31CC"/>
    <w:rsid w:val="663274AC"/>
    <w:rsid w:val="689106BA"/>
    <w:rsid w:val="69176717"/>
    <w:rsid w:val="69BD031B"/>
    <w:rsid w:val="6AFB0AD6"/>
    <w:rsid w:val="6B1C3538"/>
    <w:rsid w:val="6BCF13BF"/>
    <w:rsid w:val="6BD2002D"/>
    <w:rsid w:val="6C8D416E"/>
    <w:rsid w:val="6D250269"/>
    <w:rsid w:val="6D9B3ED5"/>
    <w:rsid w:val="6DAA6C4E"/>
    <w:rsid w:val="6DBD7D69"/>
    <w:rsid w:val="6E2768D4"/>
    <w:rsid w:val="6ED05591"/>
    <w:rsid w:val="6FC27E34"/>
    <w:rsid w:val="740E61D3"/>
    <w:rsid w:val="743C3727"/>
    <w:rsid w:val="75897B95"/>
    <w:rsid w:val="799C0453"/>
    <w:rsid w:val="7A025E6F"/>
    <w:rsid w:val="7A633561"/>
    <w:rsid w:val="7AC81038"/>
    <w:rsid w:val="7D3A380C"/>
    <w:rsid w:val="7D860368"/>
    <w:rsid w:val="7DD86E82"/>
    <w:rsid w:val="7E6A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18A821-D2E9-4D8C-8581-0028D563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page number"/>
    <w:basedOn w:val="a0"/>
    <w:qFormat/>
  </w:style>
  <w:style w:type="paragraph" w:customStyle="1" w:styleId="Text">
    <w:name w:val="Text"/>
    <w:basedOn w:val="a"/>
    <w:qFormat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zhujun</dc:creator>
  <cp:lastModifiedBy>hao chen</cp:lastModifiedBy>
  <cp:revision>1</cp:revision>
  <dcterms:created xsi:type="dcterms:W3CDTF">2014-10-29T12:08:00Z</dcterms:created>
  <dcterms:modified xsi:type="dcterms:W3CDTF">2016-11-10T06:00:00Z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