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邮件场景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场景1：查询</w:t>
      </w:r>
    </w:p>
    <w:p>
      <w:r>
        <w:drawing>
          <wp:inline distT="0" distB="0" distL="114300" distR="114300">
            <wp:extent cx="5273675" cy="201803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8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操作：点击菜单“邮件查询”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结果：邮件生成时间倒序排列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场景2：条件查询</w:t>
      </w:r>
    </w:p>
    <w:p>
      <w:pPr/>
      <w:r>
        <w:drawing>
          <wp:inline distT="0" distB="0" distL="114300" distR="114300">
            <wp:extent cx="5262245" cy="1941195"/>
            <wp:effectExtent l="0" t="0" r="1460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条件图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865" cy="1190625"/>
            <wp:effectExtent l="0" t="0" r="698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3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结果图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  <w:r>
        <w:rPr>
          <w:rFonts w:hint="eastAsia"/>
          <w:lang w:val="en-US" w:eastAsia="zh-CN"/>
        </w:rPr>
        <w:tab/>
        <w:t>选择时间段，可选择单个时间开始或者结束。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选择邮件状态。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结果：邮件时间范围内倒序排列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场景2：重新发送</w:t>
      </w:r>
    </w:p>
    <w:p>
      <w:pPr/>
      <w:r>
        <w:drawing>
          <wp:inline distT="0" distB="0" distL="114300" distR="114300">
            <wp:extent cx="5262245" cy="2571750"/>
            <wp:effectExtent l="0" t="0" r="1460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3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点击邮件后的重新发送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0500" cy="1179830"/>
            <wp:effectExtent l="0" t="0" r="6350" b="12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3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结果图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1.点击重新发送。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选择接收邮件的邮箱。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无选择提交按钮置灰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选择单个或者多个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可全选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点击提交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提示“重发成功”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重发数据展示第一条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定时刷新列表获取发送时间与邮件状态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结果：邮件重新发送成功，列表第一条展示。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CFD44"/>
    <w:multiLevelType w:val="multilevel"/>
    <w:tmpl w:val="576CFD44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6CFD90"/>
    <w:multiLevelType w:val="singleLevel"/>
    <w:tmpl w:val="576CFD90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92871"/>
    <w:rsid w:val="08901DBF"/>
    <w:rsid w:val="08B92871"/>
    <w:rsid w:val="171011B0"/>
    <w:rsid w:val="41E9407E"/>
    <w:rsid w:val="4241732B"/>
    <w:rsid w:val="4A5E2929"/>
    <w:rsid w:val="4C244FD3"/>
    <w:rsid w:val="5DD646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2016-06-24T09:17:00Z</dcterms:created>
  <dc:creator>Administrator</dc:creator>
  <cp:lastModifiedBy>Administrator</cp:lastModifiedBy>
  <dcterms:modified xsi:type="dcterms:W3CDTF">2016-06-24T09:29:14Z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