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E5" w:rsidRPr="00F433C8" w:rsidRDefault="00596EE5" w:rsidP="00596EE5">
      <w:pPr>
        <w:autoSpaceDE w:val="0"/>
        <w:autoSpaceDN w:val="0"/>
        <w:adjustRightInd w:val="0"/>
        <w:spacing w:line="240" w:lineRule="atLeast"/>
        <w:ind w:left="4060" w:hangingChars="1450" w:hanging="4060"/>
        <w:jc w:val="left"/>
        <w:rPr>
          <w:rFonts w:ascii="黑体" w:eastAsia="黑体" w:cs="宋体"/>
          <w:kern w:val="0"/>
          <w:sz w:val="28"/>
          <w:szCs w:val="28"/>
        </w:rPr>
      </w:pPr>
      <w:r w:rsidRPr="00F433C8">
        <w:rPr>
          <w:rFonts w:ascii="黑体" w:eastAsia="黑体" w:cs="宋体" w:hint="eastAsia"/>
          <w:kern w:val="0"/>
          <w:sz w:val="28"/>
          <w:szCs w:val="28"/>
        </w:rPr>
        <w:t>附</w:t>
      </w: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件</w:t>
      </w:r>
      <w:r>
        <w:rPr>
          <w:rFonts w:ascii="黑体" w:eastAsia="黑体" w:cs="宋体" w:hint="eastAsia"/>
          <w:kern w:val="0"/>
          <w:sz w:val="28"/>
          <w:szCs w:val="28"/>
        </w:rPr>
        <w:t>4</w:t>
      </w:r>
      <w:r w:rsidRPr="00F433C8">
        <w:rPr>
          <w:rFonts w:ascii="黑体" w:eastAsia="黑体" w:cs="宋体" w:hint="eastAsia"/>
          <w:kern w:val="0"/>
          <w:sz w:val="28"/>
          <w:szCs w:val="28"/>
        </w:rPr>
        <w:t>：</w:t>
      </w:r>
      <w:r w:rsidRPr="00F433C8">
        <w:rPr>
          <w:rFonts w:ascii="宋体" w:hAnsi="宋体" w:cs="宋体" w:hint="eastAsia"/>
          <w:b/>
          <w:kern w:val="0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中层干部</w:t>
      </w:r>
      <w:r>
        <w:rPr>
          <w:rFonts w:ascii="宋体" w:hAnsi="宋体" w:cs="宋体" w:hint="eastAsia"/>
          <w:b/>
          <w:kern w:val="0"/>
          <w:sz w:val="36"/>
          <w:szCs w:val="36"/>
        </w:rPr>
        <w:t>综合测评</w:t>
      </w:r>
      <w:r w:rsidRPr="00F433C8">
        <w:rPr>
          <w:rFonts w:ascii="宋体" w:hAnsi="宋体" w:cs="宋体" w:hint="eastAsia"/>
          <w:b/>
          <w:kern w:val="0"/>
          <w:sz w:val="36"/>
          <w:szCs w:val="36"/>
        </w:rPr>
        <w:t>指标</w:t>
      </w:r>
      <w:r w:rsidRPr="00F433C8">
        <w:rPr>
          <w:rFonts w:ascii="宋体" w:hAnsi="宋体" w:cs="宋体" w:hint="eastAsia"/>
          <w:b/>
          <w:kern w:val="0"/>
          <w:sz w:val="36"/>
          <w:szCs w:val="36"/>
          <w:lang w:eastAsia="zh-TW"/>
        </w:rPr>
        <w:t>评价要点</w:t>
      </w:r>
    </w:p>
    <w:tbl>
      <w:tblPr>
        <w:tblW w:w="14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2"/>
        <w:gridCol w:w="1843"/>
        <w:gridCol w:w="10818"/>
      </w:tblGrid>
      <w:tr w:rsidR="00596EE5" w:rsidRPr="00F433C8" w:rsidTr="004D20E8">
        <w:trPr>
          <w:trHeight w:val="582"/>
          <w:jc w:val="center"/>
        </w:trPr>
        <w:tc>
          <w:tcPr>
            <w:tcW w:w="1552" w:type="dxa"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</w:rPr>
            </w:pPr>
            <w:r w:rsidRPr="00F433C8">
              <w:rPr>
                <w:rFonts w:ascii="黑体" w:eastAsia="黑体" w:hAnsi="宋体" w:cs="宋体" w:hint="eastAsia"/>
                <w:kern w:val="0"/>
                <w:sz w:val="24"/>
              </w:rPr>
              <w:t>一级指标</w:t>
            </w:r>
          </w:p>
        </w:tc>
        <w:tc>
          <w:tcPr>
            <w:tcW w:w="1843" w:type="dxa"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</w:rPr>
            </w:pPr>
            <w:r w:rsidRPr="00F433C8">
              <w:rPr>
                <w:rFonts w:ascii="黑体" w:eastAsia="黑体" w:hAnsi="宋体" w:cs="宋体" w:hint="eastAsia"/>
                <w:kern w:val="0"/>
                <w:sz w:val="24"/>
              </w:rPr>
              <w:t>二级指标</w:t>
            </w:r>
          </w:p>
        </w:tc>
        <w:tc>
          <w:tcPr>
            <w:tcW w:w="10818" w:type="dxa"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  <w:lang w:eastAsia="zh-TW"/>
              </w:rPr>
            </w:pPr>
            <w:r w:rsidRPr="00F433C8">
              <w:rPr>
                <w:rFonts w:ascii="黑体" w:eastAsia="黑体" w:hAnsi="宋体" w:cs="宋体" w:hint="eastAsia"/>
                <w:kern w:val="0"/>
                <w:sz w:val="24"/>
              </w:rPr>
              <w:t xml:space="preserve">评  价  </w:t>
            </w:r>
            <w:r w:rsidRPr="00F433C8">
              <w:rPr>
                <w:rFonts w:ascii="黑体" w:eastAsia="黑体" w:hAnsi="宋体" w:cs="宋体" w:hint="eastAsia"/>
                <w:kern w:val="0"/>
                <w:sz w:val="24"/>
                <w:lang w:eastAsia="zh-TW"/>
              </w:rPr>
              <w:t>要</w:t>
            </w:r>
            <w:r w:rsidRPr="00F433C8">
              <w:rPr>
                <w:rFonts w:ascii="黑体" w:eastAsia="黑体" w:hAnsi="宋体" w:cs="宋体" w:hint="eastAsia"/>
                <w:kern w:val="0"/>
                <w:sz w:val="24"/>
              </w:rPr>
              <w:t xml:space="preserve">  </w:t>
            </w:r>
            <w:r w:rsidRPr="00F433C8">
              <w:rPr>
                <w:rFonts w:ascii="黑体" w:eastAsia="黑体" w:hAnsi="宋体" w:cs="宋体" w:hint="eastAsia"/>
                <w:kern w:val="0"/>
                <w:sz w:val="24"/>
                <w:lang w:eastAsia="zh-TW"/>
              </w:rPr>
              <w:t>点</w:t>
            </w:r>
          </w:p>
        </w:tc>
      </w:tr>
      <w:tr w:rsidR="00596EE5" w:rsidRPr="00F433C8" w:rsidTr="004D20E8">
        <w:trPr>
          <w:trHeight w:val="567"/>
          <w:jc w:val="center"/>
        </w:trPr>
        <w:tc>
          <w:tcPr>
            <w:tcW w:w="1552" w:type="dxa"/>
            <w:vMerge w:val="restart"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kern w:val="0"/>
                <w:sz w:val="24"/>
              </w:rPr>
              <w:t>素  质</w:t>
            </w: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eastAsia="zh-TW"/>
              </w:rPr>
              <w:t>政治素质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政治意识和大局观念强，有较高的政治理论和政策水平。</w:t>
            </w:r>
          </w:p>
        </w:tc>
      </w:tr>
      <w:tr w:rsidR="00596EE5" w:rsidRPr="00F433C8" w:rsidTr="004D20E8">
        <w:trPr>
          <w:trHeight w:val="567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  <w:lang w:eastAsia="zh-TW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eastAsia="zh-TW"/>
              </w:rPr>
              <w:t>职业素养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 w:rsidRPr="00D96DE2">
              <w:rPr>
                <w:rFonts w:ascii="仿宋" w:eastAsia="仿宋" w:hAnsi="仿宋" w:cs="仿宋" w:hint="eastAsia"/>
                <w:sz w:val="24"/>
              </w:rPr>
              <w:t>勤勉敬业,忠诚企业，品行端正,具有良好的职业道德，执行“改革创新、转型升级”要求，勇于开拓，勇于担当。</w:t>
            </w:r>
          </w:p>
        </w:tc>
      </w:tr>
      <w:tr w:rsidR="00596EE5" w:rsidRPr="00F433C8" w:rsidTr="004D20E8">
        <w:trPr>
          <w:trHeight w:val="567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  <w:lang w:eastAsia="zh-TW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eastAsia="zh-TW"/>
              </w:rPr>
              <w:t>廉洁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自律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>
              <w:rPr>
                <w:rFonts w:ascii="仿宋" w:eastAsia="仿宋" w:hAnsi="仿宋" w:hint="eastAsia"/>
                <w:sz w:val="24"/>
              </w:rPr>
              <w:t>执行</w:t>
            </w:r>
            <w:r>
              <w:rPr>
                <w:rFonts w:ascii="仿宋" w:eastAsia="仿宋" w:hAnsi="仿宋"/>
                <w:sz w:val="24"/>
              </w:rPr>
              <w:t>中央“八项规定”，遵守廉洁从业规定，无违法违纪现象。</w:t>
            </w:r>
          </w:p>
        </w:tc>
      </w:tr>
      <w:tr w:rsidR="00596EE5" w:rsidRPr="00F433C8" w:rsidTr="004D20E8">
        <w:trPr>
          <w:trHeight w:val="567"/>
          <w:jc w:val="center"/>
        </w:trPr>
        <w:tc>
          <w:tcPr>
            <w:tcW w:w="1552" w:type="dxa"/>
            <w:vMerge w:val="restart"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ind w:left="91" w:right="24"/>
              <w:jc w:val="center"/>
              <w:rPr>
                <w:rFonts w:ascii="黑体" w:eastAsia="黑体" w:hAnsi="宋体"/>
                <w:kern w:val="0"/>
                <w:sz w:val="24"/>
                <w:lang w:eastAsia="zh-TW"/>
              </w:rPr>
            </w:pPr>
            <w:r>
              <w:rPr>
                <w:rFonts w:ascii="黑体" w:eastAsia="黑体" w:hAnsi="宋体" w:cs="宋体" w:hint="eastAsia"/>
                <w:kern w:val="0"/>
                <w:sz w:val="24"/>
              </w:rPr>
              <w:t>能  力</w:t>
            </w: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eastAsia="zh-TW"/>
              </w:rPr>
              <w:t>决策能力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 w:cs="仿宋_GB2312"/>
                <w:kern w:val="0"/>
                <w:sz w:val="24"/>
                <w:lang w:eastAsia="zh-TW"/>
              </w:rPr>
            </w:pPr>
            <w:r>
              <w:rPr>
                <w:rFonts w:ascii="仿宋" w:eastAsia="仿宋" w:hAnsi="仿宋"/>
                <w:kern w:val="0"/>
                <w:sz w:val="24"/>
              </w:rPr>
              <w:t>思路清晰、有前瞻性,决策科学民主,对重大问题和突发事件,决策果断正确。</w:t>
            </w:r>
          </w:p>
        </w:tc>
      </w:tr>
      <w:tr w:rsidR="00596EE5" w:rsidRPr="00F433C8" w:rsidTr="004D20E8">
        <w:trPr>
          <w:trHeight w:val="567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ind w:left="91" w:right="24"/>
              <w:jc w:val="center"/>
              <w:rPr>
                <w:rFonts w:ascii="黑体" w:eastAsia="黑体" w:hAnsi="宋体"/>
                <w:kern w:val="0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eastAsia="zh-TW"/>
              </w:rPr>
              <w:t>执行能力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 w:cs="仿宋_GB2312"/>
                <w:kern w:val="0"/>
                <w:sz w:val="24"/>
                <w:lang w:eastAsia="zh-TW"/>
              </w:rPr>
            </w:pPr>
            <w:r>
              <w:rPr>
                <w:rFonts w:ascii="仿宋" w:eastAsia="仿宋" w:hAnsi="仿宋"/>
                <w:kern w:val="0"/>
                <w:sz w:val="24"/>
              </w:rPr>
              <w:t>认真贯彻落实</w:t>
            </w:r>
            <w:r>
              <w:rPr>
                <w:rFonts w:ascii="仿宋" w:eastAsia="仿宋" w:hAnsi="仿宋" w:hint="eastAsia"/>
                <w:kern w:val="0"/>
                <w:sz w:val="24"/>
              </w:rPr>
              <w:t>两级公司决议、决定，积极主动做好生产经营、管理、党建等各项工作。</w:t>
            </w:r>
          </w:p>
        </w:tc>
      </w:tr>
      <w:tr w:rsidR="00596EE5" w:rsidRPr="00F433C8" w:rsidTr="004D20E8">
        <w:trPr>
          <w:trHeight w:val="567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ind w:left="91" w:right="24"/>
              <w:jc w:val="center"/>
              <w:rPr>
                <w:rFonts w:ascii="黑体" w:eastAsia="黑体" w:hAnsi="宋体"/>
                <w:kern w:val="0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 w:cs="仿宋_GB2312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</w:rPr>
              <w:t>领导能力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 w:cs="仿宋_GB2312"/>
                <w:kern w:val="0"/>
                <w:sz w:val="24"/>
                <w:lang w:eastAsia="zh-TW"/>
              </w:rPr>
            </w:pPr>
            <w:r>
              <w:rPr>
                <w:rFonts w:ascii="仿宋" w:eastAsia="仿宋" w:hAnsi="仿宋"/>
                <w:sz w:val="24"/>
              </w:rPr>
              <w:t>注重领导艺术，知人善任，</w:t>
            </w:r>
            <w:r>
              <w:rPr>
                <w:rFonts w:eastAsia="仿宋" w:hint="eastAsia"/>
                <w:sz w:val="24"/>
              </w:rPr>
              <w:t>发挥团队精神，抓好队伍建设，</w:t>
            </w:r>
            <w:r>
              <w:rPr>
                <w:rFonts w:ascii="仿宋" w:eastAsia="仿宋" w:hAnsi="仿宋"/>
                <w:sz w:val="24"/>
              </w:rPr>
              <w:t>注重选拔培养</w:t>
            </w:r>
            <w:r>
              <w:rPr>
                <w:rFonts w:ascii="仿宋" w:eastAsia="仿宋" w:hAnsi="仿宋" w:hint="eastAsia"/>
                <w:sz w:val="24"/>
              </w:rPr>
              <w:t>所分管工作的专业人才</w:t>
            </w:r>
            <w:r>
              <w:rPr>
                <w:rFonts w:ascii="仿宋" w:eastAsia="仿宋" w:hAnsi="仿宋"/>
                <w:sz w:val="24"/>
              </w:rPr>
              <w:t>。</w:t>
            </w:r>
          </w:p>
        </w:tc>
      </w:tr>
      <w:tr w:rsidR="00596EE5" w:rsidRPr="00F433C8" w:rsidTr="004D20E8">
        <w:trPr>
          <w:trHeight w:val="624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  <w:lang w:eastAsia="zh-TW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</w:rPr>
              <w:t>学习能力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 w:cs="仿宋_GB2312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勤奋好学，认真参加党委中心组、党支部、航道讲堂、各类党校等形式的学习培训，认真学习党委推荐书籍。</w:t>
            </w:r>
          </w:p>
        </w:tc>
      </w:tr>
      <w:tr w:rsidR="00596EE5" w:rsidRPr="00F433C8" w:rsidTr="00596EE5">
        <w:trPr>
          <w:trHeight w:val="501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  <w:lang w:eastAsia="zh-TW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沟通能力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_GB2312" w:eastAsia="仿宋_GB2312" w:hAnsi="宋体" w:cs="仿宋_GB2312"/>
                <w:kern w:val="0"/>
                <w:sz w:val="24"/>
                <w:lang w:eastAsia="zh-TW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注重沟通，讲究方式方法和沟通技巧，具有亲和力，善于合作共事。</w:t>
            </w:r>
          </w:p>
        </w:tc>
      </w:tr>
      <w:tr w:rsidR="00596EE5" w:rsidRPr="00F433C8" w:rsidTr="00596EE5">
        <w:trPr>
          <w:trHeight w:val="595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kern w:val="0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eastAsia="zh-TW"/>
              </w:rPr>
              <w:t>创新能力</w:t>
            </w:r>
          </w:p>
        </w:tc>
        <w:tc>
          <w:tcPr>
            <w:tcW w:w="10818" w:type="dxa"/>
            <w:vAlign w:val="center"/>
          </w:tcPr>
          <w:p w:rsidR="00596EE5" w:rsidRPr="00D96DE2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" w:eastAsia="仿宋" w:hAnsi="仿宋" w:cs="仿宋"/>
                <w:sz w:val="24"/>
              </w:rPr>
            </w:pPr>
            <w:r w:rsidRPr="00D96DE2">
              <w:rPr>
                <w:rFonts w:ascii="仿宋" w:eastAsia="仿宋" w:hAnsi="仿宋" w:cs="仿宋"/>
                <w:sz w:val="24"/>
              </w:rPr>
              <w:t>不断推动业务创新，</w:t>
            </w:r>
            <w:r w:rsidRPr="00D96DE2">
              <w:rPr>
                <w:rFonts w:ascii="仿宋" w:eastAsia="仿宋" w:hAnsi="仿宋" w:cs="仿宋" w:hint="eastAsia"/>
                <w:sz w:val="24"/>
              </w:rPr>
              <w:t>分管工作有创新、有突破。</w:t>
            </w:r>
          </w:p>
        </w:tc>
      </w:tr>
      <w:tr w:rsidR="00596EE5" w:rsidRPr="00F433C8" w:rsidTr="004D20E8">
        <w:trPr>
          <w:trHeight w:val="624"/>
          <w:jc w:val="center"/>
        </w:trPr>
        <w:tc>
          <w:tcPr>
            <w:tcW w:w="1552" w:type="dxa"/>
            <w:vMerge w:val="restart"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 w:cs="宋体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kern w:val="0"/>
                <w:sz w:val="24"/>
              </w:rPr>
              <w:t>业  绩</w:t>
            </w: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</w:rPr>
              <w:t>内控管理</w:t>
            </w:r>
          </w:p>
        </w:tc>
        <w:tc>
          <w:tcPr>
            <w:tcW w:w="10818" w:type="dxa"/>
            <w:vAlign w:val="center"/>
          </w:tcPr>
          <w:p w:rsidR="00596EE5" w:rsidRPr="00D96DE2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ind w:left="105" w:right="24"/>
              <w:rPr>
                <w:rFonts w:ascii="仿宋" w:eastAsia="仿宋" w:hAnsi="仿宋" w:cs="仿宋"/>
                <w:sz w:val="24"/>
              </w:rPr>
            </w:pPr>
            <w:r w:rsidRPr="00F7779E">
              <w:rPr>
                <w:rFonts w:ascii="仿宋" w:eastAsia="仿宋" w:hAnsi="仿宋" w:cs="仿宋" w:hint="eastAsia"/>
                <w:sz w:val="24"/>
              </w:rPr>
              <w:t>注重内控隐患排查治理，能及时完善制度，优化流程，维护员工合法权益及企业利益；有效应对复杂局面，没有发生恶性事件。</w:t>
            </w:r>
          </w:p>
        </w:tc>
      </w:tr>
      <w:tr w:rsidR="00596EE5" w:rsidRPr="00F433C8" w:rsidTr="004D20E8">
        <w:trPr>
          <w:trHeight w:val="624"/>
          <w:jc w:val="center"/>
        </w:trPr>
        <w:tc>
          <w:tcPr>
            <w:tcW w:w="1552" w:type="dxa"/>
            <w:vMerge/>
            <w:vAlign w:val="center"/>
          </w:tcPr>
          <w:p w:rsidR="00596EE5" w:rsidRPr="00F433C8" w:rsidRDefault="00596EE5" w:rsidP="004D20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</w:p>
        </w:tc>
        <w:tc>
          <w:tcPr>
            <w:tcW w:w="1843" w:type="dxa"/>
            <w:vAlign w:val="center"/>
          </w:tcPr>
          <w:p w:rsidR="00596EE5" w:rsidRDefault="00596EE5" w:rsidP="004D20E8">
            <w:pPr>
              <w:autoSpaceDE w:val="0"/>
              <w:autoSpaceDN w:val="0"/>
              <w:adjustRightInd w:val="0"/>
              <w:snapToGrid w:val="0"/>
              <w:spacing w:line="180" w:lineRule="atLeast"/>
              <w:jc w:val="center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</w:rPr>
              <w:t>履职绩效</w:t>
            </w:r>
          </w:p>
        </w:tc>
        <w:tc>
          <w:tcPr>
            <w:tcW w:w="10818" w:type="dxa"/>
            <w:vAlign w:val="center"/>
          </w:tcPr>
          <w:p w:rsidR="00596EE5" w:rsidRDefault="00596EE5" w:rsidP="004D20E8">
            <w:pPr>
              <w:spacing w:line="180" w:lineRule="atLeast"/>
              <w:ind w:leftChars="50" w:left="105"/>
              <w:rPr>
                <w:rFonts w:ascii="仿宋_GB2312" w:eastAsia="仿宋_GB2312" w:hAnsi="宋体"/>
                <w:kern w:val="0"/>
                <w:sz w:val="24"/>
                <w:lang w:eastAsia="zh-TW"/>
              </w:rPr>
            </w:pPr>
            <w:r w:rsidRPr="00F7779E">
              <w:rPr>
                <w:rFonts w:ascii="仿宋" w:eastAsia="仿宋" w:hAnsi="仿宋" w:cs="仿宋" w:hint="eastAsia"/>
                <w:sz w:val="24"/>
              </w:rPr>
              <w:t>注重掌握行业最新动态，把握发展机遇，有效应对风险，</w:t>
            </w:r>
            <w:r>
              <w:rPr>
                <w:rFonts w:ascii="仿宋" w:eastAsia="仿宋" w:hAnsi="仿宋" w:hint="eastAsia"/>
                <w:sz w:val="24"/>
              </w:rPr>
              <w:t>成绩突出，效果明显，</w:t>
            </w:r>
            <w:r w:rsidRPr="00F7779E">
              <w:rPr>
                <w:rFonts w:ascii="仿宋" w:eastAsia="仿宋" w:hAnsi="仿宋" w:cs="仿宋" w:hint="eastAsia"/>
                <w:sz w:val="24"/>
              </w:rPr>
              <w:t>圆满完成</w:t>
            </w:r>
            <w:r>
              <w:rPr>
                <w:rFonts w:ascii="仿宋" w:eastAsia="仿宋" w:hAnsi="仿宋" w:cs="仿宋" w:hint="eastAsia"/>
                <w:sz w:val="24"/>
              </w:rPr>
              <w:t>年度</w:t>
            </w:r>
            <w:r w:rsidRPr="00F7779E">
              <w:rPr>
                <w:rFonts w:ascii="仿宋" w:eastAsia="仿宋" w:hAnsi="仿宋" w:cs="仿宋" w:hint="eastAsia"/>
                <w:sz w:val="24"/>
              </w:rPr>
              <w:t>指标</w:t>
            </w:r>
            <w:r>
              <w:rPr>
                <w:rFonts w:ascii="仿宋" w:eastAsia="仿宋" w:hAnsi="仿宋" w:cs="仿宋" w:hint="eastAsia"/>
                <w:sz w:val="24"/>
              </w:rPr>
              <w:t>，</w:t>
            </w:r>
            <w:r>
              <w:rPr>
                <w:rFonts w:ascii="仿宋" w:eastAsia="仿宋" w:hAnsi="仿宋" w:hint="eastAsia"/>
                <w:sz w:val="24"/>
              </w:rPr>
              <w:t>且业绩可持续。</w:t>
            </w:r>
          </w:p>
        </w:tc>
      </w:tr>
    </w:tbl>
    <w:p w:rsidR="000931D8" w:rsidRPr="00596EE5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b/>
          <w:sz w:val="24"/>
        </w:rPr>
      </w:pPr>
      <w:bookmarkStart w:id="0" w:name="_GoBack"/>
      <w:bookmarkEnd w:id="0"/>
    </w:p>
    <w:sectPr w:rsidR="000931D8" w:rsidRPr="00596EE5" w:rsidSect="00596EE5">
      <w:footerReference w:type="even" r:id="rId8"/>
      <w:pgSz w:w="16838" w:h="11906" w:orient="landscape"/>
      <w:pgMar w:top="1797" w:right="1440" w:bottom="1797" w:left="1440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4A2" w:rsidRDefault="009D54A2">
      <w:r>
        <w:separator/>
      </w:r>
    </w:p>
  </w:endnote>
  <w:endnote w:type="continuationSeparator" w:id="0">
    <w:p w:rsidR="009D54A2" w:rsidRDefault="009D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4A2" w:rsidRDefault="009D54A2">
      <w:r>
        <w:separator/>
      </w:r>
    </w:p>
  </w:footnote>
  <w:footnote w:type="continuationSeparator" w:id="0">
    <w:p w:rsidR="009D54A2" w:rsidRDefault="009D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71C42"/>
    <w:rsid w:val="0047700C"/>
    <w:rsid w:val="004A134E"/>
    <w:rsid w:val="004B1B2B"/>
    <w:rsid w:val="004C14CD"/>
    <w:rsid w:val="004C63C3"/>
    <w:rsid w:val="004C6FB8"/>
    <w:rsid w:val="004E6305"/>
    <w:rsid w:val="004F527E"/>
    <w:rsid w:val="00501E73"/>
    <w:rsid w:val="00502879"/>
    <w:rsid w:val="00503403"/>
    <w:rsid w:val="0051041A"/>
    <w:rsid w:val="00523BD2"/>
    <w:rsid w:val="0055376F"/>
    <w:rsid w:val="005573CD"/>
    <w:rsid w:val="00557C7F"/>
    <w:rsid w:val="00567940"/>
    <w:rsid w:val="00570CE0"/>
    <w:rsid w:val="00583914"/>
    <w:rsid w:val="005960F2"/>
    <w:rsid w:val="00596EE5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D54A2"/>
    <w:rsid w:val="009E1BD7"/>
    <w:rsid w:val="00A24BFF"/>
    <w:rsid w:val="00A55C58"/>
    <w:rsid w:val="00AD565C"/>
    <w:rsid w:val="00AE2A74"/>
    <w:rsid w:val="00AF66FE"/>
    <w:rsid w:val="00B87C45"/>
    <w:rsid w:val="00B914B3"/>
    <w:rsid w:val="00BB508A"/>
    <w:rsid w:val="00BB6A00"/>
    <w:rsid w:val="00BC40F4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77E87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A54DF-3799-45CD-BF68-BA061DFD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2017-12-18T06:27:00Z</dcterms:modified>
</cp:coreProperties>
</file>