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36"/>
          <w:szCs w:val="36"/>
          <w:rtl w:val="0"/>
        </w:rPr>
        <w:t xml:space="preserve">Literature Review — Detailed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Ahad Nardekar  |  NUS-IRIS 2026  |  Last updated: 10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Papers are ordered P1–P8: strongest / most relevant first, grouped by theme within each tier. Papers with no detailed notes yet have a blank template — fill in as you read. For the summary tracking table and credibility scores, see the companion Excel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P1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Cheap Talk and Cherry-Picking: What ClimateBERT Has to Say on Corporate Climate Risk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78634"/>
          <w:sz w:val="20"/>
          <w:szCs w:val="20"/>
          <w:rtl w:val="0"/>
        </w:rPr>
        <w:t xml:space="preserve">★★★★★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Bingler, Kraus, Leippold, Webersinke (ETH Zurich, FAU Erlangen-Nuremberg, University of Zurich / SFI)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Finance Research Letters, Vol. 47,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https://doi.org/10.1016/j.frl.2022.102776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Trains ClimateBERT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fine-tuned BERT model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on 17,300 human-labelled TCFD sentences and 300,000 general annual report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Applied to 818 TCFD-supporting firms across fiscal years 2014 to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Measures what share of each firm's report falls into four TCFD categories: governance, strategy, risk management, metrics and targets.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pre-TCFD period (2014–2016) serves as the baseline against which post-2017 disclosure changes are measured, this is the "before TCFD guidelines" comparison.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general language sentences (a much larger share than the climate-category sentences) were pulled from the same annual reports and sustainability reports already collected, and were necessary to teach the model to differentiate climate-relevant language from generic corporate language.</w:t>
      </w:r>
    </w:p>
    <w:p w:rsidR="00000000" w:rsidDel="00000000" w:rsidP="00000000" w:rsidRDefault="00000000" w:rsidRPr="00000000" w14:paraId="00000011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finding: TCFD support is cheap talk. Only a 2.2 percentage point increase in disclosure after signing up, mostly in the softer governance and risk management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Strategy and metrics and targets — what investors actually need — remain persistently underreported.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France, the only country with mandatory reporting at the time, shows markedly better quality disclosure on the material categories.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Energy and utilities are the exception to the cherry-picking pattern, their Scope 1 emissions are direct and easy to measure, so strategy and metrics disclosure is less avoidable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Energy sector disclosure actually dropped after the Paris Agreement, likely because the tougher 2°C target raised the stakes and made firms more cautious about revealing climate strategy. </w:t>
      </w:r>
    </w:p>
    <w:p w:rsidR="00000000" w:rsidDel="00000000" w:rsidP="00000000" w:rsidRDefault="00000000" w:rsidRPr="00000000" w14:paraId="00000017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the training corpus was the general language from the financial reports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pre TCFD data considered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paper shows France's disclosure is more balanced across categories, likely due to mandatory disclosure, but doesn't establish the causal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paper is not about greenwashing generally. It measures whether voluntary framework sign-up actually changes disclosure quality. The answer is barely.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cherry-picking finding is the most important for my design: companies talk about governance and oversight but avoid disclosing actual emissions trajectories and target progress. That is exactly the pattern I am trying to quantify at the financial reporting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Practical implication: simple word frequency or sentiment scoring will pick up governance language as a positive signal when it is actually the easy, non-committal section. Need to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weigh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toward strategy and metrics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ClimateBERT classifies TCFD categories but does not score specificity within those categories. That is a two-stage problem and this paper only solves stage one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Best methodological anchor in the reading list. 255 citations for a letter paper in three years is genuinely high. The cherry-picking framing is my central motivating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P2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Detecting Greenwashing: A NLP Literature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78634"/>
          <w:sz w:val="20"/>
          <w:szCs w:val="20"/>
          <w:rtl w:val="0"/>
        </w:rPr>
        <w:t xml:space="preserve">★★★★☆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Read — notes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Calamai, Balalau, Le Guenedal, Suchanek (Télécom Paris, INRIA, Amundi)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arXiv preprint 2502.07541 (submitted to ACM)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https://arxiv.org/abs/2502.07541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Systematic literature review of 61 papers on NLP-based greenwashing detection in corporate climate 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Decomposes the problem into five sequential sub-tasks: climate topic detection, environmental claim identification, specificity scoring, stance detection, deception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Field is fragmented: some sub-tasks reach near-perfect accuracy; tasks involving reasoning, ambiguity, and subjectivity remain largely unsolved.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off-the-shelf end-to-end greenwashing detection tool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Most NLP greenwashing work is English-only and US-focused.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Provides a proper vocabulary for what I am measuring. Their five sequential sub-tasks map directly onto my pipeline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Climate topic detection: is a sentence even about climate? Needed before scoring anything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Environmental claim identification: is the climate sentence making a claim or just providing context? Santos (P3) tried to capture this with Focus vs Action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Specificity assessment: the sub-task most central to my research. Calamai et al. note it is also the least developed in the literature — that is where my original contribution 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Stance detection and vagueness detection are harder to automate and are probably beyond my two-month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Global sample problem: most NLP greenwashing work is English-only and US-focused. My global APAC sample will have non-English documents. Need to address this early in data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Best NLP source in the reading list. Four stars. Gives the vocabulary and the sub-task decomposition that structures my whole pipeline. Specificity scoring as the gap in the literature is the clearest justification for my original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P3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Greenwashing in Brazilian Corporations: A Machine Learning Approach to Unmask the Discourse-Practice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95959"/>
          <w:sz w:val="20"/>
          <w:szCs w:val="20"/>
          <w:rtl w:val="0"/>
        </w:rPr>
        <w:t xml:space="preserve">★★★★☆ (blank)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Santos, Moxotó, Mota (Federal University of Amazonas, Brazil)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Corporate Social Responsibility and Environmental Management, Vol. 32,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https://doi.org/10.1002/csr.70133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Investigates greenwashing in 100 B3-listed Brazilian companies using data from 2022 and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Triangulates three sources: AI word-frequency ESG scores from sustainability reports, Merco ESG external reputation rankings, and actual GHG emissions from B3 filings.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OLS regression finds no significant correlation between internal ESG scores and Merco rankings (R² = 0.03), meaning what companies say does not match external perception.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Most striking finding: a 1% increase in environmental discourse score is associated with a 5.24% increase in actual GHG 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Petrobras and Vale ranked highest on ESG language frequency while being the top two GHG emitters in the sample.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Social and governance components showed expected negative correlation with emissions; the environmental component paradoxically did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triangulation structure is worth borrowing. Discourse vs external perception vs actual practice is more robust than a two-way comparison. My research currently has columns one and three; adding an external rating column would strengthen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5.24% finding has three possible explanations the paper does not distinguish: high-emission firms report more because they face more scrutiny; firms are being transparent without improving; or outright greenwashing. My research will face the same interpretive ambiguity and I need to flag that explicitly in my 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frequency does not capture context — 'emissions increased' and 'we reduced emissions' score identically if they contain the same keywords. This is a known weakness the authors admit, and it is the exact problem that ClimateBERT was built to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two-month project the simpler word frequency approach still finds signal, which is reassuring for feasibility.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Brazilian regulatory context is not directly comparable to APAC firms under IFRS S2. The methodology transfers; the magnitudes probably do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Closest existing paper to my research design, just different geography and no financial statement layer. Positions my work as the extension: add the financial reporting component, move to a global APAC sample. Star rating left blank pending full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P4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Net Zero Finance Analysis: A Framework for Assessing Net Zero Commitments by Financial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78634"/>
          <w:sz w:val="20"/>
          <w:szCs w:val="20"/>
          <w:rtl w:val="0"/>
        </w:rPr>
        <w:t xml:space="preserve">★★★★☆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Overviewed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Lee, Carter, Luo, Zhou (World Resources Institute, Washington 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WRI Technical Note,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https://doi.org/10.46830/writn.22.00056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 built a scorecard to evaluate net-zero pledges made by banks and asset managers using only public disclosures.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Scores each institution across five dimensions: transparency, ambition, implementation, credibility, and nature and 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 finding: most pledges are incomparable because disclosure quality varies too much.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comparison was possible, significant gaps between announced targets and actual operational action were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 though this paper is about banks, it is worth keeping as a methodological reference because it proposes five structured dimensions for scoring how credible and actionable a net-zero disclosure is — a logic that transfers directly to scoring firm-level pledges.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Transparency: whether the institution discloses enough quantitative baseline data for anyone to meaningfully evaluate the pledge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Ambition: whether the target is actually aligned with a 1.5°C IPCC pathway, with interim milestones, rather than being a vague long-term aspiration.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Implementation: whether there is observable evidence of action — capital reallocation, policy changes, operational shifts — not just a written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Credibility: whether the pledge has been independently reviewed by an external body such as SBTi.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Nature and Equity: whether the pledge accounts for biodiversity and communities beyond pure carbon metrics; the least developed dimension.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caveat: their comparison is pledge vs what science requires (IEA Net Zero 2050 / IPCC 1.5°C), not pledge vs the firm's own claimed actions. My research is the second kind, so use the scoring logic only, not the benchmark.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Best practitioner framework in the reading list. Four stars. The five-dimension scoring logic is directly usable for my pledge-quality variable, with the benchmark caveat noted.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P5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PRISMA Systematic Review: NLP to Identify Greenwashing in Oil &amp;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95959"/>
          <w:sz w:val="20"/>
          <w:szCs w:val="20"/>
          <w:rtl w:val="0"/>
        </w:rPr>
        <w:t xml:space="preserve">★★☆☆☆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Reading — notes partial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Amaliyah, Putri, Andyna, Amri (Universitas Gadjah Mada, Indonesia)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JIMESE Vol. 3 No.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https://doi.org/10.61511/jimese.v3i1.2025.2004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PRISMA systematic review: searched three databases, found 116 papers, reviewed 13 in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Describes a three-step NLP pipeline: text preprocessing, N-gram + NER feature extraction, then SVM / Random Forest / BERT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metric borrowed from Saxena (2024): Focus Score (sustainability emphasis) vs Action Score (concrete action). High Focus + Low Action = greenwashing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Finds that NLP can genuinely speed up audit risk assessment but cannot verify whether a company actually did what it claimed — only flags linguistic inconsistencies.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four authors are undergraduates at UGM with no faculty supervisor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core methodology is largely borrowed from Saxena (2024) SSRN working paper, not original to Amaliyah et al. Keep that in mind when crediting the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use TF-IDF as the base scoring method, combined with EnvBERT (a BERT version fine-tuned on environmental text). TF-IDF captures frequency; EnvBERT captures meaning in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precise mathematical construction of how TF-IDF and EnvBERT outputs are combined is NOT fully detailed here — it sits in the Saxena (2024) SSRN paper, which I must read before I can evaluate or replicate this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Relevant for score construction. To be read in more depth once Saxena 2024 is obtained.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Two stars. Useful for the oil &amp; gas focus and the Focus vs Action score concept, but secondary reference only. The real scoring methodology is in Saxena 2024 SSRN — that is the dependency to chase.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P6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Net-Zero Targets for Investment Portfolios: An Analysis of Financed Emissions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95959"/>
          <w:sz w:val="20"/>
          <w:szCs w:val="20"/>
          <w:rtl w:val="0"/>
        </w:rPr>
        <w:t xml:space="preserve">(background)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Read — notes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Fraser, Fiedler (University of Sydney)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Energy Economics (Elsevier),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https://doi.org/10.1016/j.eneco.2023.106917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Demonstrates that financed emission targets in investment portfolios can be met even if a company's physical emissions actually increase.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Specifically, a 95% reduction in financed emissions can be achieved using industry-standard methods while physical emissions from portfolio companies are increasing.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mechanism is simple: the investor reshuffles ownership away from high-emitting companies. The coal company keeps emitting the same; it just disappears from the investor's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Financial emission metrics can therefore be engineered — net-zero targets can be hit on paper without real-world carbon reductions.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Found this result very contrary. Important for understanding how carbon responsibility can shift without any real-world change in 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 are 8–10 major standards; GHG Protocol is the most widely followed globally; ISSB S2 is built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Decision from this paper: normalise around GHG Protocol Scope 1+2 as the primary variable since firms must legally disclose their chosen standard. Scope 3 is a secondary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Scope 1+2 are mandatory disclosures; Scope 3 is voluntary. Firms disclosing Scope 3 will receive extra weight in the gap score given the context of this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Background paper. Not directly relevant to firm-level analysis but gave useful insights on how carbon is reported and who owns the responsibility for emissions. Informed the Scope 1+2 primary variable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P7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Unmasking Greenwashing: NLP Framework for ESG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95959"/>
          <w:sz w:val="20"/>
          <w:szCs w:val="20"/>
          <w:rtl w:val="0"/>
        </w:rPr>
        <w:t xml:space="preserve">★★☆☆☆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Screened — no detailed notes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Zhang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Advances in Economics, Management and Political Sciences, EWA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https://doi.org/10.54254/2754-1169/2025.gl29576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[Write your verdict once you have read the paper]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bfbfbf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P8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Greenwashing in Corporate Sustainability: Implications for Financial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0000"/>
          <w:sz w:val="20"/>
          <w:szCs w:val="20"/>
          <w:rtl w:val="0"/>
        </w:rPr>
        <w:t xml:space="preserve">★☆☆☆☆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Status: Screened — no detailed notes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Authors: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Hossain, Rashed, Hredoy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Published: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EJISS Vol.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DOI: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https://doi.org/10.59324/ejiss.2025.1(6).05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WHAT THEY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HOW IT CONNECTS TO THE GAP OR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MY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[To fill in after reading]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KEY QUOTE (+ PAGE 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[Paste quote here — include page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2e75b6" w:space="1" w:sz="4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8"/>
          <w:szCs w:val="18"/>
          <w:rtl w:val="0"/>
        </w:rPr>
        <w:t xml:space="preserve">FINAL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[Write your verdict once you have read the paper]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