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i w:val="1"/>
          <w:iCs w:val="1"/>
          <w:sz w:val="24"/>
          <w:szCs w:val="24"/>
        </w:rPr>
      </w:pPr>
      <w:bookmarkStart w:colFirst="0" w:colLast="0" w:name="_a38vkaifbsx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Inspired by the paper: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Net-Zero Targets for Investment Portfolios: An Analysis of Financed Emissions Metrics</w:t>
      </w:r>
    </w:p>
    <w:p w:rsidR="00000000" w:rsidDel="00000000" w:rsidP="00000000" w:rsidRDefault="00000000" w:rsidRPr="00000000" w14:paraId="00000002">
      <w:pPr>
        <w:spacing w:after="12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Authors: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Alastair Fraser &amp; Tanya Fiedler (both University of Sydney)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brr0xv03h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Core Problem You're Solving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With so many standards, the key insight is: </w:t>
      </w:r>
      <w:r w:rsidDel="00000000" w:rsidR="00000000" w:rsidRPr="00000000">
        <w:rPr>
          <w:b w:val="1"/>
          <w:bCs w:val="1"/>
          <w:rtl w:val="0"/>
        </w:rPr>
        <w:t xml:space="preserve">you don't need to reconcile all of them</w:t>
      </w:r>
      <w:r w:rsidDel="00000000" w:rsidR="00000000" w:rsidRPr="00000000">
        <w:rPr>
          <w:rtl w:val="0"/>
        </w:rPr>
        <w:t xml:space="preserve">. Since your target is infrastructure and energy firms (not banks), you only care about what the </w:t>
      </w:r>
      <w:r w:rsidDel="00000000" w:rsidR="00000000" w:rsidRPr="00000000">
        <w:rPr>
          <w:i w:val="1"/>
          <w:iCs w:val="1"/>
          <w:rtl w:val="0"/>
        </w:rPr>
        <w:t xml:space="preserve">firm itself reports</w:t>
      </w:r>
      <w:r w:rsidDel="00000000" w:rsidR="00000000" w:rsidRPr="00000000">
        <w:rPr>
          <w:rtl w:val="0"/>
        </w:rPr>
        <w:t xml:space="preserve"> under its chosen standard, and whether its capital behaviour tells the same story. The standard diversity becomes less of a problem because firms are legally required to disclose </w:t>
      </w:r>
      <w:r w:rsidDel="00000000" w:rsidR="00000000" w:rsidRPr="00000000">
        <w:rPr>
          <w:i w:val="1"/>
          <w:iCs w:val="1"/>
          <w:rtl w:val="0"/>
        </w:rPr>
        <w:t xml:space="preserve">which</w:t>
      </w:r>
      <w:r w:rsidDel="00000000" w:rsidR="00000000" w:rsidRPr="00000000">
        <w:rPr>
          <w:rtl w:val="0"/>
        </w:rPr>
        <w:t xml:space="preserve"> standard they use — so you normalize around GHG Protocol Scope 1+2 (the common denominator across all standards) and treat Scope 3 as a secondary check.[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perplexity</w:t>
        </w:r>
      </w:hyperlink>
      <w:r w:rsidDel="00000000" w:rsidR="00000000" w:rsidRPr="00000000">
        <w:rPr>
          <w:rtl w:val="0"/>
        </w:rPr>
        <w:t xml:space="preserve">]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Manual 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an9ftp5iv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: Identify the Firm's Chosen Standard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Pull the firm's sustainability/ESG report and note which standard they claim: GHG Protocol, GRI, ISSB S2, CDP response, or sector-specific (e.g., SASB utilities). All of these ultimately report Scope 1/2/3 in tCO₂e, so </w:t>
      </w:r>
      <w:r w:rsidDel="00000000" w:rsidR="00000000" w:rsidRPr="00000000">
        <w:rPr>
          <w:b w:val="1"/>
          <w:bCs w:val="1"/>
          <w:rtl w:val="0"/>
        </w:rPr>
        <w:t xml:space="preserve">the output is comparable even if the standard differs</w:t>
      </w:r>
      <w:r w:rsidDel="00000000" w:rsidR="00000000" w:rsidRPr="00000000">
        <w:rPr>
          <w:rtl w:val="0"/>
        </w:rPr>
        <w:t xml:space="preserve">. Tag each firm in your dataset with its standard.[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perplexity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51oyvqio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: Extract the Pledge Parameters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sustainability report, extract three things: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Baseline year</w:t>
      </w:r>
      <w:r w:rsidDel="00000000" w:rsidR="00000000" w:rsidRPr="00000000">
        <w:rPr>
          <w:rtl w:val="0"/>
        </w:rPr>
        <w:t xml:space="preserve"> (e.g., 2019 emissions = 100%)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year</w:t>
      </w:r>
      <w:r w:rsidDel="00000000" w:rsidR="00000000" w:rsidRPr="00000000">
        <w:rPr>
          <w:rtl w:val="0"/>
        </w:rPr>
        <w:t xml:space="preserve"> (e.g., net zero by 2050, 30% reduction by 2030)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 coverage</w:t>
      </w:r>
      <w:r w:rsidDel="00000000" w:rsidR="00000000" w:rsidRPr="00000000">
        <w:rPr>
          <w:rtl w:val="0"/>
        </w:rPr>
        <w:t xml:space="preserve"> (Scope 1 only? Scope 1+2? Scope 1+2+3?)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defines the </w:t>
      </w:r>
      <w:r w:rsidDel="00000000" w:rsidR="00000000" w:rsidRPr="00000000">
        <w:rPr>
          <w:i w:val="1"/>
          <w:iCs w:val="1"/>
          <w:rtl w:val="0"/>
        </w:rPr>
        <w:t xml:space="preserve">promised trajectory</w:t>
      </w:r>
      <w:r w:rsidDel="00000000" w:rsidR="00000000" w:rsidRPr="00000000">
        <w:rPr>
          <w:rtl w:val="0"/>
        </w:rPr>
        <w:t xml:space="preserve"> — essentially a line from baseline to target. If a firm says "30% reduction in Scope 1+2 by 2030 vs. 2019", you can compute required annual reduction rate.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uhapclcyr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 Track Actual Emissions Year-on-Year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annual reports (not just sustainability reports — check Scope 1+2 disclosures in the financial statements or notes), build a time series of reported physical emissions. Plot this against the pledge trajectory.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Gap = Actual emissions − Required emissions in year t</w:t>
      </w:r>
      <w:r w:rsidDel="00000000" w:rsidR="00000000" w:rsidRPr="00000000">
        <w:rPr>
          <w:rtl w:val="0"/>
        </w:rPr>
        <w:t xml:space="preserve">.[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perplexity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7v6com5mx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 Identify Green CapEx in the Financial Statements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hard part. Financial statements don't directly label "green CapEx." Here's how to extract it manually: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Cash Flow Statement → Investing Activities</w:t>
      </w:r>
      <w:r w:rsidDel="00000000" w:rsidR="00000000" w:rsidRPr="00000000">
        <w:rPr>
          <w:rtl w:val="0"/>
        </w:rPr>
        <w:t xml:space="preserve">: Look for line items like </w:t>
      </w:r>
      <w:r w:rsidDel="00000000" w:rsidR="00000000" w:rsidRPr="00000000">
        <w:rPr>
          <w:i w:val="1"/>
          <w:iCs w:val="1"/>
          <w:rtl w:val="0"/>
        </w:rPr>
        <w:t xml:space="preserve">"purchase of renewable energy assets", "solar/wind installation", "energy efficiency upgrades", "fleet electrification"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Balance Sheet → Notes to Fixed Assets (PP&amp;E)</w:t>
      </w:r>
      <w:r w:rsidDel="00000000" w:rsidR="00000000" w:rsidRPr="00000000">
        <w:rPr>
          <w:rtl w:val="0"/>
        </w:rPr>
        <w:t xml:space="preserve">: Check asset additions with descriptions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Management Discussion &amp; Analysis (MD&amp;A)</w:t>
      </w:r>
      <w:r w:rsidDel="00000000" w:rsidR="00000000" w:rsidRPr="00000000">
        <w:rPr>
          <w:rtl w:val="0"/>
        </w:rPr>
        <w:t xml:space="preserve">: Firms often disclose CapEx breakdown by project type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Segment reporting</w:t>
      </w:r>
      <w:r w:rsidDel="00000000" w:rsidR="00000000" w:rsidRPr="00000000">
        <w:rPr>
          <w:rtl w:val="0"/>
        </w:rPr>
        <w:t xml:space="preserve">: For diversified firms, check if a "clean energy" or "sustainability" segment exists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then compute: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Green CapEx Ratio=CapEx in emission-reducing assetsTotal CapEx\text{Green CapEx Ratio} = \frac{\text{CapEx in emission-reducing assets}}{\text{Total CapEx}}Green CapEx Ratio=Total CapExCapEx in emission-reducing assets​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firm pledging net zero but with Green CapEx Ratio &lt; 10% is a red flag for the pledge-action gap.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rxtqn6bps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 : Build the Gap Score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 the two signals into a simple scoring rubric: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2.364217252396"/>
        <w:gridCol w:w="3055.207667731629"/>
        <w:gridCol w:w="3922.428115015974"/>
        <w:tblGridChange w:id="0">
          <w:tblGrid>
            <w:gridCol w:w="2382.364217252396"/>
            <w:gridCol w:w="3055.207667731629"/>
            <w:gridCol w:w="3922.42811501597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 (0–2)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Emission trajectory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Actual vs. required reduction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 = on track, 1 = lagging, 0 = increasing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Green CapEx intensity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Green CapEx / Total CapEx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2 = &gt;25%, 1 = 5–25%, 0 = &lt;5%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Pledge specificity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Scope coverage + SBTi-verified?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2 = Scope 1+2+3 + SBTi, 1 = partial, 0 = vague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Third-party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Emissions independently verified?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2 = yes, 0 = no</w:t>
            </w:r>
          </w:p>
        </w:tc>
      </w:tr>
    </w:tbl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Total Gap Score = 8 − (sum of above)</w:t>
      </w:r>
      <w:r w:rsidDel="00000000" w:rsidR="00000000" w:rsidRPr="00000000">
        <w:rPr>
          <w:rtl w:val="0"/>
        </w:rPr>
        <w:t xml:space="preserve"> — higher = larger pledge-action gap.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ywjvypyev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Handling Standard Inconsistency Robustly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standards problem dissolves if you build in three normalization rules:[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perplexity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Always use tCO₂e Scope 1+2 as your primary variable</w:t>
      </w:r>
      <w:r w:rsidDel="00000000" w:rsidR="00000000" w:rsidRPr="00000000">
        <w:rPr>
          <w:rtl w:val="0"/>
        </w:rPr>
        <w:t xml:space="preserve"> — every standard reports this. Scope 3 is a secondary enrichment variable.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intensity ratios (emissions / revenue or emissions / output)</w:t>
      </w:r>
      <w:r w:rsidDel="00000000" w:rsidR="00000000" w:rsidRPr="00000000">
        <w:rPr>
          <w:rtl w:val="0"/>
        </w:rPr>
        <w:t xml:space="preserve"> alongside absolute values, so firms at different growth stages are comparable — this also mirrors what ISSB S2 and TCFD recommend for Carbon Intensity.[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perplexity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Flag firms that switch standards mid-panel</w:t>
      </w:r>
      <w:r w:rsidDel="00000000" w:rsidR="00000000" w:rsidRPr="00000000">
        <w:rPr>
          <w:rtl w:val="0"/>
        </w:rPr>
        <w:t xml:space="preserve"> — a firm moving from GRI to ISSB S2 partway through your study window may restate historical emissions. Always use the firm's own restated baseline, not your raw time-series.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zqphau57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Scaling to a Model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you've done this manually for ~10 firms, the algorithm maps cleanly to a ML pipeline:[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perplexity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: Δ Scope 1+2 YoY, Green CapEx ratio, pledge ambition score, sector, revenue growth, asset intensity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Label</w:t>
      </w:r>
      <w:r w:rsidDel="00000000" w:rsidR="00000000" w:rsidRPr="00000000">
        <w:rPr>
          <w:rtl w:val="0"/>
        </w:rPr>
        <w:t xml:space="preserve">: Independently verified reduction achieved (binary) or continuous gap metric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Models</w:t>
      </w:r>
      <w:r w:rsidDel="00000000" w:rsidR="00000000" w:rsidRPr="00000000">
        <w:rPr>
          <w:rtl w:val="0"/>
        </w:rPr>
        <w:t xml:space="preserve">: Start with a linear regression to interpret coefficients, then gradient boosting for predictive accuracy — both interpretable enough for a research paper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manual algorithm is your ground truth labels generator. You do it by hand for a validation sample, then train the model on the full dataset.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color w:val="9900ff"/>
          <w:sz w:val="34"/>
          <w:szCs w:val="34"/>
        </w:rPr>
      </w:pPr>
      <w:bookmarkStart w:colFirst="0" w:colLast="0" w:name="_zd79tg6918ea" w:id="9"/>
      <w:bookmarkEnd w:id="9"/>
      <w:r w:rsidDel="00000000" w:rsidR="00000000" w:rsidRPr="00000000">
        <w:rPr>
          <w:b w:val="1"/>
          <w:bCs w:val="1"/>
          <w:color w:val="9900ff"/>
          <w:sz w:val="34"/>
          <w:szCs w:val="34"/>
          <w:rtl w:val="0"/>
        </w:rPr>
        <w:t xml:space="preserve">Research Notes — Methodology &amp; Standards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Emission Reporting Standards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8–10 major standards exist; three most followed are GHG Protocol, GRI, and ISSB S2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GHG Protocol is the dominant global standard; ISSB S2 is built on top of it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Difference between ISSB and PCAF — </w:t>
      </w:r>
      <w:r w:rsidDel="00000000" w:rsidR="00000000" w:rsidRPr="00000000">
        <w:rPr>
          <w:i w:val="1"/>
          <w:iCs w:val="1"/>
          <w:color w:val="9900ff"/>
          <w:rtl w:val="0"/>
        </w:rPr>
        <w:t xml:space="preserve">(yet to be read in full)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Normalisation Strategy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Firms are legally required to disclose which standard they use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Normalise around GHG Protocol Scope 1+2 as the primary variable — common denominator across all standards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Scope 3 treated as a secondary check variable </w:t>
      </w:r>
      <w:r w:rsidDel="00000000" w:rsidR="00000000" w:rsidRPr="00000000">
        <w:rPr>
          <w:i w:val="1"/>
          <w:iCs w:val="1"/>
          <w:color w:val="9900ff"/>
          <w:rtl w:val="0"/>
        </w:rPr>
        <w:t xml:space="preserve">(to be read in full)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Scope Coverage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Scope 1 and 2 — mandatory disclosures under most standards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Scope 3 — voluntary; firms disclosing it receive extra weight in the gap score as it signals greater transparency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This asymmetry will be built into the scoring rubric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i w:val="1"/>
          <w:i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Suggested Gap Score Dimensions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i w:val="1"/>
          <w:iCs w:val="1"/>
          <w:color w:val="9900ff"/>
          <w:rtl w:val="0"/>
        </w:rPr>
        <w:t xml:space="preserve">(to be developed further)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240" w:lineRule="auto"/>
        <w:ind w:left="720" w:hanging="36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Emission trajectory, green CapEx intensity, pledge specificity, third-party verification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Personal Note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240" w:lineRule="auto"/>
        <w:ind w:left="720" w:hanging="36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This methodology is flagged as a possible direction; full reading and critical evaluation still required before adopting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perplexity.ai/search/b6b45a9d-7403-4177-aaae-01f8a7921265" TargetMode="External"/><Relationship Id="rId10" Type="http://schemas.openxmlformats.org/officeDocument/2006/relationships/hyperlink" Target="https://www.perplexity.ai/search/b6b45a9d-7403-4177-aaae-01f8a7921265" TargetMode="External"/><Relationship Id="rId9" Type="http://schemas.openxmlformats.org/officeDocument/2006/relationships/hyperlink" Target="https://www.perplexity.ai/search/b6b45a9d-7403-4177-aaae-01f8a7921265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perplexity.ai/search/b6b45a9d-7403-4177-aaae-01f8a7921265" TargetMode="External"/><Relationship Id="rId7" Type="http://schemas.openxmlformats.org/officeDocument/2006/relationships/hyperlink" Target="https://www.perplexity.ai/search/b6b45a9d-7403-4177-aaae-01f8a7921265" TargetMode="External"/><Relationship Id="rId8" Type="http://schemas.openxmlformats.org/officeDocument/2006/relationships/hyperlink" Target="https://www.perplexity.ai/search/b6b45a9d-7403-4177-aaae-01f8a792126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