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Greenwashing in Brazilian Corporations: A Machine Learning Approach to Unmask the Discourse-Practice Gap</w:t>
      </w:r>
    </w:p>
    <w:p w:rsidR="00000000" w:rsidDel="00000000" w:rsidP="00000000" w:rsidRDefault="00000000" w:rsidRPr="00000000" w14:paraId="00000002">
      <w:pPr>
        <w:rPr>
          <w:sz w:val="30"/>
          <w:szCs w:val="30"/>
        </w:rPr>
      </w:pPr>
      <w:r w:rsidDel="00000000" w:rsidR="00000000" w:rsidRPr="00000000">
        <w:rPr>
          <w:sz w:val="30"/>
          <w:szCs w:val="30"/>
          <w:rtl w:val="0"/>
        </w:rPr>
        <w:t xml:space="preserve">Santos, Moxotó, Mota (Federal University of Amazonas, Brazil)</w:t>
      </w:r>
      <w:r w:rsidDel="00000000" w:rsidR="00000000" w:rsidRPr="00000000">
        <w:rPr>
          <w:sz w:val="30"/>
          <w:szCs w:val="30"/>
          <w:rtl w:val="0"/>
        </w:rPr>
        <w:br w:type="textWrapping"/>
      </w:r>
    </w:p>
    <w:p w:rsidR="00000000" w:rsidDel="00000000" w:rsidP="00000000" w:rsidRDefault="00000000" w:rsidRPr="00000000" w14:paraId="00000003">
      <w:pPr>
        <w:rPr>
          <w:sz w:val="30"/>
          <w:szCs w:val="30"/>
        </w:rPr>
      </w:pPr>
      <w:r w:rsidDel="00000000" w:rsidR="00000000" w:rsidRPr="00000000">
        <w:rPr>
          <w:sz w:val="30"/>
          <w:szCs w:val="30"/>
          <w:rtl w:val="0"/>
        </w:rPr>
        <w:t xml:space="preserve">Possible Techniques suggested in P3, which has done a work very relevant to what we are doing</w:t>
        <w:br w:type="textWrapping"/>
        <w:br w:type="textWrapping"/>
        <w:t xml:space="preserve">ESG scores calculated primarily from 3 data sources:</w:t>
      </w:r>
    </w:p>
    <w:p w:rsidR="00000000" w:rsidDel="00000000" w:rsidP="00000000" w:rsidRDefault="00000000" w:rsidRPr="00000000" w14:paraId="00000004">
      <w:pPr>
        <w:numPr>
          <w:ilvl w:val="0"/>
          <w:numId w:val="1"/>
        </w:numPr>
        <w:ind w:left="720" w:hanging="360"/>
        <w:rPr>
          <w:sz w:val="30"/>
          <w:szCs w:val="30"/>
        </w:rPr>
      </w:pPr>
      <w:r w:rsidDel="00000000" w:rsidR="00000000" w:rsidRPr="00000000">
        <w:rPr>
          <w:sz w:val="30"/>
          <w:szCs w:val="30"/>
          <w:rtl w:val="0"/>
        </w:rPr>
        <w:t xml:space="preserve">Internal discourse: Quantified from corporate ESG reports using ML to create an ESG score.</w:t>
      </w:r>
    </w:p>
    <w:p w:rsidR="00000000" w:rsidDel="00000000" w:rsidP="00000000" w:rsidRDefault="00000000" w:rsidRPr="00000000" w14:paraId="00000005">
      <w:pPr>
        <w:numPr>
          <w:ilvl w:val="0"/>
          <w:numId w:val="1"/>
        </w:numPr>
        <w:ind w:left="720" w:hanging="360"/>
        <w:rPr>
          <w:sz w:val="30"/>
          <w:szCs w:val="30"/>
        </w:rPr>
      </w:pPr>
      <w:r w:rsidDel="00000000" w:rsidR="00000000" w:rsidRPr="00000000">
        <w:rPr>
          <w:sz w:val="30"/>
          <w:szCs w:val="30"/>
          <w:rtl w:val="0"/>
        </w:rPr>
        <w:t xml:space="preserve">External perception: Measured using the Merco ESG index,which serves as an external reference for evaluating a com-pany's corporate ESG responsibility and reputation.</w:t>
      </w:r>
    </w:p>
    <w:p w:rsidR="00000000" w:rsidDel="00000000" w:rsidP="00000000" w:rsidRDefault="00000000" w:rsidRPr="00000000" w14:paraId="00000006">
      <w:pPr>
        <w:numPr>
          <w:ilvl w:val="0"/>
          <w:numId w:val="1"/>
        </w:numPr>
        <w:ind w:left="720" w:hanging="360"/>
        <w:rPr>
          <w:sz w:val="30"/>
          <w:szCs w:val="30"/>
        </w:rPr>
      </w:pPr>
      <w:r w:rsidDel="00000000" w:rsidR="00000000" w:rsidRPr="00000000">
        <w:rPr>
          <w:sz w:val="30"/>
          <w:szCs w:val="30"/>
          <w:rtl w:val="0"/>
        </w:rPr>
        <w:t xml:space="preserve">Actual practice: Determined by objective GHG emissions data, which is compared against the information disclosed in reports.</w:t>
      </w:r>
    </w:p>
    <w:p w:rsidR="00000000" w:rsidDel="00000000" w:rsidP="00000000" w:rsidRDefault="00000000" w:rsidRPr="00000000" w14:paraId="00000007">
      <w:pPr>
        <w:ind w:left="720" w:firstLine="0"/>
        <w:rPr>
          <w:sz w:val="30"/>
          <w:szCs w:val="30"/>
        </w:rPr>
      </w:pPr>
      <w:r w:rsidDel="00000000" w:rsidR="00000000" w:rsidRPr="00000000">
        <w:rPr>
          <w:rtl w:val="0"/>
        </w:rPr>
      </w:r>
    </w:p>
    <w:p w:rsidR="00000000" w:rsidDel="00000000" w:rsidP="00000000" w:rsidRDefault="00000000" w:rsidRPr="00000000" w14:paraId="00000008">
      <w:pPr>
        <w:ind w:left="720" w:firstLine="0"/>
        <w:rPr>
          <w:sz w:val="30"/>
          <w:szCs w:val="30"/>
        </w:rPr>
      </w:pPr>
      <w:r w:rsidDel="00000000" w:rsidR="00000000" w:rsidRPr="00000000">
        <w:rPr>
          <w:sz w:val="30"/>
          <w:szCs w:val="30"/>
          <w:rtl w:val="0"/>
        </w:rPr>
        <w:t xml:space="preserve">Studies byLien (2023) and Lagasio (2023) have leveraged ML techniqueslike “bag-of-words” to process large volumes of data and system-atically evaluate greenwashing practices.</w:t>
        <w:br w:type="textWrapping"/>
        <w:br w:type="textWrapping"/>
        <w:t xml:space="preserve">Corpus selected from Mansouri and Momtaz</w:t>
      </w:r>
    </w:p>
    <w:p w:rsidR="00000000" w:rsidDel="00000000" w:rsidP="00000000" w:rsidRDefault="00000000" w:rsidRPr="00000000" w14:paraId="00000009">
      <w:pPr>
        <w:ind w:left="720" w:firstLine="0"/>
        <w:rPr>
          <w:sz w:val="30"/>
          <w:szCs w:val="30"/>
        </w:rPr>
      </w:pPr>
      <w:r w:rsidDel="00000000" w:rsidR="00000000" w:rsidRPr="00000000">
        <w:rPr>
          <w:rtl w:val="0"/>
        </w:rPr>
      </w:r>
    </w:p>
    <w:p w:rsidR="00000000" w:rsidDel="00000000" w:rsidP="00000000" w:rsidRDefault="00000000" w:rsidRPr="00000000" w14:paraId="0000000A">
      <w:pPr>
        <w:ind w:left="720" w:firstLine="0"/>
        <w:rPr>
          <w:b w:val="1"/>
          <w:bCs w:val="1"/>
          <w:sz w:val="30"/>
          <w:szCs w:val="30"/>
        </w:rPr>
      </w:pPr>
      <w:r w:rsidDel="00000000" w:rsidR="00000000" w:rsidRPr="00000000">
        <w:rPr>
          <w:sz w:val="30"/>
          <w:szCs w:val="30"/>
          <w:rtl w:val="0"/>
        </w:rPr>
        <w:t xml:space="preserve">Calculate the (normalised) frequency of ESG terms for each company (“ESG scores”)</w:t>
        <w:br w:type="textWrapping"/>
      </w:r>
      <w:r w:rsidDel="00000000" w:rsidR="00000000" w:rsidRPr="00000000">
        <w:rPr>
          <w:b w:val="1"/>
          <w:bCs w:val="1"/>
          <w:sz w:val="30"/>
          <w:szCs w:val="30"/>
          <w:rtl w:val="0"/>
        </w:rPr>
        <w:br w:type="textWrapping"/>
        <w:t xml:space="preserve">“We acknowledge that the word frequency counting method's inability to fully capture word context is an inherent limitation, but these detailed steps significantly en-hance the methodological framework's robustness.”</w:t>
      </w:r>
    </w:p>
    <w:p w:rsidR="00000000" w:rsidDel="00000000" w:rsidP="00000000" w:rsidRDefault="00000000" w:rsidRPr="00000000" w14:paraId="0000000B">
      <w:pPr>
        <w:ind w:left="720" w:firstLine="0"/>
        <w:rPr>
          <w:b w:val="1"/>
          <w:bCs w:val="1"/>
          <w:sz w:val="30"/>
          <w:szCs w:val="30"/>
        </w:rPr>
      </w:pPr>
      <w:r w:rsidDel="00000000" w:rsidR="00000000" w:rsidRPr="00000000">
        <w:rPr>
          <w:rtl w:val="0"/>
        </w:rPr>
      </w:r>
    </w:p>
    <w:p w:rsidR="00000000" w:rsidDel="00000000" w:rsidP="00000000" w:rsidRDefault="00000000" w:rsidRPr="00000000" w14:paraId="0000000C">
      <w:pPr>
        <w:ind w:left="0" w:firstLine="0"/>
        <w:rPr>
          <w:b w:val="1"/>
          <w:bCs w:val="1"/>
          <w:sz w:val="30"/>
          <w:szCs w:val="30"/>
        </w:rPr>
      </w:pPr>
      <w:r w:rsidDel="00000000" w:rsidR="00000000" w:rsidRPr="00000000">
        <w:rPr>
          <w:b w:val="1"/>
          <w:bCs w:val="1"/>
          <w:sz w:val="30"/>
          <w:szCs w:val="30"/>
          <w:rtl w:val="0"/>
        </w:rPr>
        <w:t xml:space="preserve">Data:</w:t>
      </w:r>
    </w:p>
    <w:p w:rsidR="00000000" w:rsidDel="00000000" w:rsidP="00000000" w:rsidRDefault="00000000" w:rsidRPr="00000000" w14:paraId="0000000D">
      <w:pPr>
        <w:ind w:left="0" w:firstLine="0"/>
        <w:rPr>
          <w:b w:val="1"/>
          <w:bCs w:val="1"/>
          <w:sz w:val="30"/>
          <w:szCs w:val="30"/>
        </w:rPr>
      </w:pPr>
      <w:r w:rsidDel="00000000" w:rsidR="00000000" w:rsidRPr="00000000">
        <w:rPr>
          <w:rtl w:val="0"/>
        </w:rPr>
      </w:r>
    </w:p>
    <w:p w:rsidR="00000000" w:rsidDel="00000000" w:rsidP="00000000" w:rsidRDefault="00000000" w:rsidRPr="00000000" w14:paraId="0000000E">
      <w:pPr>
        <w:ind w:left="0" w:firstLine="0"/>
        <w:rPr>
          <w:sz w:val="30"/>
          <w:szCs w:val="30"/>
        </w:rPr>
      </w:pPr>
      <w:r w:rsidDel="00000000" w:rsidR="00000000" w:rsidRPr="00000000">
        <w:rPr>
          <w:sz w:val="30"/>
          <w:szCs w:val="30"/>
          <w:rtl w:val="0"/>
        </w:rPr>
        <w:t xml:space="preserve">The study considered 100 listed companies with the highest market values on the Brazilian stock exchange (B3). Of these,90 presented sustainability reports, 74 publicly recorded theirGHG emissions, and 40 companies were included in Merco ESG.</w:t>
        <w:br w:type="textWrapping"/>
        <w:br w:type="textWrapping"/>
        <w:t xml:space="preserve">Using OLS regres-sion, the study first examines internal ESG discourse against the Merco ESG index, interpreting a lack of significant positive correlation as greenwashing due to unvalidated sustainability claims. Second, it assesses the link between ESG discourse (aggregate and E, S, G components) and actual GHG emissions viaOLS regression. A positive correlation between environmental discourse and actual emissions indicates greenwashing, suggesting misalignment between rhetoric and tangible reduction efforts. Gretl software was used for all statistical analyses.</w:t>
      </w:r>
    </w:p>
    <w:p w:rsidR="00000000" w:rsidDel="00000000" w:rsidP="00000000" w:rsidRDefault="00000000" w:rsidRPr="00000000" w14:paraId="0000000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