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Material: TRIPOD+AI checklist</w:t>
      </w:r>
    </w:p>
    <w:bookmarkStart w:id="21" w:name="tripodai-reporting-checklist"/>
    <w:p>
      <w:pPr>
        <w:pStyle w:val="Heading1"/>
      </w:pPr>
      <w:r>
        <w:t xml:space="preserve">TRIPOD+AI reporting checklist</w:t>
      </w:r>
    </w:p>
    <w:p>
      <w:pPr>
        <w:pStyle w:val="FirstParagraph"/>
      </w:pPr>
      <w:r>
        <w:t xml:space="preserve">Against Collins et al.,</w:t>
      </w:r>
      <w:r>
        <w:t xml:space="preserve"> </w:t>
      </w:r>
      <w:r>
        <w:rPr>
          <w:iCs/>
          <w:i/>
        </w:rPr>
        <w:t xml:space="preserve">BMJ</w:t>
      </w:r>
      <w:r>
        <w:t xml:space="preserve"> </w:t>
      </w:r>
      <w:r>
        <w:t xml:space="preserve">2024;385:e078378. Three columns matter: what the</w:t>
      </w:r>
      <w:r>
        <w:t xml:space="preserve"> </w:t>
      </w:r>
      <w:r>
        <w:t xml:space="preserve">item asks, where this study answers it, and — the useful one —</w:t>
      </w:r>
      <w:r>
        <w:t xml:space="preserve"> </w:t>
      </w:r>
      <w:r>
        <w:rPr>
          <w:bCs/>
          <w:b/>
        </w:rPr>
        <w:t xml:space="preserve">whether this</w:t>
      </w:r>
      <w:r>
        <w:rPr>
          <w:bCs/>
          <w:b/>
        </w:rPr>
        <w:t xml:space="preserve"> </w:t>
      </w:r>
      <w:r>
        <w:rPr>
          <w:bCs/>
          <w:b/>
        </w:rPr>
        <w:t xml:space="preserve">cohort can answer it at all</w:t>
      </w:r>
      <w:r>
        <w:t xml:space="preserve">. Items marked ✗ are not oversights to be filled in</w:t>
      </w:r>
      <w:r>
        <w:t xml:space="preserve"> </w:t>
      </w:r>
      <w:r>
        <w:t xml:space="preserve">later; they are consequences of the data and belong in the limitations.</w:t>
      </w:r>
    </w:p>
    <w:p>
      <w:pPr>
        <w:pStyle w:val="BodyText"/>
      </w:pPr>
      <w:r>
        <w:t xml:space="preserve">Status is against the locked analysis (</w:t>
      </w:r>
      <w:r>
        <w:rPr>
          <w:rStyle w:val="VerbatimChar"/>
        </w:rPr>
        <w:t xml:space="preserve">scripts/locked_rerun.py</w:t>
      </w:r>
      <w:r>
        <w:t xml:space="preserve">), not the</w:t>
      </w:r>
      <w:r>
        <w:t xml:space="preserve"> </w:t>
      </w:r>
      <w:r>
        <w:t xml:space="preserve">notebook results. Table and figure labels refer to the JCO Clinical Cancer</w:t>
      </w:r>
      <w:r>
        <w:t xml:space="preserve"> </w:t>
      </w:r>
      <w:r>
        <w:t xml:space="preserve">Informatics submission: Tables 1–4 and Figs 1–2 in the main text, Tables S1–S5</w:t>
      </w:r>
      <w:r>
        <w:t xml:space="preserve"> </w:t>
      </w:r>
      <w:r>
        <w:t xml:space="preserve">and Fig S1 in the Data Supplement.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we?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identifies the study as developing a prediction model, names the target and the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Title/abstract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Must say</w:t>
            </w:r>
            <w:r>
              <w:t xml:space="preserve"> </w:t>
            </w:r>
            <w:r>
              <w:rPr>
                <w:iCs/>
                <w:i/>
              </w:rPr>
              <w:t xml:space="preserve">recomputed signature score</w:t>
            </w:r>
            <w:r>
              <w:t xml:space="preserve">, never the brand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Abstract: TRIPOD+AI for abstracts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and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Objectives, including whether development or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Development only. No external validation set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 and separation of development/evaluation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·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TCGA-BRCA, the 100-patient radiogenomics subset of Li et al. 2016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Eligibility, with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·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83 = signature scores ∩ extracted features; 82 after excluding one neoadjuvant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definition, blinded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·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The target is a</w:t>
            </w:r>
            <w:r>
              <w:t xml:space="preserve"> </w:t>
            </w:r>
            <w:r>
              <w:rPr>
                <w:rStyle w:val="VerbatimChar"/>
              </w:rPr>
              <w:t xml:space="preserve">genefu</w:t>
            </w:r>
            <w:r>
              <w:t xml:space="preserve"> </w:t>
            </w:r>
            <w:r>
              <w:t xml:space="preserve">recomputation from expression, not an assay result and not a patient outcome. This must be stated as a limitation of construct, not just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Predictors: how and when 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· Slide processing; Radiomic feature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UNI (</w:t>
            </w:r>
            <w:r>
              <w:rPr>
                <w:rStyle w:val="VerbatimChar"/>
              </w:rPr>
              <w:t xml:space="preserve">uni_v1</w:t>
            </w:r>
            <w:r>
              <w:t xml:space="preserve">) patch embeddings from diagnostic H&amp;E, extracted beforehand with the Trident toolkit as preparatory work; 36 pre-extracted Li et al. radiomic features from DCE-MRI, used as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data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Complete-case for imaging; median imputation inside each training fold for radiomics. HER2 by ASCO/CAP order, one patient uninformative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size, with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· Statistical analysis;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 formal size calculation — a resolution statement. Minimum detectable AUC difference 0.135–0.154 at n = 81 (Hanley–McNeil, both AUCs 0.80, ρ = 0.5, α = 0.05, power 0.80), 0.165–0.221 in the ER+/HER2− subgroup. Events per variable reported for every fitted comparator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preparation, including any resampling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Fixed seeded patch pool per slide; feature standardisation fitted on training folds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type and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·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Gated-attention MIL over patch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building: predictor selection, hyperparameters, all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· Partition and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One configuration, fixed before the confirmatory run and identical for every target, chosen as the modal setting of the four earlier per-target pipelines. Its provenance (those pipelines had seen these data) is stated in the Methods and Limitations.</w:t>
            </w:r>
            <w:r>
              <w:t xml:space="preserve"> </w:t>
            </w:r>
            <w:r>
              <w:rPr>
                <w:bCs/>
                <w:b/>
              </w:rPr>
              <w:t xml:space="preserve">This is the item the original results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 to fairness / subgroup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· Subgroups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Reported for ER and HER2 subgroups. Race is recorded but too sparse to 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output and how it is converted to a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Continuous score; discrimination assessed by AUC against the published binary group call, so no decision threshold is set or tuned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measures, with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· Comparators; Statistical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AUC (pooled and per fold) and Pearson r; histology compared head-to-head with ER alone and with a pre-declared six-variable clinical model (penalty-tuned comparator as sensitivity); incremental value by a stacked model and by an adjusted likelihood-ratio test; Holm adjustment across the four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updating / recalibration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Not applicable; no external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 flow, with a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S1 (Data Supplement)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100 with scores, 83 of them with extracted slide features, 82 after excluding one neoadjuvant case; 7 slides with features but no score were never 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Results_locked/table1.csv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outcome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And this is where the study stops:</w:t>
            </w:r>
            <w:r>
              <w:t xml:space="preserve"> </w:t>
            </w:r>
            <w:r>
              <w:rPr>
                <w:bCs/>
                <w:b/>
              </w:rPr>
              <w:t xml:space="preserve">3 recurrences, 1 death, median 42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specification: all coefficients or a means to reproduce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Weights are not interpretable coefficients; the run manifest records git SHA, seed, grid, package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performance with confidence intervals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Bootstrap CIs throughout; paired bootstrap for every model-vs-comparator comparison, with Holm-adjusted p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Supplement · Table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Slope and intercept of observed on predicted continuous scores reported for every target; at n = 82 a calibration plot would be descriptive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updating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 in the context of objectives and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Limitations, including generalisability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Single cohort, surrogate target, no events, no external validation, sample of each slide rather than the whole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 in context;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Must state plainly that no clinical use is supported by this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TCGA-BRCA is public; the signature scores derive from published expression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Repository, with the locked run reproducible from the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and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To complete</w:t>
            </w:r>
          </w:p>
        </w:tc>
      </w:tr>
    </w:tbl>
    <w:bookmarkStart w:id="20" w:name="X861a9d302090ebfc462d9bf6ff99d6b9e78befc"/>
    <w:p>
      <w:pPr>
        <w:pStyle w:val="Heading2"/>
      </w:pPr>
      <w:r>
        <w:t xml:space="preserve">Items this cohort cannot satisfy, and what each forecloses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time-to-event data worth analysing</w:t>
      </w:r>
      <w:r>
        <w:t xml:space="preserve"> </w:t>
      </w:r>
      <w:r>
        <w:t xml:space="preserve">(item 20). Rules out survival</w:t>
      </w:r>
      <w:r>
        <w:t xml:space="preserve"> </w:t>
      </w:r>
      <w:r>
        <w:t xml:space="preserve">analysis, decision-curve analysis and any chemotherapy-benefit statement, at</w:t>
      </w:r>
      <w:r>
        <w:t xml:space="preserve"> </w:t>
      </w:r>
      <w:r>
        <w:t xml:space="preserve">any sample size. This is the single largest gap against competing papers.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external validation</w:t>
      </w:r>
      <w:r>
        <w:t xml:space="preserve"> </w:t>
      </w:r>
      <w:r>
        <w:t xml:space="preserve">(items 4, 17, 24). The strongest available</w:t>
      </w:r>
      <w:r>
        <w:t xml:space="preserve"> </w:t>
      </w:r>
      <w:r>
        <w:t xml:space="preserve">substitute is a pre-registered locked analysis on one shared partition, which</w:t>
      </w:r>
      <w:r>
        <w:t xml:space="preserve"> </w:t>
      </w:r>
      <w:r>
        <w:t xml:space="preserve">is what</w:t>
      </w:r>
      <w:r>
        <w:t xml:space="preserve"> </w:t>
      </w:r>
      <w:r>
        <w:rPr>
          <w:rStyle w:val="VerbatimChar"/>
        </w:rPr>
        <w:t xml:space="preserve">locked_rerun.py</w:t>
      </w:r>
      <w:r>
        <w:t xml:space="preserve"> </w:t>
      </w:r>
      <w:r>
        <w:t xml:space="preserve">produces.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Surrogate construct</w:t>
      </w:r>
      <w:r>
        <w:t xml:space="preserve"> </w:t>
      </w:r>
      <w:r>
        <w:t xml:space="preserve">(item 7). The models predict a recomputation of a</w:t>
      </w:r>
      <w:r>
        <w:t xml:space="preserve"> </w:t>
      </w:r>
      <w:r>
        <w:t xml:space="preserve">signature, not the commercial assay and not the patient’s course. Every claim</w:t>
      </w:r>
      <w:r>
        <w:t xml:space="preserve"> </w:t>
      </w:r>
      <w:r>
        <w:t xml:space="preserve">has to be phrased at that level.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Underpowered model comparison</w:t>
      </w:r>
      <w:r>
        <w:t xml:space="preserve"> </w:t>
      </w:r>
      <w:r>
        <w:t xml:space="preserve">(item 10). At a detectable-difference floor</w:t>
      </w:r>
      <w:r>
        <w:t xml:space="preserve"> </w:t>
      </w:r>
      <w:r>
        <w:t xml:space="preserve">of 0.135–0.154 AUC, comparisons between model architectures cannot be</w:t>
      </w:r>
      <w:r>
        <w:t xml:space="preserve"> </w:t>
      </w:r>
      <w:r>
        <w:t xml:space="preserve">reported as findings, and the incremental (clinical + histology) analysis is</w:t>
      </w:r>
      <w:r>
        <w:t xml:space="preserve"> </w:t>
      </w:r>
      <w:r>
        <w:t xml:space="preserve">estimable only for the two targets with more than four events per variable.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Material: TRIPOD+AI checklist</dc:title>
  <dc:creator/>
  <cp:keywords/>
  <dcterms:created xsi:type="dcterms:W3CDTF">2026-09-25T17:44:49Z</dcterms:created>
  <dcterms:modified xsi:type="dcterms:W3CDTF">2026-09-25T17:44:49Z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