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14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2"/>
      </w:pPr>
      <w:r>
        <w:t xml:space="preserve">5.1 Load-testing methodology</w:t>
      </w:r>
    </w:p>
    <w:p>
      <w:pPr>
        <w:spacing w:after="120"/>
      </w:pPr>
      <w:r>
        <w:t xml:space="preserve">The two architectures were compared under increasing concurrency of approximately 50, 200, and 1000 simulated users. Because every /plan-itinerary call triggers ~3 Amazon Bedrock requests, a sustained 1000-user run would generate tens of thousands of Bedrock calls — incurring real cost and hitting Bedrock’s per-minute quota — so a hybrid approach was used:</w:t>
      </w:r>
    </w:p>
    <w:p>
      <w:pPr>
        <w:pStyle w:val="ListParagraph"/>
        <w:numPr>
          <w:ilvl w:val="0"/>
          <w:numId w:val="2"/>
        </w:numPr>
        <w:spacing w:after="60"/>
      </w:pPr>
      <w:r>
        <w:t xml:space="preserve">k6 scripts (load50 / load200 / stress1000 scenarios) provide the aggressive, repeatable load generator.</w:t>
      </w:r>
    </w:p>
    <w:p>
      <w:pPr>
        <w:pStyle w:val="ListParagraph"/>
        <w:numPr>
          <w:ilvl w:val="0"/>
          <w:numId w:val="2"/>
        </w:numPr>
        <w:spacing w:after="60"/>
      </w:pPr>
      <w:r>
        <w:t xml:space="preserve">Real measurements were taken for single-request latency and for raw infrastructure concurrency on the cost-free /health endpoint.</w:t>
      </w:r>
    </w:p>
    <w:p>
      <w:pPr>
        <w:pStyle w:val="ListParagraph"/>
        <w:numPr>
          <w:ilvl w:val="0"/>
          <w:numId w:val="2"/>
        </w:numPr>
        <w:spacing w:after="60"/>
      </w:pPr>
      <w:r>
        <w:t xml:space="preserve">The full 50/200/1000-user workload is then modelled from those real numbers plus documented AWS service limits, with estimates clearly labelled.</w:t>
      </w:r>
    </w:p>
    <w:p>
      <w:pPr>
        <w:pStyle w:val="Heading2"/>
      </w:pPr>
      <w:r>
        <w:t xml:space="preserve">5.2 Measured results</w:t>
      </w:r>
    </w:p>
    <w:p>
      <w:pPr>
        <w:spacing w:after="120"/>
      </w:pPr>
      <w:r>
        <w:t xml:space="preserve">Single-request latency (EC2 t3.small, warm): six sequential requests averaged 16.9 s (min 14.7 s, max 18.4 s); Lambda was comparable (~13–15 s warm, ~17.8 s cold). Latency is dominated by the three sequential Bedrock calls, so it is similar for both architectures. Raw infrastructure concurrency on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Concurrency</w:t>
            </w:r>
          </w:p>
        </w:tc>
        <w:tc>
          <w:tcPr>
            <w:tcW w:type="dxa" w:w="1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Throughput</w:t>
            </w:r>
          </w:p>
        </w:tc>
        <w:tc>
          <w:tcPr>
            <w:tcW w:type="dxa" w:w="1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p50</w:t>
            </w:r>
          </w:p>
        </w:tc>
        <w:tc>
          <w:tcPr>
            <w:tcW w:type="dxa" w:w="1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p95</w:t>
            </w:r>
          </w:p>
        </w:tc>
        <w:tc>
          <w:tcPr>
            <w:tcW w:type="dxa" w:w="1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p99</w:t>
            </w:r>
          </w:p>
        </w:tc>
        <w:tc>
          <w:tcPr>
            <w:tcW w:type="dxa" w:w="1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Errors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252 req/s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76 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733 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1153 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0.07%</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90 req/s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1673 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5879 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6547 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0.55%</w:t>
            </w:r>
          </w:p>
        </w:tc>
      </w:tr>
    </w:tbl>
    <w:p>
      <w:pPr>
        <w:spacing w:after="120"/>
      </w:pPr>
      <w:r>
        <w:rPr>
          <w:b/>
          <w:bCs/>
        </w:rPr>
        <w:t xml:space="preserve">Key finding: from 50 to 200 concurrent connections the single instance’s throughput fell (252 → 90 req/s) while latency rose roughly 20×. The t3.small is already saturating at 200 concurrent connections even on a trivial endpoint — direct evidence of EC2’s single-instance scaling limit.</w:t>
      </w:r>
    </w:p>
    <w:p>
      <w:pPr>
        <w:pStyle w:val="Heading2"/>
      </w:pPr>
      <w:r>
        <w:t xml:space="preserve">5.3 Modelled behaviour at 50 / 200 / 1000 users</w:t>
      </w:r>
    </w:p>
    <w:p>
      <w:pPr>
        <w:spacing w:after="120"/>
      </w:pPr>
      <w:r>
        <w:t xml:space="preserve">Assuming ~17 s per request and a new request roughly every 20 s per user, demand ≈ users / 20 req/s. One t3.small serves the async workload at ~40 in-flight requests, a ceiling of ≈ 2.4 req/s.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280"/>
        <w:gridCol w:w="3280"/>
      </w:tblGrid>
      <w:tr>
        <w:trPr>
          <w:tblHeader/>
        </w:trPr>
        <w:tc>
          <w:tcPr>
            <w:tcW w:type="dxa" w:w="1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Users</w:t>
            </w:r>
          </w:p>
        </w:tc>
        <w:tc>
          <w:tcPr>
            <w:tcW w:type="dxa" w:w="15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Demand</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t3.small (1 instance)</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(auto-scale)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At capacity; minor queueing; p95 rises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concurrent; fine; some cold starts on ramp</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 over capacity → queue blow-up, timeouts, errors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 concurrent; fine if account limit ≥200; Bedrock RPM may begin to throttle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 over → fails; needs ~21 instances + load balancer</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 concurrent (at default limit); Bedrock per-minute quota becomes the shared bottleneck</w:t>
            </w:r>
          </w:p>
        </w:tc>
      </w:tr>
    </w:tbl>
    <w:p>
      <w:pPr>
        <w:pStyle w:val="Heading2"/>
      </w:pPr>
      <w:r>
        <w:t xml:space="preserve">5.4 Reliability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Aspect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(single instance)</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Redundancy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single point of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Multi-AZ by default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Instance/AZ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Full outage until restart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Handled transparently by AWS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Burst absorption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Poor (fixed capacity)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 scaling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To match the other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Add Auto Scaling Group + ALB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Built-in</w:t>
            </w:r>
          </w:p>
        </w:tc>
      </w:tr>
    </w:tbl>
    <w:p>
      <w:pPr>
        <w:pStyle w:val="Heading2"/>
      </w:pPr>
      <w:r>
        <w:t xml:space="preserve">5.5 Scalability</w:t>
      </w:r>
    </w:p>
    <w:p>
      <w:pPr>
        <w:pStyle w:val="ListParagraph"/>
        <w:numPr>
          <w:ilvl w:val="0"/>
          <w:numId w:val="2"/>
        </w:numPr>
        <w:spacing w:after="60"/>
      </w:pPr>
      <w:r>
        <w:t xml:space="preserve">EC2: vertical (bigger instance) or manual horizontal via an Auto Scaling Group; capacity must be provisioned ahead of demand and reacts slowly.</w:t>
      </w:r>
    </w:p>
    <w:p>
      <w:pPr>
        <w:pStyle w:val="ListParagraph"/>
        <w:numPr>
          <w:ilvl w:val="0"/>
          <w:numId w:val="2"/>
        </w:numPr>
        <w:spacing w:after="60"/>
      </w:pPr>
      <w:r>
        <w:t xml:space="preserve">Lambda: automatic, near-instant, per-request horizontal scaling up to the account concurrency limit (default ~1000; a new account may need a quota increase).</w:t>
      </w:r>
    </w:p>
    <w:p>
      <w:pPr>
        <w:pStyle w:val="ListParagraph"/>
        <w:numPr>
          <w:ilvl w:val="0"/>
          <w:numId w:val="2"/>
        </w:numPr>
        <w:spacing w:after="60"/>
      </w:pPr>
      <w:r>
        <w:t xml:space="preserve">Shared ceiling: at ~1000 users the binding constraint is Amazon Bedrock’s per-minute request/token quota — identical for both architectures. Beyond that point, only a Bedrock quota increase helps.</w:t>
      </w:r>
    </w:p>
    <w:p>
      <w:pPr>
        <w:pStyle w:val="Heading2"/>
      </w:pPr>
      <w:r>
        <w:t xml:space="preserve">5.6 Resource usage</w:t>
      </w:r>
    </w:p>
    <w:p>
      <w:pPr>
        <w:pStyle w:val="ListParagraph"/>
        <w:numPr>
          <w:ilvl w:val="0"/>
          <w:numId w:val="2"/>
        </w:numPr>
        <w:spacing w:after="60"/>
      </w:pPr>
      <w:r>
        <w:t xml:space="preserve">EC2 t3.small (2 vCPU, 2 GB): the workload is I/O-bound (waiting on Bedrock), so CPU stays low; the real limit is connection/threadpool concurrency (saturated at ~200 connections above). Burstable CPU credits can also throttle sustained load.</w:t>
      </w:r>
    </w:p>
    <w:p>
      <w:pPr>
        <w:pStyle w:val="ListParagraph"/>
        <w:numPr>
          <w:ilvl w:val="0"/>
          <w:numId w:val="2"/>
        </w:numPr>
        <w:spacing w:after="60"/>
      </w:pPr>
      <w:r>
        <w:t xml:space="preserve">Lambda: 2048 MB per concurrent execution (~1.2 vCPU each), fully isolated; at 1000 concurrency that is ~2 TB of aggregate transient memory, managed by AWS.</w:t>
      </w:r>
    </w:p>
    <w:p>
      <w:pPr>
        <w:pStyle w:val="Heading2"/>
      </w:pPr>
      <w:r>
        <w:t xml:space="preserve">5.7 Billing under load (estimated, per 1,000 itineraries)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Component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path</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path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 (Claude)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Compute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$15.6/mo fixed per instance; needs a fleet+ALB for ≥200 users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~$0.56 per 1,000 + $0 when idle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Gateway / state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n/a / pennies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 per million / pennies</w:t>
            </w:r>
          </w:p>
        </w:tc>
      </w:tr>
    </w:tbl>
    <w:p>
      <w:pPr>
        <w:spacing w:after="120"/>
      </w:pPr>
      <w:r>
        <w:rPr>
          <w:b/>
          <w:bCs/>
        </w:rPr>
        <w:t xml:space="preserve">Billing conclusion: the LLM (Bedrock) is ~95%+ of the cost and is identical for both architectures — the compute choice is a rounding error on the total bill. Lambda wins on variable, spiky, or low-to-medium load (zero idle cost, no capacity planning); EC2 only competes when a single instance is kept near 100% utilised around the clock, and it requires an Auto Scaling Group plus a load balancer to survive 200+ concurrent users.</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Network isolation — custom VPC</w:t>
      </w:r>
    </w:p>
    <w:p>
      <w:pPr>
        <w:spacing w:after="120"/>
      </w:pPr>
      <w:r>
        <w:t xml:space="preserve">The EC2 workload runs inside a purpose-built Virtual Private Cloud rather than the default VPC, demonstrating network-level control:</w:t>
      </w:r>
    </w:p>
    <w:p>
      <w:pPr>
        <w:pStyle w:val="ListParagraph"/>
        <w:numPr>
          <w:ilvl w:val="0"/>
          <w:numId w:val="2"/>
        </w:numPr>
        <w:spacing w:after="60"/>
      </w:pPr>
      <w:r>
        <w:t xml:space="preserve">VPC 10.0.0.0/16 with DNS support and hostnames enabled.</w:t>
      </w:r>
    </w:p>
    <w:p>
      <w:pPr>
        <w:pStyle w:val="ListParagraph"/>
        <w:numPr>
          <w:ilvl w:val="0"/>
          <w:numId w:val="2"/>
        </w:numPr>
        <w:spacing w:after="60"/>
      </w:pPr>
      <w:r>
        <w:t xml:space="preserve">A public subnet (10.0.1.0/24) with an Internet Gateway and a 0.0.0.0/0 route, so the instance can reach the Open Data Hub and Bedrock.</w:t>
      </w:r>
    </w:p>
    <w:p>
      <w:pPr>
        <w:pStyle w:val="ListParagraph"/>
        <w:numPr>
          <w:ilvl w:val="0"/>
          <w:numId w:val="2"/>
        </w:numPr>
        <w:spacing w:after="60"/>
      </w:pPr>
      <w:r>
        <w:t xml:space="preserve">A DynamoDB gateway VPC endpoint attached to the route table, so state traffic to DynamoDB stays on the AWS private network instead of the public internet (and incurs no extra cost).</w:t>
      </w:r>
    </w:p>
    <w:p>
      <w:pPr>
        <w:pStyle w:val="ListParagraph"/>
        <w:numPr>
          <w:ilvl w:val="0"/>
          <w:numId w:val="2"/>
        </w:numPr>
        <w:spacing w:after="60"/>
      </w:pPr>
      <w:r>
        <w:t xml:space="preserve">A security group that allows only inbound TCP 8080, acting as a stateful virtual firewall.</w:t>
      </w:r>
    </w:p>
    <w:p>
      <w:pPr>
        <w:pStyle w:val="Heading2"/>
      </w:pPr>
      <w:r>
        <w:t xml:space="preserve">7.2 Hardening still recommended</w:t>
      </w:r>
    </w:p>
    <w:p>
      <w:pPr>
        <w:pStyle w:val="ListParagraph"/>
        <w:numPr>
          <w:ilvl w:val="0"/>
          <w:numId w:val="2"/>
        </w:numPr>
        <w:spacing w:after="60"/>
      </w:pPr>
      <w:r>
        <w:t xml:space="preserve">Move the Lambda into private subnets with interface endpoints; serve EC2 over HTTPS behind a load balancer.</w:t>
      </w:r>
    </w:p>
    <w:p>
      <w:pPr>
        <w:pStyle w:val="ListParagraph"/>
        <w:numPr>
          <w:ilvl w:val="0"/>
          <w:numId w:val="2"/>
        </w:numPr>
        <w:spacing w:after="60"/>
      </w:pPr>
      <w:r>
        <w:t xml:space="preserve">Enable MFA on the root account;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 in custom VPC)</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SSE progress streaming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emits 3 progress events, then the itinerary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spacing w:after="120"/>
      </w:pPr>
      <w:r>
        <w:t xml:space="preserve">A Server-Sent Events endpoint (POST /plan-itinerary/stream) streams progress to the browser, so the UI shows a live checklist — “Fetched live data”, “Reasoned over constraints”, “Wrote your itinerary” — as each agent finishes. The whole stack is also codified as Terraform (infra/) for reproducible, one-command provisioning.</w:t>
      </w:r>
    </w:p>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Live SASA bus / GTFS schedules so the Reasoner can suggest exact departures. (Not in the ODH public flat API; would require integrating SASA’s separate GTFS feed.)</w:t>
      </w:r>
    </w:p>
    <w:p>
      <w:pPr>
        <w:pStyle w:val="ListParagraph"/>
        <w:numPr>
          <w:ilvl w:val="0"/>
          <w:numId w:val="2"/>
        </w:numPr>
        <w:spacing w:after="60"/>
      </w:pPr>
      <w:r>
        <w:t xml:space="preserve">Place the Lambda inside private subnets. Designed but deferred on cost grounds: reaching the public Open Data Hub from a private subnet needs a NAT Gateway (~$38/month) plus a Bedrock interface endpoint (~$8/month); not justified for a demo. Documented as a deliberate cost-aware decision.</w:t>
      </w:r>
    </w:p>
    <w:p>
      <w:pPr>
        <w:pStyle w:val="ListParagraph"/>
        <w:numPr>
          <w:ilvl w:val="0"/>
          <w:numId w:val="2"/>
        </w:numPr>
        <w:spacing w:after="60"/>
      </w:pPr>
      <w:r>
        <w:t xml:space="preserve">Multi-turn memory so follow-up questions reuse prior session context (history is already persisted in DynamoDB).</w:t>
      </w:r>
    </w:p>
    <w:p>
      <w:pPr>
        <w:pStyle w:val="Heading1"/>
      </w:pPr>
      <w:r>
        <w:t xml:space="preserve">Appendix A. Project Structure &amp; Endpoints</w:t>
      </w:r>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2cfd9d939f05c66f5834d1f722f1323070fc8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2026-05-31T14:18:38.157Z</dcterms:created>
  <dcterms:modified xsi:type="dcterms:W3CDTF">2026-05-31T14:18:38.157Z</dcterms:modified>
</cp:coreProperties>
</file>

<file path=docProps/custom.xml><?xml version="1.0" encoding="utf-8"?>
<Properties xmlns="http://schemas.openxmlformats.org/officeDocument/2006/custom-properties" xmlns:vt="http://schemas.openxmlformats.org/officeDocument/2006/docPropsVTypes"/>
</file>