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360"/>
        <w:jc w:val="center"/>
      </w:pPr>
      <w:r>
        <w:rPr>
          <w:b/>
          <w:bCs/>
          <w:color w:val="0F172A"/>
          <w:sz w:val="24"/>
          <w:szCs w:val="24"/>
        </w:rPr>
        <w:t xml:space="preserve">Nidhal Karchoud  ·  Abdellah Derf</w:t>
      </w:r>
    </w:p>
    <w:p>
      <w:pPr>
        <w:spacing w:before="200"/>
        <w:jc w:val="center"/>
      </w:pPr>
      <w:r>
        <w:rPr>
          <w:color w:val="475569"/>
          <w:sz w:val="18"/>
          <w:szCs w:val="18"/>
        </w:rPr>
        <w:t xml:space="preserve">Code repository: </w:t>
      </w:r>
      <w:hyperlink w:history="1" r:id="rId5gclmpkxzllgtkdswjs1t">
        <w:r>
          <w:rPr>
            <w:rStyle w:val="Hyperlink"/>
            <w:sz w:val="18"/>
            <w:szCs w:val="18"/>
          </w:rPr>
          <w:t xml:space="preserve">https://github.com/yar01110/bz-agent</w:t>
        </w:r>
      </w:hyperlink>
    </w:p>
    <w:p>
      <w:pPr>
        <w:spacing w:before="10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Load Balancing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Application Load Balancer distributing traffic across the fleet (elasticity experiment).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Auto Scaling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 Scaling Group that scales instance count and self-heals failed instances.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2"/>
      </w:pPr>
      <w:r>
        <w:t xml:space="preserve">5.1 Load-testing methodology</w:t>
      </w:r>
    </w:p>
    <w:p>
      <w:pPr>
        <w:spacing w:after="120"/>
      </w:pPr>
      <w:r>
        <w:t xml:space="preserve">The two architectures were compared under increasing concurrency of approximately 50, 200, and 1000 simulated users. Because every /plan-itinerary call triggers ~3 Amazon Bedrock requests, a sustained 1000-user run would generate tens of thousands of Bedrock calls — incurring real cost and hitting Bedrock’s per-minute quota — so a hybrid approach was used:</w:t>
      </w:r>
    </w:p>
    <w:p>
      <w:pPr>
        <w:pStyle w:val="ListParagraph"/>
        <w:numPr>
          <w:ilvl w:val="0"/>
          <w:numId w:val="2"/>
        </w:numPr>
        <w:spacing w:after="60"/>
      </w:pPr>
      <w:r>
        <w:t xml:space="preserve">k6 scripts (load50 / load200 / stress1000 scenarios) provide the aggressive, repeatable load generator.</w:t>
      </w:r>
    </w:p>
    <w:p>
      <w:pPr>
        <w:pStyle w:val="ListParagraph"/>
        <w:numPr>
          <w:ilvl w:val="0"/>
          <w:numId w:val="2"/>
        </w:numPr>
        <w:spacing w:after="60"/>
      </w:pPr>
      <w:r>
        <w:t xml:space="preserve">Real measurements were taken for single-request latency and for raw infrastructure concurrency on the cost-free /health endpoint.</w:t>
      </w:r>
    </w:p>
    <w:p>
      <w:pPr>
        <w:pStyle w:val="ListParagraph"/>
        <w:numPr>
          <w:ilvl w:val="0"/>
          <w:numId w:val="2"/>
        </w:numPr>
        <w:spacing w:after="60"/>
      </w:pPr>
      <w:r>
        <w:t xml:space="preserve">The full 50/200/1000-user workload is then modelled from those real numbers plus documented AWS service limits, with estimates clearly labelled.</w:t>
      </w:r>
    </w:p>
    <w:p>
      <w:pPr>
        <w:pStyle w:val="Heading2"/>
      </w:pPr>
      <w:r>
        <w:t xml:space="preserve">5.2 Measured results</w:t>
      </w:r>
    </w:p>
    <w:p>
      <w:pPr>
        <w:spacing w:after="120"/>
      </w:pPr>
      <w:r>
        <w:t xml:space="preserve">Single-request latency (EC2 t3.small, warm): six sequential requests averaged 16.9 s (min 14.7 s, max 18.4 s); Lambda was comparable (~13–15 s warm, ~17.8 s cold). Latency is dominated by the three sequential Bedrock calls, so it is similar for both architectures.</w:t>
      </w:r>
    </w:p>
    <w:p>
      <w:pPr>
        <w:spacing w:after="120"/>
      </w:pPr>
      <w:r>
        <w:t xml:space="preserve">To locate the instance’s breaking point, the cost-free /health endpoint was swept across rising concurrency: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Concurrent connections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Throughput (req/s)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p50 latency</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p95 latency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322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56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2.6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14.7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6.9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 s</w:t>
            </w:r>
          </w:p>
        </w:tc>
      </w:tr>
    </w:tbl>
    <w:p>
      <w:pPr>
        <w:spacing w:after="120" w:before="120"/>
        <w:jc w:val="center"/>
      </w:pPr>
      <w:r>
        <w:drawing>
          <wp:inline distT="0" distB="0" distL="0" distR="0">
            <wp:extent cx="5143500" cy="2857500"/>
            <wp:effectExtent t="0" r="0" b="0" l="0"/>
            <wp:docPr id="1" name="loadchart" descr="EC2 t3.small throughput and latency vs concurrency" title="Saturation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120"/>
      </w:pPr>
      <w:r>
        <w:rPr>
          <w:b/>
          <w:bCs/>
        </w:rPr>
        <w:t xml:space="preserve">Key finding: throughput peaks at ~25 concurrent connections (322 req/s) and then collapses, while latency climbs steadily. The spike is sharpest between 150 and 200 concurrent connections (p95 crosses 5 s); by 300+ the instance is effectively broken, with p95 ≈ 15 s even on a trivial endpoint. The single t3.small’s usable ceiling is therefore ~50 concurrent connections, with breakdown at ~150–200 — direct, measured evidence of EC2’s single-instance scaling limit. (Run-to-run variance is normal for these network-bound tests; an earlier isolated run measured 252 req/s at concurrency 50.)</w:t>
      </w:r>
    </w:p>
    <w:p>
      <w:pPr>
        <w:pStyle w:val="Heading2"/>
      </w:pPr>
      <w:r>
        <w:t xml:space="preserve">5.3 Modelled behaviour at 50 / 200 / 1000 users</w:t>
      </w:r>
    </w:p>
    <w:p>
      <w:pPr>
        <w:spacing w:after="120"/>
      </w:pPr>
      <w:r>
        <w:t xml:space="preserve">Assuming ~17 s per request and a new request roughly every 20 s per user, demand ≈ users / 20 req/s. One t3.small serves the async workload at ~40 in-flight requests, a ceiling of ≈ 2.4 req/s.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280"/>
        <w:gridCol w:w="3280"/>
      </w:tblGrid>
      <w:tr>
        <w:trPr>
          <w:tblHeader/>
        </w:trPr>
        <w:tc>
          <w:tcPr>
            <w:tcW w:type="dxa" w:w="1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Users</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Demand</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t3.small (1 instance)</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(auto-scale)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At capacity; minor queueing; p95 rises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concurrent; fine; some cold starts on ramp</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 over capacity → queue blow-up, timeouts, errors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 concurrent; fine if account limit ≥200; Bedrock RPM may begin to throttle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 over → fails; needs ~21 instances + load balancer</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 concurrent (at default limit); Bedrock per-minute quota becomes the shared bottleneck</w:t>
            </w:r>
          </w:p>
        </w:tc>
      </w:tr>
    </w:tbl>
    <w:p>
      <w:pPr>
        <w:pStyle w:val="Heading2"/>
      </w:pPr>
      <w:r>
        <w:t xml:space="preserve">5.4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Aspect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(single instance)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Redundancy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single point of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Multi-AZ by default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Instance/AZ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Full outage until restart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Handled transparently by AWS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Burst absorption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Poor (fixed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 scaling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To match the other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Add Auto Scaling Group + ALB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Built-in</w:t>
            </w:r>
          </w:p>
        </w:tc>
      </w:tr>
    </w:tbl>
    <w:p>
      <w:pPr>
        <w:pStyle w:val="Heading2"/>
      </w:pPr>
      <w:r>
        <w:t xml:space="preserve">5.5 Scalability</w:t>
      </w:r>
    </w:p>
    <w:p>
      <w:pPr>
        <w:pStyle w:val="ListParagraph"/>
        <w:numPr>
          <w:ilvl w:val="0"/>
          <w:numId w:val="2"/>
        </w:numPr>
        <w:spacing w:after="60"/>
      </w:pPr>
      <w:r>
        <w:t xml:space="preserve">EC2: vertical (bigger instance) or manual horizontal via an Auto Scaling Group; capacity must be provisioned ahead of demand and reacts slowly.</w:t>
      </w:r>
    </w:p>
    <w:p>
      <w:pPr>
        <w:pStyle w:val="ListParagraph"/>
        <w:numPr>
          <w:ilvl w:val="0"/>
          <w:numId w:val="2"/>
        </w:numPr>
        <w:spacing w:after="60"/>
      </w:pPr>
      <w:r>
        <w:t xml:space="preserve">Lambda: automatic, near-instant, per-request horizontal scaling up to the account concurrency limit (default ~1000; a new account may need a quota increase).</w:t>
      </w:r>
    </w:p>
    <w:p>
      <w:pPr>
        <w:pStyle w:val="ListParagraph"/>
        <w:numPr>
          <w:ilvl w:val="0"/>
          <w:numId w:val="2"/>
        </w:numPr>
        <w:spacing w:after="60"/>
      </w:pPr>
      <w:r>
        <w:t xml:space="preserve">Shared ceiling: at ~1000 users the binding constraint is Amazon Bedrock’s per-minute request/token quota — identical for both architectures. Beyond that point, only a Bedrock quota increase helps.</w:t>
      </w:r>
    </w:p>
    <w:p>
      <w:pPr>
        <w:pStyle w:val="Heading2"/>
      </w:pPr>
      <w:r>
        <w:t xml:space="preserve">5.6 Resource usage</w:t>
      </w:r>
    </w:p>
    <w:p>
      <w:pPr>
        <w:pStyle w:val="ListParagraph"/>
        <w:numPr>
          <w:ilvl w:val="0"/>
          <w:numId w:val="2"/>
        </w:numPr>
        <w:spacing w:after="60"/>
      </w:pPr>
      <w:r>
        <w:t xml:space="preserve">EC2 t3.small (2 vCPU, 2 GB): the workload is I/O-bound (waiting on Bedrock), so CPU stays low; the real limit is connection/threadpool concurrency (saturated at ~200 connections above). Burstable CPU credits can also throttle sustained load.</w:t>
      </w:r>
    </w:p>
    <w:p>
      <w:pPr>
        <w:pStyle w:val="ListParagraph"/>
        <w:numPr>
          <w:ilvl w:val="0"/>
          <w:numId w:val="2"/>
        </w:numPr>
        <w:spacing w:after="60"/>
      </w:pPr>
      <w:r>
        <w:t xml:space="preserve">Lambda: 2048 MB per concurrent execution (~1.2 vCPU each), fully isolated; at 1000 concurrency that is ~2 TB of aggregate transient memory, managed by AWS.</w:t>
      </w:r>
    </w:p>
    <w:p>
      <w:pPr>
        <w:pStyle w:val="Heading2"/>
      </w:pPr>
      <w:r>
        <w:t xml:space="preserve">5.7 Billing under load (estimated, per 1,000 itineraries)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Component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path</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path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 (Claude)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Compute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$15.6/mo fixed per instance; needs a fleet+ALB for ≥200 users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~$0.56 per 1,000 + $0 when idle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Gateway / state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n/a / pennies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 per million / pennies</w:t>
            </w:r>
          </w:p>
        </w:tc>
      </w:tr>
    </w:tbl>
    <w:p>
      <w:pPr>
        <w:spacing w:after="120"/>
      </w:pPr>
      <w:r>
        <w:rPr>
          <w:b/>
          <w:bCs/>
        </w:rPr>
        <w:t xml:space="preserve">Billing conclusion: the LLM (Bedrock) is ~95%+ of the cost and is identical for both architectures — the compute choice is a rounding error on the total bill. Lambda wins on variable, spiky, or low-to-medium load (zero idle cost, no capacity planning); EC2 only competes when a single instance is kept near 100% utilised around the clock, and it requires an Auto Scaling Group plus a load balancer to survive 200+ concurrent users.</w:t>
      </w:r>
    </w:p>
    <w:p>
      <w:pPr>
        <w:pStyle w:val="Heading2"/>
      </w:pPr>
      <w:r>
        <w:t xml:space="preserve">5.8 Elasticity experiment — horizontal scaling</w:t>
      </w:r>
    </w:p>
    <w:p>
      <w:pPr>
        <w:spacing w:after="120"/>
      </w:pPr>
      <w:r>
        <w:t xml:space="preserve">The single t3.small is a “pet” (the course’s term for a non-scalable, hand-tended server). To demonstrate elasticity, the EC2 workload was placed behind an Application Load Balancer and an Auto Scaling Group (desired 2 instances, across two Availability Zones) — turning it into “cattle”. The concurrency sweep was then re-run against the load balancer and compared to the single-instance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rPr>
          <w:tblHeader/>
        </w:trPr>
        <w:tc>
          <w:tcPr>
            <w:tcW w:type="dxa" w:w="1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Concurrency</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p50</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p50</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248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469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125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2213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1088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133</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5172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2188 ms</w:t>
            </w:r>
          </w:p>
        </w:tc>
      </w:tr>
    </w:tbl>
    <w:p>
      <w:pPr>
        <w:spacing w:after="120" w:before="120"/>
        <w:jc w:val="center"/>
      </w:pPr>
      <w:r>
        <w:drawing>
          <wp:inline distT="0" distB="0" distL="0" distR="0">
            <wp:extent cx="5715000" cy="2190750"/>
            <wp:effectExtent t="0" r="0" b="0" l="0"/>
            <wp:docPr id="1" name="elastic" descr="Single vs fleet throughput and latency" title="E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90750"/>
                    </a:xfrm>
                    <a:prstGeom prst="rect">
                      <a:avLst/>
                    </a:prstGeom>
                  </pic:spPr>
                </pic:pic>
              </a:graphicData>
            </a:graphic>
          </wp:inline>
        </w:drawing>
      </w:r>
    </w:p>
    <w:p>
      <w:pPr>
        <w:spacing w:after="120"/>
      </w:pPr>
      <w:r>
        <w:rPr>
          <w:b/>
          <w:bCs/>
        </w:rPr>
        <w:t xml:space="preserve">Finding: horizontal scaling raised both throughput and responsiveness, and the benefit grew with load — exactly when it is needed. At 300 concurrent connections the fleet delivered ~70% more throughput and roughly half the median latency, with 0% errors throughout. This is the elasticity the cloud is meant to provide: capacity follows demand instead of being fixed.</w:t>
      </w:r>
    </w:p>
    <w:p>
      <w:pPr>
        <w:pStyle w:val="Heading2"/>
      </w:pPr>
      <w:r>
        <w:t xml:space="preserve">5.9 Failure-recovery experiment — reliability</w:t>
      </w:r>
    </w:p>
    <w:p>
      <w:pPr>
        <w:spacing w:after="120"/>
      </w:pPr>
      <w:r>
        <w:t xml:space="preserve">To test resilience, the load balancer’s health endpoint was polled continuously while one of the two fleet instances was abruptly terminated; the Auto Scaling Group’s self-healing was then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Result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 terminated</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Removed from rotation in ~6 s</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Client-visible outage</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0 of 454 health checks failed (0.00%)</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Self-heal recovery</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~117 s — the ASG launched and registered a replacement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Single-instance equivalent</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 outage until a manual redeploy</w:t>
            </w:r>
          </w:p>
        </w:tc>
      </w:tr>
    </w:tbl>
    <w:p>
      <w:pPr>
        <w:spacing w:after="120"/>
      </w:pPr>
      <w:r>
        <w:rPr>
          <w:b/>
          <w:bCs/>
        </w:rPr>
        <w:t xml:space="preserve">Finding: killing one instance caused zero client-visible downtime — the load balancer instantly routed traffic to the surviving instance — and the Auto Scaling Group automatically replaced the dead instance within ~2 minutes (desired-state reconciliation). This is the “cattle, not pets” model in action: in the single-instance design the same failure would be a total outage requiring manual intervention, whereas the elastic fleet absorbed it transparently and recovered on its own. Lambda is inherently resilient in the same way (each request runs in an isolated, automatically-managed environment).</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spacing w:after="120" w:before="120"/>
        <w:jc w:val="center"/>
      </w:pPr>
      <w:r>
        <w:drawing>
          <wp:inline distT="0" distB="0" distL="0" distR="0">
            <wp:extent cx="5334000" cy="3771900"/>
            <wp:effectExtent t="0" r="0" b="0" l="0"/>
            <wp:docPr id="1" name="vpc" descr="BZ-Agent custom VPC" title="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71900"/>
                    </a:xfrm>
                    <a:prstGeom prst="rect">
                      <a:avLst/>
                    </a:prstGeom>
                  </pic:spPr>
                </pic:pic>
              </a:graphicData>
            </a:graphic>
          </wp:inline>
        </w:drawing>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 in custom VPC)</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SSE progress streaming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emits 3 progress events, then the itinerary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fleet (ALB + ASG)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 healthy targets; +70% throughput at 300 conc.; self-healed in ~117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spacing w:after="120"/>
      </w:pPr>
      <w:r>
        <w:t xml:space="preserve">A Server-Sent Events endpoint (POST /plan-itinerary/stream) streams progress to the browser, so the UI shows a live checklist — “Fetched live data”, “Reasoned over constraints”, “Wrote your itinerary” — as each agent finishes. The whole stack is also codified as Terraform (infra/) for reproducible, one-command provisioning.</w:t>
      </w:r>
    </w:p>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Live SASA bus / GTFS schedules so the Reasoner can suggest exact departures. (Not in the ODH public flat API; would require integrating SASA’s separate GTFS feed.)</w:t>
      </w:r>
    </w:p>
    <w:p>
      <w:pPr>
        <w:pStyle w:val="ListParagraph"/>
        <w:numPr>
          <w:ilvl w:val="0"/>
          <w:numId w:val="2"/>
        </w:numPr>
        <w:spacing w:after="60"/>
      </w:pPr>
      <w:r>
        <w:t xml:space="preserve">Add a target-tracking auto-scaling policy so the fleet scales the instance count automatically on CPU/request metrics (the experiment used a fixed desired capacity of 2).</w:t>
      </w:r>
    </w:p>
    <w:p>
      <w:pPr>
        <w:pStyle w:val="ListParagraph"/>
        <w:numPr>
          <w:ilvl w:val="0"/>
          <w:numId w:val="2"/>
        </w:numPr>
        <w:spacing w:after="60"/>
      </w:pPr>
      <w:r>
        <w:t xml:space="preserve">Place the Lambda inside private subnets. Designed but deferred on cost grounds: reaching the public Open Data Hub from a private subnet needs a NAT Gateway (~$38/month) plus a Bedrock interface endpoint (~$8/month); not justified for a demo. Documented as a deliberate cost-aware decision.</w:t>
      </w:r>
    </w:p>
    <w:p>
      <w:pPr>
        <w:pStyle w:val="ListParagraph"/>
        <w:numPr>
          <w:ilvl w:val="0"/>
          <w:numId w:val="2"/>
        </w:numPr>
        <w:spacing w:after="60"/>
      </w:pPr>
      <w:r>
        <w:t xml:space="preserve">Multi-turn memory so follow-up questions reuse prior session context (history is already persisted in DynamoDB).</w:t>
      </w:r>
    </w:p>
    <w:p>
      <w:pPr>
        <w:pStyle w:val="Heading1"/>
      </w:pPr>
      <w:r>
        <w:t xml:space="preserve">Appendix A. Project Structure &amp; Endpoints</w:t>
      </w:r>
    </w:p>
    <w:p>
      <w:pPr>
        <w:spacing w:after="120"/>
      </w:pPr>
      <w:r>
        <w:rPr>
          <w:b/>
          <w:bCs/>
        </w:rPr>
        <w:t xml:space="preserve">Full source code: </w:t>
      </w:r>
      <w:hyperlink w:history="1" r:id="rIdcwapbolbrhzvbortmxxtj">
        <w:r>
          <w:rPr>
            <w:rStyle w:val="Hyperlink"/>
          </w:rPr>
          <w:t xml:space="preserve">https://github.com/yar01110/bz-agent</w:t>
        </w:r>
      </w:hyperlink>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gclmpkxzllgtkdswjs1t" Type="http://schemas.openxmlformats.org/officeDocument/2006/relationships/hyperlink" Target="https://github.com/yar01110/bz-agent" TargetMode="External"/><Relationship Id="rIdcwapbolbrhzvbortmxxtj" Type="http://schemas.openxmlformats.org/officeDocument/2006/relationships/hyperlink" Target="https://github.com/yar01110/bz-agent" TargetMode="External"/><Relationship Id="rId8" Type="http://schemas.openxmlformats.org/officeDocument/2006/relationships/image" Target="media/652cfd9d939f05c66f5834d1f722f1323070fc8a.png"/><Relationship Id="rId9" Type="http://schemas.openxmlformats.org/officeDocument/2006/relationships/image" Target="media/3aab077ec52e6908060332dc31aaa236a88c9f15.png"/><Relationship Id="rId10" Type="http://schemas.openxmlformats.org/officeDocument/2006/relationships/image" Target="media/dc7605790437745785abd4ad1d37c9ca374933d1.png"/><Relationship Id="rId11" Type="http://schemas.openxmlformats.org/officeDocument/2006/relationships/image" Target="media/eb0397b2cc45358481c742bf764a7a2eb1eb770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2026-06-02T15:43:03.992Z</dcterms:created>
  <dcterms:modified xsi:type="dcterms:W3CDTF">2026-06-02T15:43:03.992Z</dcterms:modified>
</cp:coreProperties>
</file>

<file path=docProps/custom.xml><?xml version="1.0" encoding="utf-8"?>
<Properties xmlns="http://schemas.openxmlformats.org/officeDocument/2006/custom-properties" xmlns:vt="http://schemas.openxmlformats.org/officeDocument/2006/docPropsVTypes"/>
</file>