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05375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2685415"/>
            <wp:effectExtent l="0" t="0" r="8890" b="6985"/>
            <wp:docPr id="1" name="图片 1" descr="1745493625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4549362563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1943100"/>
            <wp:effectExtent l="0" t="0" r="1270" b="0"/>
            <wp:docPr id="2" name="图片 2" descr="1745493632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4549363280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2AE2">
      <w:pPr>
        <w:rPr>
          <w:rFonts w:ascii="宋体" w:hAnsi="宋体" w:eastAsia="宋体" w:cs="宋体"/>
          <w:sz w:val="24"/>
          <w:szCs w:val="24"/>
        </w:rPr>
      </w:pPr>
      <w:r>
        <w:rPr>
          <w:rStyle w:val="4"/>
          <w:rFonts w:ascii="宋体" w:hAnsi="宋体" w:eastAsia="宋体" w:cs="宋体"/>
          <w:sz w:val="24"/>
          <w:szCs w:val="24"/>
        </w:rPr>
        <w:t>完整的网络请求生命周期</w:t>
      </w:r>
      <w:r>
        <w:rPr>
          <w:rFonts w:ascii="宋体" w:hAnsi="宋体" w:eastAsia="宋体" w:cs="宋体"/>
          <w:sz w:val="24"/>
          <w:szCs w:val="24"/>
        </w:rPr>
        <w:t xml:space="preserve"> —— 从用户在浏览器地址栏输入 URL，一直到页面内容呈现在屏幕上。这中间涉及了多个层次的技术，包括浏览器、操作系统、网络协议、服务器等。</w:t>
      </w:r>
    </w:p>
    <w:p w14:paraId="41B03A41">
      <w:pPr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72405" cy="2886710"/>
            <wp:effectExtent l="0" t="0" r="10795" b="889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4310" cy="7911465"/>
            <wp:effectExtent l="0" t="0" r="8890" b="635"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11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1433F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1261B4"/>
    <w:rsid w:val="22126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2025-04-24T11:19:00Z</dcterms:created>
  <dc:creator>杨韩冰</dc:creator>
  <cp:lastModifiedBy>杨韩冰</cp:lastModifiedBy>
  <dcterms:modified xsi:type="dcterms:W3CDTF">2025-04-25T02:35:45Z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6EAFDCA452ED44E880B16F60F185362F_11</vt:lpwstr>
  </property>
  <property fmtid="{D5CDD505-2E9C-101B-9397-08002B2CF9AE}" pid="4" name="KSOTemplateDocerSaveRecord">
    <vt:lpwstr>eyJoZGlkIjoiYmI3YWU5ODM1NzcyZWM5NWJjYjI2YjA1YmE3NmRkZGUiLCJ1c2VySWQiOiIxNjkzMDY4MjE2In0=</vt:lpwstr>
  </property>
</Properties>
</file>