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pPr>
      <w:r>
        <w:rPr>
          <w:rFonts w:ascii="Calibri" w:hAnsi="Calibri"/>
          <w:b/>
          <w:i w:val="0"/>
          <w:color w:val="2E74B5"/>
          <w:sz w:val="20"/>
        </w:rPr>
        <w:t>TECHNICAL VALIDATION REPORT</w:t>
      </w:r>
    </w:p>
    <w:p>
      <w:pPr>
        <w:spacing w:after="80"/>
      </w:pPr>
      <w:r>
        <w:rPr>
          <w:rFonts w:ascii="Calibri" w:hAnsi="Calibri"/>
          <w:b/>
          <w:i w:val="0"/>
          <w:color w:val="172B4D"/>
          <w:sz w:val="48"/>
        </w:rPr>
        <w:t>Full-Upright MBB Beam</w:t>
      </w:r>
    </w:p>
    <w:p>
      <w:pPr>
        <w:spacing w:after="320"/>
      </w:pPr>
      <w:r>
        <w:rPr>
          <w:rFonts w:ascii="Calibri" w:hAnsi="Calibri"/>
          <w:b w:val="0"/>
          <w:i w:val="0"/>
          <w:color w:val="5C6773"/>
          <w:sz w:val="28"/>
        </w:rPr>
        <w:t>True 3D FEM screening of cubic infill at 15%, 25%, and 100% density</w:t>
      </w:r>
    </w:p>
    <w:tbl>
      <w:tblPr>
        <w:tblW w:type="dxa" w:w="9360"/>
        <w:jc w:val="left"/>
        <w:tblLayout w:type="fixed"/>
        <w:tblLook w:firstColumn="1" w:firstRow="1" w:lastColumn="0" w:lastRow="0" w:noHBand="0" w:noVBand="1" w:val="04A0"/>
        <w:tblInd w:w="120" w:type="dxa"/>
      </w:tblPr>
      <w:tblGrid>
        <w:gridCol w:w="1900"/>
        <w:gridCol w:w="7460"/>
      </w:tblGrid>
      <w:tr>
        <w:tc>
          <w:tcPr>
            <w:tcW w:type="dxa" w:w="1900"/>
            <w:shd w:fill="F2F4F7"/>
            <w:vAlign w:val="center"/>
            <w:tcMar>
              <w:top w:w="80" w:type="dxa"/>
              <w:start w:w="120" w:type="dxa"/>
              <w:bottom w:w="80" w:type="dxa"/>
              <w:end w:w="120" w:type="dxa"/>
            </w:tcMar>
          </w:tcPr>
          <w:p>
            <w:r>
              <w:rPr>
                <w:rFonts w:ascii="Calibri" w:hAnsi="Calibri"/>
                <w:b/>
                <w:i w:val="0"/>
                <w:color w:val="172B4D"/>
                <w:sz w:val="20"/>
              </w:rPr>
              <w:t>Document</w:t>
            </w:r>
          </w:p>
        </w:tc>
        <w:tc>
          <w:tcPr>
            <w:tcW w:type="dxa" w:w="7460"/>
            <w:vAlign w:val="center"/>
            <w:tcMar>
              <w:top w:w="80" w:type="dxa"/>
              <w:start w:w="120" w:type="dxa"/>
              <w:bottom w:w="80" w:type="dxa"/>
              <w:end w:w="120" w:type="dxa"/>
            </w:tcMar>
          </w:tcPr>
          <w:p>
            <w:r>
              <w:rPr>
                <w:rFonts w:ascii="Calibri" w:hAnsi="Calibri"/>
                <w:b w:val="0"/>
                <w:i w:val="0"/>
                <w:color w:val="172B4D"/>
                <w:sz w:val="20"/>
              </w:rPr>
              <w:t>Full-upright cubic infill FEM comparison</w:t>
            </w:r>
          </w:p>
        </w:tc>
      </w:tr>
      <w:tr>
        <w:tc>
          <w:tcPr>
            <w:tcW w:type="dxa" w:w="1900"/>
            <w:shd w:fill="F2F4F7"/>
            <w:vAlign w:val="center"/>
            <w:tcMar>
              <w:top w:w="80" w:type="dxa"/>
              <w:start w:w="120" w:type="dxa"/>
              <w:bottom w:w="80" w:type="dxa"/>
              <w:end w:w="120" w:type="dxa"/>
            </w:tcMar>
          </w:tcPr>
          <w:p>
            <w:r>
              <w:rPr>
                <w:rFonts w:ascii="Calibri" w:hAnsi="Calibri"/>
                <w:b/>
                <w:i w:val="0"/>
                <w:color w:val="172B4D"/>
                <w:sz w:val="20"/>
              </w:rPr>
              <w:t>Prepared</w:t>
            </w:r>
          </w:p>
        </w:tc>
        <w:tc>
          <w:tcPr>
            <w:tcW w:type="dxa" w:w="7460"/>
            <w:vAlign w:val="center"/>
            <w:tcMar>
              <w:top w:w="80" w:type="dxa"/>
              <w:start w:w="120" w:type="dxa"/>
              <w:bottom w:w="80" w:type="dxa"/>
              <w:end w:w="120" w:type="dxa"/>
            </w:tcMar>
          </w:tcPr>
          <w:p>
            <w:r>
              <w:rPr>
                <w:rFonts w:ascii="Calibri" w:hAnsi="Calibri"/>
                <w:b w:val="0"/>
                <w:i w:val="0"/>
                <w:color w:val="172B4D"/>
                <w:sz w:val="20"/>
              </w:rPr>
              <w:t>23 July 2026</w:t>
            </w:r>
          </w:p>
        </w:tc>
      </w:tr>
      <w:tr>
        <w:tc>
          <w:tcPr>
            <w:tcW w:type="dxa" w:w="1900"/>
            <w:shd w:fill="F2F4F7"/>
            <w:vAlign w:val="center"/>
            <w:tcMar>
              <w:top w:w="80" w:type="dxa"/>
              <w:start w:w="120" w:type="dxa"/>
              <w:bottom w:w="80" w:type="dxa"/>
              <w:end w:w="120" w:type="dxa"/>
            </w:tcMar>
          </w:tcPr>
          <w:p>
            <w:r>
              <w:rPr>
                <w:rFonts w:ascii="Calibri" w:hAnsi="Calibri"/>
                <w:b/>
                <w:i w:val="0"/>
                <w:color w:val="172B4D"/>
                <w:sz w:val="20"/>
              </w:rPr>
              <w:t>Program</w:t>
            </w:r>
          </w:p>
        </w:tc>
        <w:tc>
          <w:tcPr>
            <w:tcW w:type="dxa" w:w="7460"/>
            <w:vAlign w:val="center"/>
            <w:tcMar>
              <w:top w:w="80" w:type="dxa"/>
              <w:start w:w="120" w:type="dxa"/>
              <w:bottom w:w="80" w:type="dxa"/>
              <w:end w:w="120" w:type="dxa"/>
            </w:tcMar>
          </w:tcPr>
          <w:p>
            <w:r>
              <w:rPr>
                <w:rFonts w:ascii="Calibri" w:hAnsi="Calibri"/>
                <w:b w:val="0"/>
                <w:i w:val="0"/>
                <w:color w:val="172B4D"/>
                <w:sz w:val="20"/>
              </w:rPr>
              <w:t>SURE Program, Alfaisal University</w:t>
            </w:r>
          </w:p>
        </w:tc>
      </w:tr>
      <w:tr>
        <w:tc>
          <w:tcPr>
            <w:tcW w:type="dxa" w:w="1900"/>
            <w:shd w:fill="F2F4F7"/>
            <w:vAlign w:val="center"/>
            <w:tcMar>
              <w:top w:w="80" w:type="dxa"/>
              <w:start w:w="120" w:type="dxa"/>
              <w:bottom w:w="80" w:type="dxa"/>
              <w:end w:w="120" w:type="dxa"/>
            </w:tcMar>
          </w:tcPr>
          <w:p>
            <w:r>
              <w:rPr>
                <w:rFonts w:ascii="Calibri" w:hAnsi="Calibri"/>
                <w:b/>
                <w:i w:val="0"/>
                <w:color w:val="172B4D"/>
                <w:sz w:val="20"/>
              </w:rPr>
              <w:t>Laboratory</w:t>
            </w:r>
          </w:p>
        </w:tc>
        <w:tc>
          <w:tcPr>
            <w:tcW w:type="dxa" w:w="7460"/>
            <w:vAlign w:val="center"/>
            <w:tcMar>
              <w:top w:w="80" w:type="dxa"/>
              <w:start w:w="120" w:type="dxa"/>
              <w:bottom w:w="80" w:type="dxa"/>
              <w:end w:w="120" w:type="dxa"/>
            </w:tcMar>
          </w:tcPr>
          <w:p>
            <w:r>
              <w:rPr>
                <w:rFonts w:ascii="Calibri" w:hAnsi="Calibri"/>
                <w:b w:val="0"/>
                <w:i w:val="0"/>
                <w:color w:val="172B4D"/>
                <w:sz w:val="20"/>
              </w:rPr>
              <w:t>CM-ITAD Lab</w:t>
            </w:r>
          </w:p>
        </w:tc>
      </w:tr>
      <w:tr>
        <w:tc>
          <w:tcPr>
            <w:tcW w:type="dxa" w:w="1900"/>
            <w:shd w:fill="F2F4F7"/>
            <w:vAlign w:val="center"/>
            <w:tcMar>
              <w:top w:w="80" w:type="dxa"/>
              <w:start w:w="120" w:type="dxa"/>
              <w:bottom w:w="80" w:type="dxa"/>
              <w:end w:w="120" w:type="dxa"/>
            </w:tcMar>
          </w:tcPr>
          <w:p>
            <w:r>
              <w:rPr>
                <w:rFonts w:ascii="Calibri" w:hAnsi="Calibri"/>
                <w:b/>
                <w:i w:val="0"/>
                <w:color w:val="172B4D"/>
                <w:sz w:val="20"/>
              </w:rPr>
              <w:t>Supervision</w:t>
            </w:r>
          </w:p>
        </w:tc>
        <w:tc>
          <w:tcPr>
            <w:tcW w:type="dxa" w:w="7460"/>
            <w:vAlign w:val="center"/>
            <w:tcMar>
              <w:top w:w="80" w:type="dxa"/>
              <w:start w:w="120" w:type="dxa"/>
              <w:bottom w:w="80" w:type="dxa"/>
              <w:end w:w="120" w:type="dxa"/>
            </w:tcMar>
          </w:tcPr>
          <w:p>
            <w:r>
              <w:rPr>
                <w:rFonts w:ascii="Calibri" w:hAnsi="Calibri"/>
                <w:b w:val="0"/>
                <w:i w:val="0"/>
                <w:color w:val="172B4D"/>
                <w:sz w:val="20"/>
              </w:rPr>
              <w:t>Libish Murugesan (@libishm1), ORCID 0009-0004-3238-4202</w:t>
            </w:r>
          </w:p>
        </w:tc>
      </w:tr>
    </w:tbl>
    <w:p>
      <w:pPr>
        <w:pStyle w:val="Heading1"/>
        <w:keepNext/>
      </w:pPr>
      <w:r>
        <w:rPr>
          <w:rFonts w:ascii="Calibri" w:hAnsi="Calibri"/>
          <w:b/>
          <w:i w:val="0"/>
          <w:color w:val="2E74B5"/>
          <w:sz w:val="32"/>
        </w:rPr>
        <w:t>Executive Summary</w:t>
      </w:r>
    </w:p>
    <w:p>
      <w:r>
        <w:rPr>
          <w:rFonts w:ascii="Calibri" w:hAnsi="Calibri"/>
          <w:b w:val="0"/>
          <w:i w:val="0"/>
          <w:color w:val="172B4D"/>
          <w:sz w:val="22"/>
        </w:rPr>
        <w:t>This report compares three linear-elastic finite-element cases using one complete upright topology-optimized MBB beam. Geometry, loading, supports, material baseline, and mesh resolution are held constant so that infill density is the principal comparison variable.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40"/>
            </w:pPr>
            <w:r>
              <w:rPr>
                <w:rFonts w:ascii="Calibri" w:hAnsi="Calibri"/>
                <w:b/>
                <w:i w:val="0"/>
                <w:color w:val="2E74B5"/>
                <w:sz w:val="22"/>
              </w:rPr>
              <w:t xml:space="preserve">KEY RESULT  </w:t>
            </w:r>
            <w:r>
              <w:rPr>
                <w:rFonts w:ascii="Calibri" w:hAnsi="Calibri"/>
                <w:b w:val="0"/>
                <w:i w:val="0"/>
                <w:color w:val="172B4D"/>
                <w:sz w:val="22"/>
              </w:rPr>
              <w:t>At 100 N, increasing cubic infill from 15% to 25% reduced mean load-point displacement by 16.5% and increased apparent stiffness from 255.83 to 306.30 N/mm.</w:t>
            </w:r>
          </w:p>
        </w:tc>
      </w:tr>
    </w:tbl>
    <w:p>
      <w:pPr>
        <w:spacing w:after="0"/>
      </w:pPr>
    </w:p>
    <w:p>
      <w:r>
        <w:rPr>
          <w:rFonts w:ascii="Calibri" w:hAnsi="Calibri"/>
          <w:b w:val="0"/>
          <w:i w:val="0"/>
          <w:color w:val="172B4D"/>
          <w:sz w:val="22"/>
        </w:rPr>
        <w:t>The sparse cases are validated as comparative numerical screening models. They are not yet validated as printed-part strength or failure predictions because the cubic core is homogenized and requires coupon or representative-volume calibration.</w:t>
      </w:r>
    </w:p>
    <w:p>
      <w:pPr>
        <w:pStyle w:val="Heading1"/>
        <w:keepNext/>
      </w:pPr>
      <w:r>
        <w:rPr>
          <w:rFonts w:ascii="Calibri" w:hAnsi="Calibri"/>
          <w:b/>
          <w:i w:val="0"/>
          <w:color w:val="2E74B5"/>
          <w:sz w:val="32"/>
        </w:rPr>
        <w:t>1. Purpose and Scope</w:t>
      </w:r>
    </w:p>
    <w:p>
      <w:r>
        <w:rPr>
          <w:rFonts w:ascii="Calibri" w:hAnsi="Calibri"/>
          <w:b w:val="0"/>
          <w:i w:val="0"/>
          <w:color w:val="172B4D"/>
          <w:sz w:val="22"/>
        </w:rPr>
        <w:t>The purpose is to provide a reproducible comparison of cubic infill density for the recovered MBB beam while eliminating orientation and geometry differences between slicer archives. All accepted cases use the same full upright STL. The supplied 25% half-beam archive is used only to verify its cubic toolpath and pitch.</w:t>
      </w:r>
    </w:p>
    <w:p>
      <w:r>
        <w:br w:type="page"/>
      </w:r>
    </w:p>
    <w:p>
      <w:pPr>
        <w:pStyle w:val="Heading1"/>
        <w:keepNext/>
      </w:pPr>
      <w:r>
        <w:rPr>
          <w:rFonts w:ascii="Calibri" w:hAnsi="Calibri"/>
          <w:b/>
          <w:i w:val="0"/>
          <w:color w:val="2E74B5"/>
          <w:sz w:val="32"/>
        </w:rPr>
        <w:t>2. Model Definition</w:t>
      </w:r>
    </w:p>
    <w:tbl>
      <w:tblPr>
        <w:tblW w:type="dxa" w:w="9360"/>
        <w:jc w:val="left"/>
        <w:tblLayout w:type="fixed"/>
        <w:tblLook w:firstColumn="1" w:firstRow="1" w:lastColumn="0" w:lastRow="0" w:noHBand="0" w:noVBand="1" w:val="04A0"/>
        <w:tblInd w:w="120" w:type="dxa"/>
      </w:tblPr>
      <w:tblGrid>
        <w:gridCol w:w="2200"/>
        <w:gridCol w:w="7160"/>
      </w:tblGrid>
      <w:tr>
        <w:tc>
          <w:tcPr>
            <w:tcW w:type="dxa" w:w="2200"/>
            <w:shd w:fill="F2F4F7"/>
            <w:vAlign w:val="center"/>
            <w:tcMar>
              <w:top w:w="80" w:type="dxa"/>
              <w:start w:w="120" w:type="dxa"/>
              <w:bottom w:w="80" w:type="dxa"/>
              <w:end w:w="120" w:type="dxa"/>
            </w:tcMar>
          </w:tcPr>
          <w:p>
            <w:r>
              <w:rPr>
                <w:rFonts w:ascii="Calibri" w:hAnsi="Calibri"/>
                <w:b/>
                <w:i w:val="0"/>
                <w:color w:val="172B4D"/>
                <w:sz w:val="20"/>
              </w:rPr>
              <w:t>Geometry</w:t>
            </w:r>
          </w:p>
        </w:tc>
        <w:tc>
          <w:tcPr>
            <w:tcW w:type="dxa" w:w="7160"/>
            <w:vAlign w:val="center"/>
            <w:tcMar>
              <w:top w:w="80" w:type="dxa"/>
              <w:start w:w="120" w:type="dxa"/>
              <w:bottom w:w="80" w:type="dxa"/>
              <w:end w:w="120" w:type="dxa"/>
            </w:tcMar>
          </w:tcPr>
          <w:p>
            <w:r>
              <w:rPr>
                <w:rFonts w:ascii="Calibri" w:hAnsi="Calibri"/>
                <w:b w:val="0"/>
                <w:i w:val="0"/>
                <w:color w:val="172B4D"/>
                <w:sz w:val="20"/>
              </w:rPr>
              <w:t>Full upright original-mesh.stl</w:t>
            </w:r>
          </w:p>
        </w:tc>
      </w:tr>
      <w:tr>
        <w:tc>
          <w:tcPr>
            <w:tcW w:type="dxa" w:w="2200"/>
            <w:shd w:fill="F2F4F7"/>
            <w:vAlign w:val="center"/>
            <w:tcMar>
              <w:top w:w="80" w:type="dxa"/>
              <w:start w:w="120" w:type="dxa"/>
              <w:bottom w:w="80" w:type="dxa"/>
              <w:end w:w="120" w:type="dxa"/>
            </w:tcMar>
          </w:tcPr>
          <w:p>
            <w:r>
              <w:rPr>
                <w:rFonts w:ascii="Calibri" w:hAnsi="Calibri"/>
                <w:b/>
                <w:i w:val="0"/>
                <w:color w:val="172B4D"/>
                <w:sz w:val="20"/>
              </w:rPr>
              <w:t>Envelope</w:t>
            </w:r>
          </w:p>
        </w:tc>
        <w:tc>
          <w:tcPr>
            <w:tcW w:type="dxa" w:w="7160"/>
            <w:vAlign w:val="center"/>
            <w:tcMar>
              <w:top w:w="80" w:type="dxa"/>
              <w:start w:w="120" w:type="dxa"/>
              <w:bottom w:w="80" w:type="dxa"/>
              <w:end w:w="120" w:type="dxa"/>
            </w:tcMar>
          </w:tcPr>
          <w:p>
            <w:r>
              <w:rPr>
                <w:rFonts w:ascii="Calibri" w:hAnsi="Calibri"/>
                <w:b w:val="0"/>
                <w:i w:val="0"/>
                <w:color w:val="172B4D"/>
                <w:sz w:val="20"/>
              </w:rPr>
              <w:t>Approximately 210.27 x 24.15 x 40.22 mm</w:t>
            </w:r>
          </w:p>
        </w:tc>
      </w:tr>
      <w:tr>
        <w:tc>
          <w:tcPr>
            <w:tcW w:type="dxa" w:w="2200"/>
            <w:shd w:fill="F2F4F7"/>
            <w:vAlign w:val="center"/>
            <w:tcMar>
              <w:top w:w="80" w:type="dxa"/>
              <w:start w:w="120" w:type="dxa"/>
              <w:bottom w:w="80" w:type="dxa"/>
              <w:end w:w="120" w:type="dxa"/>
            </w:tcMar>
          </w:tcPr>
          <w:p>
            <w:r>
              <w:rPr>
                <w:rFonts w:ascii="Calibri" w:hAnsi="Calibri"/>
                <w:b/>
                <w:i w:val="0"/>
                <w:color w:val="172B4D"/>
                <w:sz w:val="20"/>
              </w:rPr>
              <w:t>Mesh</w:t>
            </w:r>
          </w:p>
        </w:tc>
        <w:tc>
          <w:tcPr>
            <w:tcW w:type="dxa" w:w="7160"/>
            <w:vAlign w:val="center"/>
            <w:tcMar>
              <w:top w:w="80" w:type="dxa"/>
              <w:start w:w="120" w:type="dxa"/>
              <w:bottom w:w="80" w:type="dxa"/>
              <w:end w:w="120" w:type="dxa"/>
            </w:tcMar>
          </w:tcPr>
          <w:p>
            <w:r>
              <w:rPr>
                <w:rFonts w:ascii="Calibri" w:hAnsi="Calibri"/>
                <w:b w:val="0"/>
                <w:i w:val="0"/>
                <w:color w:val="172B4D"/>
                <w:sz w:val="20"/>
              </w:rPr>
              <w:t>134,566 first-order tetrahedra, nominal 2.4 mm</w:t>
            </w:r>
          </w:p>
        </w:tc>
      </w:tr>
      <w:tr>
        <w:tc>
          <w:tcPr>
            <w:tcW w:type="dxa" w:w="2200"/>
            <w:shd w:fill="F2F4F7"/>
            <w:vAlign w:val="center"/>
            <w:tcMar>
              <w:top w:w="80" w:type="dxa"/>
              <w:start w:w="120" w:type="dxa"/>
              <w:bottom w:w="80" w:type="dxa"/>
              <w:end w:w="120" w:type="dxa"/>
            </w:tcMar>
          </w:tcPr>
          <w:p>
            <w:r>
              <w:rPr>
                <w:rFonts w:ascii="Calibri" w:hAnsi="Calibri"/>
                <w:b/>
                <w:i w:val="0"/>
                <w:color w:val="172B4D"/>
                <w:sz w:val="20"/>
              </w:rPr>
              <w:t>Dense PLA</w:t>
            </w:r>
          </w:p>
        </w:tc>
        <w:tc>
          <w:tcPr>
            <w:tcW w:type="dxa" w:w="7160"/>
            <w:vAlign w:val="center"/>
            <w:tcMar>
              <w:top w:w="80" w:type="dxa"/>
              <w:start w:w="120" w:type="dxa"/>
              <w:bottom w:w="80" w:type="dxa"/>
              <w:end w:w="120" w:type="dxa"/>
            </w:tcMar>
          </w:tcPr>
          <w:p>
            <w:r>
              <w:rPr>
                <w:rFonts w:ascii="Calibri" w:hAnsi="Calibri"/>
                <w:b w:val="0"/>
                <w:i w:val="0"/>
                <w:color w:val="172B4D"/>
                <w:sz w:val="20"/>
              </w:rPr>
              <w:t>E = 3.0 GPa; nu = 0.35; rho = 1240 kg/m3</w:t>
            </w:r>
          </w:p>
        </w:tc>
      </w:tr>
      <w:tr>
        <w:tc>
          <w:tcPr>
            <w:tcW w:type="dxa" w:w="2200"/>
            <w:shd w:fill="F2F4F7"/>
            <w:vAlign w:val="center"/>
            <w:tcMar>
              <w:top w:w="80" w:type="dxa"/>
              <w:start w:w="120" w:type="dxa"/>
              <w:bottom w:w="80" w:type="dxa"/>
              <w:end w:w="120" w:type="dxa"/>
            </w:tcMar>
          </w:tcPr>
          <w:p>
            <w:r>
              <w:rPr>
                <w:rFonts w:ascii="Calibri" w:hAnsi="Calibri"/>
                <w:b/>
                <w:i w:val="0"/>
                <w:color w:val="172B4D"/>
                <w:sz w:val="20"/>
              </w:rPr>
              <w:t>Load</w:t>
            </w:r>
          </w:p>
        </w:tc>
        <w:tc>
          <w:tcPr>
            <w:tcW w:type="dxa" w:w="7160"/>
            <w:vAlign w:val="center"/>
            <w:tcMar>
              <w:top w:w="80" w:type="dxa"/>
              <w:start w:w="120" w:type="dxa"/>
              <w:bottom w:w="80" w:type="dxa"/>
              <w:end w:w="120" w:type="dxa"/>
            </w:tcMar>
          </w:tcPr>
          <w:p>
            <w:r>
              <w:rPr>
                <w:rFonts w:ascii="Calibri" w:hAnsi="Calibri"/>
                <w:b w:val="0"/>
                <w:i w:val="0"/>
                <w:color w:val="172B4D"/>
                <w:sz w:val="20"/>
              </w:rPr>
              <w:t>100 N downward on a finite top-midspan patch</w:t>
            </w:r>
          </w:p>
        </w:tc>
      </w:tr>
      <w:tr>
        <w:tc>
          <w:tcPr>
            <w:tcW w:type="dxa" w:w="2200"/>
            <w:shd w:fill="F2F4F7"/>
            <w:vAlign w:val="center"/>
            <w:tcMar>
              <w:top w:w="80" w:type="dxa"/>
              <w:start w:w="120" w:type="dxa"/>
              <w:bottom w:w="80" w:type="dxa"/>
              <w:end w:w="120" w:type="dxa"/>
            </w:tcMar>
          </w:tcPr>
          <w:p>
            <w:r>
              <w:rPr>
                <w:rFonts w:ascii="Calibri" w:hAnsi="Calibri"/>
                <w:b/>
                <w:i w:val="0"/>
                <w:color w:val="172B4D"/>
                <w:sz w:val="20"/>
              </w:rPr>
              <w:t>Supports</w:t>
            </w:r>
          </w:p>
        </w:tc>
        <w:tc>
          <w:tcPr>
            <w:tcW w:type="dxa" w:w="7160"/>
            <w:vAlign w:val="center"/>
            <w:tcMar>
              <w:top w:w="80" w:type="dxa"/>
              <w:start w:w="120" w:type="dxa"/>
              <w:bottom w:w="80" w:type="dxa"/>
              <w:end w:w="120" w:type="dxa"/>
            </w:tcMar>
          </w:tcPr>
          <w:p>
            <w:r>
              <w:rPr>
                <w:rFonts w:ascii="Calibri" w:hAnsi="Calibri"/>
                <w:b w:val="0"/>
                <w:i w:val="0"/>
                <w:color w:val="172B4D"/>
                <w:sz w:val="20"/>
              </w:rPr>
              <w:t>Left 3D bearing; right depth and vertical roller constraints</w:t>
            </w:r>
          </w:p>
        </w:tc>
      </w:tr>
    </w:tbl>
    <w:p>
      <w:pPr>
        <w:pStyle w:val="Heading2"/>
        <w:keepNext/>
      </w:pPr>
      <w:r>
        <w:rPr>
          <w:rFonts w:ascii="Calibri" w:hAnsi="Calibri"/>
          <w:b/>
          <w:i w:val="0"/>
          <w:color w:val="2E74B5"/>
          <w:sz w:val="26"/>
        </w:rPr>
        <w:t>2.1 Sparse shell/core representation</w:t>
      </w:r>
    </w:p>
    <w:p>
      <w:r>
        <w:rPr>
          <w:rFonts w:ascii="Calibri" w:hAnsi="Calibri"/>
          <w:b w:val="0"/>
          <w:i w:val="0"/>
          <w:color w:val="172B4D"/>
          <w:sz w:val="22"/>
        </w:rPr>
        <w:t>The dense shell volume is matched to two slicer perimeter widths (0.42 + 0.45 mm). The core uses the screening relationship Ecore/EPLA = relative density squared. G-code inspection identified projected cubic pitches of 8.142 mm at 15% and 4.885 mm at 25%, with the expected 45, 105, and 165 degree road families.</w:t>
      </w:r>
    </w:p>
    <w:p>
      <w:pPr>
        <w:pStyle w:val="Heading1"/>
        <w:keepNext/>
      </w:pPr>
      <w:r>
        <w:rPr>
          <w:rFonts w:ascii="Calibri" w:hAnsi="Calibri"/>
          <w:b/>
          <w:i w:val="0"/>
          <w:color w:val="2E74B5"/>
          <w:sz w:val="32"/>
        </w:rPr>
        <w:t>3. Results</w:t>
      </w:r>
    </w:p>
    <w:tbl>
      <w:tblPr>
        <w:tblW w:type="dxa" w:w="9360"/>
        <w:jc w:val="left"/>
        <w:tblLayout w:type="fixed"/>
        <w:tblLook w:firstColumn="1" w:firstRow="1" w:lastColumn="0" w:lastRow="0" w:noHBand="0" w:noVBand="1" w:val="04A0"/>
        <w:tblInd w:w="120" w:type="dxa"/>
      </w:tblPr>
      <w:tblGrid>
        <w:gridCol w:w="1700"/>
        <w:gridCol w:w="1400"/>
        <w:gridCol w:w="1550"/>
        <w:gridCol w:w="1500"/>
        <w:gridCol w:w="1700"/>
        <w:gridCol w:w="1510"/>
      </w:tblGrid>
      <w:tr>
        <w:trPr>
          <w:tblHeader w:val="true"/>
        </w:trPr>
        <w:tc>
          <w:tcPr>
            <w:tcW w:type="dxa" w:w="1700"/>
            <w:shd w:fill="F2F4F7"/>
            <w:vAlign w:val="center"/>
            <w:tcMar>
              <w:top w:w="80" w:type="dxa"/>
              <w:start w:w="120" w:type="dxa"/>
              <w:bottom w:w="80" w:type="dxa"/>
              <w:end w:w="120" w:type="dxa"/>
            </w:tcMar>
          </w:tcPr>
          <w:p>
            <w:pPr>
              <w:jc w:val="center"/>
            </w:pPr>
            <w:r>
              <w:rPr>
                <w:rFonts w:ascii="Calibri" w:hAnsi="Calibri"/>
                <w:b/>
                <w:i w:val="0"/>
                <w:color w:val="172B4D"/>
                <w:sz w:val="18"/>
              </w:rPr>
              <w:t>Case</w:t>
            </w:r>
          </w:p>
        </w:tc>
        <w:tc>
          <w:tcPr>
            <w:tcW w:type="dxa" w:w="1400"/>
            <w:shd w:fill="F2F4F7"/>
            <w:vAlign w:val="center"/>
            <w:tcMar>
              <w:top w:w="80" w:type="dxa"/>
              <w:start w:w="120" w:type="dxa"/>
              <w:bottom w:w="80" w:type="dxa"/>
              <w:end w:w="120" w:type="dxa"/>
            </w:tcMar>
          </w:tcPr>
          <w:p>
            <w:pPr>
              <w:jc w:val="center"/>
            </w:pPr>
            <w:r>
              <w:rPr>
                <w:rFonts w:ascii="Calibri" w:hAnsi="Calibri"/>
                <w:b/>
                <w:i w:val="0"/>
                <w:color w:val="172B4D"/>
                <w:sz w:val="18"/>
              </w:rPr>
              <w:t>Tetrahedra</w:t>
            </w:r>
          </w:p>
        </w:tc>
        <w:tc>
          <w:tcPr>
            <w:tcW w:type="dxa" w:w="1550"/>
            <w:shd w:fill="F2F4F7"/>
            <w:vAlign w:val="center"/>
            <w:tcMar>
              <w:top w:w="80" w:type="dxa"/>
              <w:start w:w="120" w:type="dxa"/>
              <w:bottom w:w="80" w:type="dxa"/>
              <w:end w:w="120" w:type="dxa"/>
            </w:tcMar>
          </w:tcPr>
          <w:p>
            <w:pPr>
              <w:jc w:val="center"/>
            </w:pPr>
            <w:r>
              <w:rPr>
                <w:rFonts w:ascii="Calibri" w:hAnsi="Calibri"/>
                <w:b/>
                <w:i w:val="0"/>
                <w:color w:val="172B4D"/>
                <w:sz w:val="18"/>
              </w:rPr>
              <w:t>Mean disp.</w:t>
              <w:br/>
              <w:t>(mm)</w:t>
            </w:r>
          </w:p>
        </w:tc>
        <w:tc>
          <w:tcPr>
            <w:tcW w:type="dxa" w:w="1500"/>
            <w:shd w:fill="F2F4F7"/>
            <w:vAlign w:val="center"/>
            <w:tcMar>
              <w:top w:w="80" w:type="dxa"/>
              <w:start w:w="120" w:type="dxa"/>
              <w:bottom w:w="80" w:type="dxa"/>
              <w:end w:w="120" w:type="dxa"/>
            </w:tcMar>
          </w:tcPr>
          <w:p>
            <w:pPr>
              <w:jc w:val="center"/>
            </w:pPr>
            <w:r>
              <w:rPr>
                <w:rFonts w:ascii="Calibri" w:hAnsi="Calibri"/>
                <w:b/>
                <w:i w:val="0"/>
                <w:color w:val="172B4D"/>
                <w:sz w:val="18"/>
              </w:rPr>
              <w:t>Max. disp.</w:t>
              <w:br/>
              <w:t>(mm)</w:t>
            </w:r>
          </w:p>
        </w:tc>
        <w:tc>
          <w:tcPr>
            <w:tcW w:type="dxa" w:w="1700"/>
            <w:shd w:fill="F2F4F7"/>
            <w:vAlign w:val="center"/>
            <w:tcMar>
              <w:top w:w="80" w:type="dxa"/>
              <w:start w:w="120" w:type="dxa"/>
              <w:bottom w:w="80" w:type="dxa"/>
              <w:end w:w="120" w:type="dxa"/>
            </w:tcMar>
          </w:tcPr>
          <w:p>
            <w:pPr>
              <w:jc w:val="center"/>
            </w:pPr>
            <w:r>
              <w:rPr>
                <w:rFonts w:ascii="Calibri" w:hAnsi="Calibri"/>
                <w:b/>
                <w:i w:val="0"/>
                <w:color w:val="172B4D"/>
                <w:sz w:val="18"/>
              </w:rPr>
              <w:t>Stiffness</w:t>
              <w:br/>
              <w:t>(N/mm)</w:t>
            </w:r>
          </w:p>
        </w:tc>
        <w:tc>
          <w:tcPr>
            <w:tcW w:type="dxa" w:w="1510"/>
            <w:shd w:fill="F2F4F7"/>
            <w:vAlign w:val="center"/>
            <w:tcMar>
              <w:top w:w="80" w:type="dxa"/>
              <w:start w:w="120" w:type="dxa"/>
              <w:bottom w:w="80" w:type="dxa"/>
              <w:end w:w="120" w:type="dxa"/>
            </w:tcMar>
          </w:tcPr>
          <w:p>
            <w:pPr>
              <w:jc w:val="center"/>
            </w:pPr>
            <w:r>
              <w:rPr>
                <w:rFonts w:ascii="Calibri" w:hAnsi="Calibri"/>
                <w:b/>
                <w:i w:val="0"/>
                <w:color w:val="172B4D"/>
                <w:sz w:val="18"/>
              </w:rPr>
              <w:t>Mass</w:t>
              <w:br/>
              <w:t>(g)</w:t>
            </w:r>
          </w:p>
        </w:tc>
      </w:tr>
      <w:tr>
        <w:tc>
          <w:tcPr>
            <w:tcW w:type="dxa" w:w="1700"/>
            <w:vAlign w:val="center"/>
            <w:tcMar>
              <w:top w:w="80" w:type="dxa"/>
              <w:start w:w="120" w:type="dxa"/>
              <w:bottom w:w="80" w:type="dxa"/>
              <w:end w:w="120" w:type="dxa"/>
            </w:tcMar>
          </w:tcPr>
          <w:p>
            <w:pPr>
              <w:jc w:val="left"/>
            </w:pPr>
            <w:r>
              <w:rPr>
                <w:rFonts w:ascii="Calibri" w:hAnsi="Calibri"/>
                <w:b/>
                <w:i w:val="0"/>
                <w:color w:val="172B4D"/>
                <w:sz w:val="19"/>
              </w:rPr>
              <w:t>Cubic 15%</w:t>
            </w:r>
          </w:p>
        </w:tc>
        <w:tc>
          <w:tcPr>
            <w:tcW w:type="dxa" w:w="1400"/>
            <w:vAlign w:val="center"/>
            <w:tcMar>
              <w:top w:w="80" w:type="dxa"/>
              <w:start w:w="120" w:type="dxa"/>
              <w:bottom w:w="80" w:type="dxa"/>
              <w:end w:w="120" w:type="dxa"/>
            </w:tcMar>
          </w:tcPr>
          <w:p>
            <w:pPr>
              <w:jc w:val="center"/>
            </w:pPr>
            <w:r>
              <w:rPr>
                <w:rFonts w:ascii="Calibri" w:hAnsi="Calibri"/>
                <w:b w:val="0"/>
                <w:i w:val="0"/>
                <w:color w:val="172B4D"/>
                <w:sz w:val="19"/>
              </w:rPr>
              <w:t>134,566</w:t>
            </w:r>
          </w:p>
        </w:tc>
        <w:tc>
          <w:tcPr>
            <w:tcW w:type="dxa" w:w="1550"/>
            <w:vAlign w:val="center"/>
            <w:tcMar>
              <w:top w:w="80" w:type="dxa"/>
              <w:start w:w="120" w:type="dxa"/>
              <w:bottom w:w="80" w:type="dxa"/>
              <w:end w:w="120" w:type="dxa"/>
            </w:tcMar>
          </w:tcPr>
          <w:p>
            <w:pPr>
              <w:jc w:val="center"/>
            </w:pPr>
            <w:r>
              <w:rPr>
                <w:rFonts w:ascii="Calibri" w:hAnsi="Calibri"/>
                <w:b w:val="0"/>
                <w:i w:val="0"/>
                <w:color w:val="172B4D"/>
                <w:sz w:val="19"/>
              </w:rPr>
              <w:t>0.39089</w:t>
            </w:r>
          </w:p>
        </w:tc>
        <w:tc>
          <w:tcPr>
            <w:tcW w:type="dxa" w:w="1500"/>
            <w:vAlign w:val="center"/>
            <w:tcMar>
              <w:top w:w="80" w:type="dxa"/>
              <w:start w:w="120" w:type="dxa"/>
              <w:bottom w:w="80" w:type="dxa"/>
              <w:end w:w="120" w:type="dxa"/>
            </w:tcMar>
          </w:tcPr>
          <w:p>
            <w:pPr>
              <w:jc w:val="center"/>
            </w:pPr>
            <w:r>
              <w:rPr>
                <w:rFonts w:ascii="Calibri" w:hAnsi="Calibri"/>
                <w:b w:val="0"/>
                <w:i w:val="0"/>
                <w:color w:val="172B4D"/>
                <w:sz w:val="19"/>
              </w:rPr>
              <w:t>0.40766</w:t>
            </w:r>
          </w:p>
        </w:tc>
        <w:tc>
          <w:tcPr>
            <w:tcW w:type="dxa" w:w="1700"/>
            <w:vAlign w:val="center"/>
            <w:tcMar>
              <w:top w:w="80" w:type="dxa"/>
              <w:start w:w="120" w:type="dxa"/>
              <w:bottom w:w="80" w:type="dxa"/>
              <w:end w:w="120" w:type="dxa"/>
            </w:tcMar>
          </w:tcPr>
          <w:p>
            <w:pPr>
              <w:jc w:val="center"/>
            </w:pPr>
            <w:r>
              <w:rPr>
                <w:rFonts w:ascii="Calibri" w:hAnsi="Calibri"/>
                <w:b w:val="0"/>
                <w:i w:val="0"/>
                <w:color w:val="172B4D"/>
                <w:sz w:val="19"/>
              </w:rPr>
              <w:t>255.83</w:t>
            </w:r>
          </w:p>
        </w:tc>
        <w:tc>
          <w:tcPr>
            <w:tcW w:type="dxa" w:w="1510"/>
            <w:vAlign w:val="center"/>
            <w:tcMar>
              <w:top w:w="80" w:type="dxa"/>
              <w:start w:w="120" w:type="dxa"/>
              <w:bottom w:w="80" w:type="dxa"/>
              <w:end w:w="120" w:type="dxa"/>
            </w:tcMar>
          </w:tcPr>
          <w:p>
            <w:pPr>
              <w:jc w:val="center"/>
            </w:pPr>
            <w:r>
              <w:rPr>
                <w:rFonts w:ascii="Calibri" w:hAnsi="Calibri"/>
                <w:b w:val="0"/>
                <w:i w:val="0"/>
                <w:color w:val="172B4D"/>
                <w:sz w:val="19"/>
              </w:rPr>
              <w:t>40.93</w:t>
            </w:r>
          </w:p>
        </w:tc>
      </w:tr>
      <w:tr>
        <w:tc>
          <w:tcPr>
            <w:tcW w:type="dxa" w:w="1700"/>
            <w:vAlign w:val="center"/>
            <w:tcMar>
              <w:top w:w="80" w:type="dxa"/>
              <w:start w:w="120" w:type="dxa"/>
              <w:bottom w:w="80" w:type="dxa"/>
              <w:end w:w="120" w:type="dxa"/>
            </w:tcMar>
          </w:tcPr>
          <w:p>
            <w:pPr>
              <w:jc w:val="left"/>
            </w:pPr>
            <w:r>
              <w:rPr>
                <w:rFonts w:ascii="Calibri" w:hAnsi="Calibri"/>
                <w:b/>
                <w:i w:val="0"/>
                <w:color w:val="172B4D"/>
                <w:sz w:val="19"/>
              </w:rPr>
              <w:t>Cubic 25%</w:t>
            </w:r>
          </w:p>
        </w:tc>
        <w:tc>
          <w:tcPr>
            <w:tcW w:type="dxa" w:w="1400"/>
            <w:vAlign w:val="center"/>
            <w:tcMar>
              <w:top w:w="80" w:type="dxa"/>
              <w:start w:w="120" w:type="dxa"/>
              <w:bottom w:w="80" w:type="dxa"/>
              <w:end w:w="120" w:type="dxa"/>
            </w:tcMar>
          </w:tcPr>
          <w:p>
            <w:pPr>
              <w:jc w:val="center"/>
            </w:pPr>
            <w:r>
              <w:rPr>
                <w:rFonts w:ascii="Calibri" w:hAnsi="Calibri"/>
                <w:b w:val="0"/>
                <w:i w:val="0"/>
                <w:color w:val="172B4D"/>
                <w:sz w:val="19"/>
              </w:rPr>
              <w:t>134,566</w:t>
            </w:r>
          </w:p>
        </w:tc>
        <w:tc>
          <w:tcPr>
            <w:tcW w:type="dxa" w:w="1550"/>
            <w:vAlign w:val="center"/>
            <w:tcMar>
              <w:top w:w="80" w:type="dxa"/>
              <w:start w:w="120" w:type="dxa"/>
              <w:bottom w:w="80" w:type="dxa"/>
              <w:end w:w="120" w:type="dxa"/>
            </w:tcMar>
          </w:tcPr>
          <w:p>
            <w:pPr>
              <w:jc w:val="center"/>
            </w:pPr>
            <w:r>
              <w:rPr>
                <w:rFonts w:ascii="Calibri" w:hAnsi="Calibri"/>
                <w:b w:val="0"/>
                <w:i w:val="0"/>
                <w:color w:val="172B4D"/>
                <w:sz w:val="19"/>
              </w:rPr>
              <w:t>0.32648</w:t>
            </w:r>
          </w:p>
        </w:tc>
        <w:tc>
          <w:tcPr>
            <w:tcW w:type="dxa" w:w="1500"/>
            <w:vAlign w:val="center"/>
            <w:tcMar>
              <w:top w:w="80" w:type="dxa"/>
              <w:start w:w="120" w:type="dxa"/>
              <w:bottom w:w="80" w:type="dxa"/>
              <w:end w:w="120" w:type="dxa"/>
            </w:tcMar>
          </w:tcPr>
          <w:p>
            <w:pPr>
              <w:jc w:val="center"/>
            </w:pPr>
            <w:r>
              <w:rPr>
                <w:rFonts w:ascii="Calibri" w:hAnsi="Calibri"/>
                <w:b w:val="0"/>
                <w:i w:val="0"/>
                <w:color w:val="172B4D"/>
                <w:sz w:val="19"/>
              </w:rPr>
              <w:t>0.33746</w:t>
            </w:r>
          </w:p>
        </w:tc>
        <w:tc>
          <w:tcPr>
            <w:tcW w:type="dxa" w:w="1700"/>
            <w:vAlign w:val="center"/>
            <w:tcMar>
              <w:top w:w="80" w:type="dxa"/>
              <w:start w:w="120" w:type="dxa"/>
              <w:bottom w:w="80" w:type="dxa"/>
              <w:end w:w="120" w:type="dxa"/>
            </w:tcMar>
          </w:tcPr>
          <w:p>
            <w:pPr>
              <w:jc w:val="center"/>
            </w:pPr>
            <w:r>
              <w:rPr>
                <w:rFonts w:ascii="Calibri" w:hAnsi="Calibri"/>
                <w:b w:val="0"/>
                <w:i w:val="0"/>
                <w:color w:val="172B4D"/>
                <w:sz w:val="19"/>
              </w:rPr>
              <w:t>306.30</w:t>
            </w:r>
          </w:p>
        </w:tc>
        <w:tc>
          <w:tcPr>
            <w:tcW w:type="dxa" w:w="1510"/>
            <w:vAlign w:val="center"/>
            <w:tcMar>
              <w:top w:w="80" w:type="dxa"/>
              <w:start w:w="120" w:type="dxa"/>
              <w:bottom w:w="80" w:type="dxa"/>
              <w:end w:w="120" w:type="dxa"/>
            </w:tcMar>
          </w:tcPr>
          <w:p>
            <w:pPr>
              <w:jc w:val="center"/>
            </w:pPr>
            <w:r>
              <w:rPr>
                <w:rFonts w:ascii="Calibri" w:hAnsi="Calibri"/>
                <w:b w:val="0"/>
                <w:i w:val="0"/>
                <w:color w:val="172B4D"/>
                <w:sz w:val="19"/>
              </w:rPr>
              <w:t>47.68</w:t>
            </w:r>
          </w:p>
        </w:tc>
      </w:tr>
      <w:tr>
        <w:tc>
          <w:tcPr>
            <w:tcW w:type="dxa" w:w="1700"/>
            <w:vAlign w:val="center"/>
            <w:tcMar>
              <w:top w:w="80" w:type="dxa"/>
              <w:start w:w="120" w:type="dxa"/>
              <w:bottom w:w="80" w:type="dxa"/>
              <w:end w:w="120" w:type="dxa"/>
            </w:tcMar>
          </w:tcPr>
          <w:p>
            <w:pPr>
              <w:jc w:val="left"/>
            </w:pPr>
            <w:r>
              <w:rPr>
                <w:rFonts w:ascii="Calibri" w:hAnsi="Calibri"/>
                <w:b/>
                <w:i w:val="0"/>
                <w:color w:val="172B4D"/>
                <w:sz w:val="19"/>
              </w:rPr>
              <w:t>Dense 100%</w:t>
            </w:r>
          </w:p>
        </w:tc>
        <w:tc>
          <w:tcPr>
            <w:tcW w:type="dxa" w:w="1400"/>
            <w:vAlign w:val="center"/>
            <w:tcMar>
              <w:top w:w="80" w:type="dxa"/>
              <w:start w:w="120" w:type="dxa"/>
              <w:bottom w:w="80" w:type="dxa"/>
              <w:end w:w="120" w:type="dxa"/>
            </w:tcMar>
          </w:tcPr>
          <w:p>
            <w:pPr>
              <w:jc w:val="center"/>
            </w:pPr>
            <w:r>
              <w:rPr>
                <w:rFonts w:ascii="Calibri" w:hAnsi="Calibri"/>
                <w:b w:val="0"/>
                <w:i w:val="0"/>
                <w:color w:val="172B4D"/>
                <w:sz w:val="19"/>
              </w:rPr>
              <w:t>134,566</w:t>
            </w:r>
          </w:p>
        </w:tc>
        <w:tc>
          <w:tcPr>
            <w:tcW w:type="dxa" w:w="1550"/>
            <w:vAlign w:val="center"/>
            <w:tcMar>
              <w:top w:w="80" w:type="dxa"/>
              <w:start w:w="120" w:type="dxa"/>
              <w:bottom w:w="80" w:type="dxa"/>
              <w:end w:w="120" w:type="dxa"/>
            </w:tcMar>
          </w:tcPr>
          <w:p>
            <w:pPr>
              <w:jc w:val="center"/>
            </w:pPr>
            <w:r>
              <w:rPr>
                <w:rFonts w:ascii="Calibri" w:hAnsi="Calibri"/>
                <w:b w:val="0"/>
                <w:i w:val="0"/>
                <w:color w:val="172B4D"/>
                <w:sz w:val="19"/>
              </w:rPr>
              <w:t>0.12432</w:t>
            </w:r>
          </w:p>
        </w:tc>
        <w:tc>
          <w:tcPr>
            <w:tcW w:type="dxa" w:w="1500"/>
            <w:vAlign w:val="center"/>
            <w:tcMar>
              <w:top w:w="80" w:type="dxa"/>
              <w:start w:w="120" w:type="dxa"/>
              <w:bottom w:w="80" w:type="dxa"/>
              <w:end w:w="120" w:type="dxa"/>
            </w:tcMar>
          </w:tcPr>
          <w:p>
            <w:pPr>
              <w:jc w:val="center"/>
            </w:pPr>
            <w:r>
              <w:rPr>
                <w:rFonts w:ascii="Calibri" w:hAnsi="Calibri"/>
                <w:b w:val="0"/>
                <w:i w:val="0"/>
                <w:color w:val="172B4D"/>
                <w:sz w:val="19"/>
              </w:rPr>
              <w:t>0.12749</w:t>
            </w:r>
          </w:p>
        </w:tc>
        <w:tc>
          <w:tcPr>
            <w:tcW w:type="dxa" w:w="1700"/>
            <w:vAlign w:val="center"/>
            <w:tcMar>
              <w:top w:w="80" w:type="dxa"/>
              <w:start w:w="120" w:type="dxa"/>
              <w:bottom w:w="80" w:type="dxa"/>
              <w:end w:w="120" w:type="dxa"/>
            </w:tcMar>
          </w:tcPr>
          <w:p>
            <w:pPr>
              <w:jc w:val="center"/>
            </w:pPr>
            <w:r>
              <w:rPr>
                <w:rFonts w:ascii="Calibri" w:hAnsi="Calibri"/>
                <w:b w:val="0"/>
                <w:i w:val="0"/>
                <w:color w:val="172B4D"/>
                <w:sz w:val="19"/>
              </w:rPr>
              <w:t>804.40</w:t>
            </w:r>
          </w:p>
        </w:tc>
        <w:tc>
          <w:tcPr>
            <w:tcW w:type="dxa" w:w="1510"/>
            <w:vAlign w:val="center"/>
            <w:tcMar>
              <w:top w:w="80" w:type="dxa"/>
              <w:start w:w="120" w:type="dxa"/>
              <w:bottom w:w="80" w:type="dxa"/>
              <w:end w:w="120" w:type="dxa"/>
            </w:tcMar>
          </w:tcPr>
          <w:p>
            <w:pPr>
              <w:jc w:val="center"/>
            </w:pPr>
            <w:r>
              <w:rPr>
                <w:rFonts w:ascii="Calibri" w:hAnsi="Calibri"/>
                <w:b w:val="0"/>
                <w:i w:val="0"/>
                <w:color w:val="172B4D"/>
                <w:sz w:val="19"/>
              </w:rPr>
              <w:t>98.27</w:t>
            </w:r>
          </w:p>
        </w:tc>
      </w:tr>
    </w:tbl>
    <w:p>
      <w:pPr>
        <w:spacing w:before="80" w:after="160"/>
      </w:pPr>
      <w:r>
        <w:rPr>
          <w:rFonts w:ascii="Calibri" w:hAnsi="Calibri"/>
          <w:b w:val="0"/>
          <w:i/>
          <w:color w:val="5C6773"/>
          <w:sz w:val="18"/>
        </w:rPr>
        <w:t>Table 1. Accepted fine-mesh results under the common 100 N load.</w:t>
      </w:r>
    </w:p>
    <w:p>
      <w:pPr>
        <w:jc w:val="center"/>
      </w:pPr>
      <w:r>
        <w:drawing>
          <wp:inline xmlns:a="http://schemas.openxmlformats.org/drawingml/2006/main" xmlns:pic="http://schemas.openxmlformats.org/drawingml/2006/picture">
            <wp:extent cx="5806440" cy="2009922"/>
            <wp:docPr id="1" name="Picture 1"/>
            <wp:cNvGraphicFramePr>
              <a:graphicFrameLocks noChangeAspect="1"/>
            </wp:cNvGraphicFramePr>
            <a:graphic>
              <a:graphicData uri="http://schemas.openxmlformats.org/drawingml/2006/picture">
                <pic:pic>
                  <pic:nvPicPr>
                    <pic:cNvPr id="0" name="cubic_full_upright_comparison.png"/>
                    <pic:cNvPicPr/>
                  </pic:nvPicPr>
                  <pic:blipFill>
                    <a:blip r:embed="rId11"/>
                    <a:stretch>
                      <a:fillRect/>
                    </a:stretch>
                  </pic:blipFill>
                  <pic:spPr>
                    <a:xfrm>
                      <a:off x="0" y="0"/>
                      <a:ext cx="5806440" cy="2009922"/>
                    </a:xfrm>
                    <a:prstGeom prst="rect"/>
                  </pic:spPr>
                </pic:pic>
              </a:graphicData>
            </a:graphic>
          </wp:inline>
        </w:drawing>
      </w:r>
    </w:p>
    <w:p>
      <w:pPr>
        <w:spacing w:before="80" w:after="160"/>
        <w:jc w:val="center"/>
      </w:pPr>
      <w:r>
        <w:rPr>
          <w:rFonts w:ascii="Calibri" w:hAnsi="Calibri"/>
          <w:b w:val="0"/>
          <w:i/>
          <w:color w:val="5C6773"/>
          <w:sz w:val="18"/>
        </w:rPr>
        <w:t>Figure 1. Full-upright displacement, apparent stiffness, and estimated mass comparison.</w:t>
      </w:r>
    </w:p>
    <w:p>
      <w:r>
        <w:br w:type="page"/>
      </w:r>
    </w:p>
    <w:p>
      <w:pPr>
        <w:pStyle w:val="Heading1"/>
        <w:keepNext/>
      </w:pPr>
      <w:r>
        <w:rPr>
          <w:rFonts w:ascii="Calibri" w:hAnsi="Calibri"/>
          <w:b/>
          <w:i w:val="0"/>
          <w:color w:val="2E74B5"/>
          <w:sz w:val="32"/>
        </w:rPr>
        <w:t>4. Numerical Verification</w:t>
      </w:r>
    </w:p>
    <w:tbl>
      <w:tblPr>
        <w:tblW w:type="dxa" w:w="9360"/>
        <w:jc w:val="left"/>
        <w:tblLayout w:type="fixed"/>
        <w:tblLook w:firstColumn="1" w:firstRow="1" w:lastColumn="0" w:lastRow="0" w:noHBand="0" w:noVBand="1" w:val="04A0"/>
        <w:tblInd w:w="120" w:type="dxa"/>
      </w:tblPr>
      <w:tblGrid>
        <w:gridCol w:w="2500"/>
        <w:gridCol w:w="2200"/>
        <w:gridCol w:w="2200"/>
        <w:gridCol w:w="2460"/>
      </w:tblGrid>
      <w:tr>
        <w:tc>
          <w:tcPr>
            <w:tcW w:type="dxa" w:w="2500"/>
            <w:shd w:fill="F2F4F7"/>
            <w:vAlign w:val="center"/>
            <w:tcMar>
              <w:top w:w="80" w:type="dxa"/>
              <w:start w:w="120" w:type="dxa"/>
              <w:bottom w:w="80" w:type="dxa"/>
              <w:end w:w="120" w:type="dxa"/>
            </w:tcMar>
          </w:tcPr>
          <w:p>
            <w:pPr>
              <w:jc w:val="center"/>
            </w:pPr>
            <w:r>
              <w:rPr>
                <w:rFonts w:ascii="Calibri" w:hAnsi="Calibri"/>
                <w:b/>
                <w:i w:val="0"/>
                <w:color w:val="172B4D"/>
                <w:sz w:val="19"/>
              </w:rPr>
              <w:t>Case</w:t>
            </w:r>
          </w:p>
        </w:tc>
        <w:tc>
          <w:tcPr>
            <w:tcW w:type="dxa" w:w="2200"/>
            <w:shd w:fill="F2F4F7"/>
            <w:vAlign w:val="center"/>
            <w:tcMar>
              <w:top w:w="80" w:type="dxa"/>
              <w:start w:w="120" w:type="dxa"/>
              <w:bottom w:w="80" w:type="dxa"/>
              <w:end w:w="120" w:type="dxa"/>
            </w:tcMar>
          </w:tcPr>
          <w:p>
            <w:pPr>
              <w:jc w:val="center"/>
            </w:pPr>
            <w:r>
              <w:rPr>
                <w:rFonts w:ascii="Calibri" w:hAnsi="Calibri"/>
                <w:b/>
                <w:i w:val="0"/>
                <w:color w:val="172B4D"/>
                <w:sz w:val="19"/>
              </w:rPr>
              <w:t>Reaction error</w:t>
            </w:r>
          </w:p>
        </w:tc>
        <w:tc>
          <w:tcPr>
            <w:tcW w:type="dxa" w:w="2200"/>
            <w:shd w:fill="F2F4F7"/>
            <w:vAlign w:val="center"/>
            <w:tcMar>
              <w:top w:w="80" w:type="dxa"/>
              <w:start w:w="120" w:type="dxa"/>
              <w:bottom w:w="80" w:type="dxa"/>
              <w:end w:w="120" w:type="dxa"/>
            </w:tcMar>
          </w:tcPr>
          <w:p>
            <w:pPr>
              <w:jc w:val="center"/>
            </w:pPr>
            <w:r>
              <w:rPr>
                <w:rFonts w:ascii="Calibri" w:hAnsi="Calibri"/>
                <w:b/>
                <w:i w:val="0"/>
                <w:color w:val="172B4D"/>
                <w:sz w:val="19"/>
              </w:rPr>
              <w:t>Energy error</w:t>
            </w:r>
          </w:p>
        </w:tc>
        <w:tc>
          <w:tcPr>
            <w:tcW w:type="dxa" w:w="2460"/>
            <w:shd w:fill="F2F4F7"/>
            <w:vAlign w:val="center"/>
            <w:tcMar>
              <w:top w:w="80" w:type="dxa"/>
              <w:start w:w="120" w:type="dxa"/>
              <w:bottom w:w="80" w:type="dxa"/>
              <w:end w:w="120" w:type="dxa"/>
            </w:tcMar>
          </w:tcPr>
          <w:p>
            <w:pPr>
              <w:jc w:val="center"/>
            </w:pPr>
            <w:r>
              <w:rPr>
                <w:rFonts w:ascii="Calibri" w:hAnsi="Calibri"/>
                <w:b/>
                <w:i w:val="0"/>
                <w:color w:val="172B4D"/>
                <w:sz w:val="19"/>
              </w:rPr>
              <w:t>Status</w:t>
            </w:r>
          </w:p>
        </w:tc>
      </w:tr>
      <w:tr>
        <w:tc>
          <w:tcPr>
            <w:tcW w:type="dxa" w:w="2500"/>
            <w:vAlign w:val="center"/>
            <w:tcMar>
              <w:top w:w="80" w:type="dxa"/>
              <w:start w:w="120" w:type="dxa"/>
              <w:bottom w:w="80" w:type="dxa"/>
              <w:end w:w="120" w:type="dxa"/>
            </w:tcMar>
          </w:tcPr>
          <w:p>
            <w:pPr>
              <w:jc w:val="left"/>
            </w:pPr>
            <w:r>
              <w:rPr>
                <w:rFonts w:ascii="Calibri" w:hAnsi="Calibri"/>
                <w:b w:val="0"/>
                <w:i w:val="0"/>
                <w:color w:val="172B4D"/>
                <w:sz w:val="19"/>
              </w:rPr>
              <w:t>Cubic 15%</w:t>
            </w:r>
          </w:p>
        </w:tc>
        <w:tc>
          <w:tcPr>
            <w:tcW w:type="dxa" w:w="2200"/>
            <w:vAlign w:val="center"/>
            <w:tcMar>
              <w:top w:w="80" w:type="dxa"/>
              <w:start w:w="120" w:type="dxa"/>
              <w:bottom w:w="80" w:type="dxa"/>
              <w:end w:w="120" w:type="dxa"/>
            </w:tcMar>
          </w:tcPr>
          <w:p>
            <w:pPr>
              <w:jc w:val="center"/>
            </w:pPr>
            <w:r>
              <w:rPr>
                <w:rFonts w:ascii="Calibri" w:hAnsi="Calibri"/>
                <w:b w:val="0"/>
                <w:i w:val="0"/>
                <w:color w:val="172B4D"/>
                <w:sz w:val="19"/>
              </w:rPr>
              <w:t>6.23e-09</w:t>
            </w:r>
          </w:p>
        </w:tc>
        <w:tc>
          <w:tcPr>
            <w:tcW w:type="dxa" w:w="2200"/>
            <w:vAlign w:val="center"/>
            <w:tcMar>
              <w:top w:w="80" w:type="dxa"/>
              <w:start w:w="120" w:type="dxa"/>
              <w:bottom w:w="80" w:type="dxa"/>
              <w:end w:w="120" w:type="dxa"/>
            </w:tcMar>
          </w:tcPr>
          <w:p>
            <w:pPr>
              <w:jc w:val="center"/>
            </w:pPr>
            <w:r>
              <w:rPr>
                <w:rFonts w:ascii="Calibri" w:hAnsi="Calibri"/>
                <w:b w:val="0"/>
                <w:i w:val="0"/>
                <w:color w:val="172B4D"/>
                <w:sz w:val="19"/>
              </w:rPr>
              <w:t>1.08e-11</w:t>
            </w:r>
          </w:p>
        </w:tc>
        <w:tc>
          <w:tcPr>
            <w:tcW w:type="dxa" w:w="2460"/>
            <w:vAlign w:val="center"/>
            <w:tcMar>
              <w:top w:w="80" w:type="dxa"/>
              <w:start w:w="120" w:type="dxa"/>
              <w:bottom w:w="80" w:type="dxa"/>
              <w:end w:w="120" w:type="dxa"/>
            </w:tcMar>
          </w:tcPr>
          <w:p>
            <w:pPr>
              <w:jc w:val="center"/>
            </w:pPr>
            <w:r>
              <w:rPr>
                <w:rFonts w:ascii="Calibri" w:hAnsi="Calibri"/>
                <w:b/>
                <w:i w:val="0"/>
                <w:color w:val="2F6B4F"/>
                <w:sz w:val="19"/>
              </w:rPr>
              <w:t>PASS</w:t>
            </w:r>
          </w:p>
        </w:tc>
      </w:tr>
      <w:tr>
        <w:tc>
          <w:tcPr>
            <w:tcW w:type="dxa" w:w="2500"/>
            <w:vAlign w:val="center"/>
            <w:tcMar>
              <w:top w:w="80" w:type="dxa"/>
              <w:start w:w="120" w:type="dxa"/>
              <w:bottom w:w="80" w:type="dxa"/>
              <w:end w:w="120" w:type="dxa"/>
            </w:tcMar>
          </w:tcPr>
          <w:p>
            <w:pPr>
              <w:jc w:val="left"/>
            </w:pPr>
            <w:r>
              <w:rPr>
                <w:rFonts w:ascii="Calibri" w:hAnsi="Calibri"/>
                <w:b w:val="0"/>
                <w:i w:val="0"/>
                <w:color w:val="172B4D"/>
                <w:sz w:val="19"/>
              </w:rPr>
              <w:t>Cubic 25%</w:t>
            </w:r>
          </w:p>
        </w:tc>
        <w:tc>
          <w:tcPr>
            <w:tcW w:type="dxa" w:w="2200"/>
            <w:vAlign w:val="center"/>
            <w:tcMar>
              <w:top w:w="80" w:type="dxa"/>
              <w:start w:w="120" w:type="dxa"/>
              <w:bottom w:w="80" w:type="dxa"/>
              <w:end w:w="120" w:type="dxa"/>
            </w:tcMar>
          </w:tcPr>
          <w:p>
            <w:pPr>
              <w:jc w:val="center"/>
            </w:pPr>
            <w:r>
              <w:rPr>
                <w:rFonts w:ascii="Calibri" w:hAnsi="Calibri"/>
                <w:b w:val="0"/>
                <w:i w:val="0"/>
                <w:color w:val="172B4D"/>
                <w:sz w:val="19"/>
              </w:rPr>
              <w:t>8.78e-09</w:t>
            </w:r>
          </w:p>
        </w:tc>
        <w:tc>
          <w:tcPr>
            <w:tcW w:type="dxa" w:w="2200"/>
            <w:vAlign w:val="center"/>
            <w:tcMar>
              <w:top w:w="80" w:type="dxa"/>
              <w:start w:w="120" w:type="dxa"/>
              <w:bottom w:w="80" w:type="dxa"/>
              <w:end w:w="120" w:type="dxa"/>
            </w:tcMar>
          </w:tcPr>
          <w:p>
            <w:pPr>
              <w:jc w:val="center"/>
            </w:pPr>
            <w:r>
              <w:rPr>
                <w:rFonts w:ascii="Calibri" w:hAnsi="Calibri"/>
                <w:b w:val="0"/>
                <w:i w:val="0"/>
                <w:color w:val="172B4D"/>
                <w:sz w:val="19"/>
              </w:rPr>
              <w:t>8.34e-12</w:t>
            </w:r>
          </w:p>
        </w:tc>
        <w:tc>
          <w:tcPr>
            <w:tcW w:type="dxa" w:w="2460"/>
            <w:vAlign w:val="center"/>
            <w:tcMar>
              <w:top w:w="80" w:type="dxa"/>
              <w:start w:w="120" w:type="dxa"/>
              <w:bottom w:w="80" w:type="dxa"/>
              <w:end w:w="120" w:type="dxa"/>
            </w:tcMar>
          </w:tcPr>
          <w:p>
            <w:pPr>
              <w:jc w:val="center"/>
            </w:pPr>
            <w:r>
              <w:rPr>
                <w:rFonts w:ascii="Calibri" w:hAnsi="Calibri"/>
                <w:b/>
                <w:i w:val="0"/>
                <w:color w:val="2F6B4F"/>
                <w:sz w:val="19"/>
              </w:rPr>
              <w:t>PASS</w:t>
            </w:r>
          </w:p>
        </w:tc>
      </w:tr>
      <w:tr>
        <w:tc>
          <w:tcPr>
            <w:tcW w:type="dxa" w:w="2500"/>
            <w:vAlign w:val="center"/>
            <w:tcMar>
              <w:top w:w="80" w:type="dxa"/>
              <w:start w:w="120" w:type="dxa"/>
              <w:bottom w:w="80" w:type="dxa"/>
              <w:end w:w="120" w:type="dxa"/>
            </w:tcMar>
          </w:tcPr>
          <w:p>
            <w:pPr>
              <w:jc w:val="left"/>
            </w:pPr>
            <w:r>
              <w:rPr>
                <w:rFonts w:ascii="Calibri" w:hAnsi="Calibri"/>
                <w:b w:val="0"/>
                <w:i w:val="0"/>
                <w:color w:val="172B4D"/>
                <w:sz w:val="19"/>
              </w:rPr>
              <w:t>Dense 100%</w:t>
            </w:r>
          </w:p>
        </w:tc>
        <w:tc>
          <w:tcPr>
            <w:tcW w:type="dxa" w:w="2200"/>
            <w:vAlign w:val="center"/>
            <w:tcMar>
              <w:top w:w="80" w:type="dxa"/>
              <w:start w:w="120" w:type="dxa"/>
              <w:bottom w:w="80" w:type="dxa"/>
              <w:end w:w="120" w:type="dxa"/>
            </w:tcMar>
          </w:tcPr>
          <w:p>
            <w:pPr>
              <w:jc w:val="center"/>
            </w:pPr>
            <w:r>
              <w:rPr>
                <w:rFonts w:ascii="Calibri" w:hAnsi="Calibri"/>
                <w:b w:val="0"/>
                <w:i w:val="0"/>
                <w:color w:val="172B4D"/>
                <w:sz w:val="19"/>
              </w:rPr>
              <w:t>1.63e-08</w:t>
            </w:r>
          </w:p>
        </w:tc>
        <w:tc>
          <w:tcPr>
            <w:tcW w:type="dxa" w:w="2200"/>
            <w:vAlign w:val="center"/>
            <w:tcMar>
              <w:top w:w="80" w:type="dxa"/>
              <w:start w:w="120" w:type="dxa"/>
              <w:bottom w:w="80" w:type="dxa"/>
              <w:end w:w="120" w:type="dxa"/>
            </w:tcMar>
          </w:tcPr>
          <w:p>
            <w:pPr>
              <w:jc w:val="center"/>
            </w:pPr>
            <w:r>
              <w:rPr>
                <w:rFonts w:ascii="Calibri" w:hAnsi="Calibri"/>
                <w:b w:val="0"/>
                <w:i w:val="0"/>
                <w:color w:val="172B4D"/>
                <w:sz w:val="19"/>
              </w:rPr>
              <w:t>2.43e-11</w:t>
            </w:r>
          </w:p>
        </w:tc>
        <w:tc>
          <w:tcPr>
            <w:tcW w:type="dxa" w:w="2460"/>
            <w:vAlign w:val="center"/>
            <w:tcMar>
              <w:top w:w="80" w:type="dxa"/>
              <w:start w:w="120" w:type="dxa"/>
              <w:bottom w:w="80" w:type="dxa"/>
              <w:end w:w="120" w:type="dxa"/>
            </w:tcMar>
          </w:tcPr>
          <w:p>
            <w:pPr>
              <w:jc w:val="center"/>
            </w:pPr>
            <w:r>
              <w:rPr>
                <w:rFonts w:ascii="Calibri" w:hAnsi="Calibri"/>
                <w:b/>
                <w:i w:val="0"/>
                <w:color w:val="2F6B4F"/>
                <w:sz w:val="19"/>
              </w:rPr>
              <w:t>PASS</w:t>
            </w:r>
          </w:p>
        </w:tc>
      </w:tr>
    </w:tbl>
    <w:p>
      <w:pPr>
        <w:spacing w:before="80" w:after="160"/>
        <w:jc w:val="center"/>
      </w:pPr>
      <w:r>
        <w:rPr>
          <w:rFonts w:ascii="Calibri" w:hAnsi="Calibri"/>
          <w:b w:val="0"/>
          <w:i/>
          <w:color w:val="5C6773"/>
          <w:sz w:val="18"/>
        </w:rPr>
        <w:t>Table 2. Reaction-equilibrium and strain-energy identity checks.</w:t>
      </w:r>
    </w:p>
    <w:p>
      <w:r>
        <w:rPr>
          <w:rFonts w:ascii="Calibri" w:hAnsi="Calibri"/>
          <w:b w:val="0"/>
          <w:i w:val="0"/>
          <w:color w:val="172B4D"/>
          <w:sz w:val="22"/>
        </w:rPr>
        <w:t>All three solvers converged, total vertical reactions reproduce the 100 N applied load, and energy-identity errors are below 2.5e-11. No degenerate tetrahedra were reported.</w:t>
      </w:r>
    </w:p>
    <w:p>
      <w:pPr>
        <w:pStyle w:val="Heading2"/>
        <w:keepNext/>
      </w:pPr>
      <w:r>
        <w:rPr>
          <w:rFonts w:ascii="Calibri" w:hAnsi="Calibri"/>
          <w:b/>
          <w:i w:val="0"/>
          <w:color w:val="2E74B5"/>
          <w:sz w:val="26"/>
        </w:rPr>
        <w:t>4.1 Mesh sensitivity</w:t>
      </w:r>
    </w:p>
    <w:p>
      <w:r>
        <w:rPr>
          <w:rFonts w:ascii="Calibri" w:hAnsi="Calibri"/>
          <w:b w:val="0"/>
          <w:i w:val="0"/>
          <w:color w:val="172B4D"/>
          <w:sz w:val="22"/>
        </w:rPr>
        <w:t>Refining the sparse-case mesh from 3.0 to 2.4 mm changed mean displacement by 3.53% for 15% and 2.29% for 25%. The 15% result is close to, but slightly above, a provisional 3% convergence target.</w:t>
      </w:r>
    </w:p>
    <w:p>
      <w:pPr>
        <w:pStyle w:val="Heading1"/>
        <w:keepNext/>
      </w:pPr>
      <w:r>
        <w:rPr>
          <w:rFonts w:ascii="Calibri" w:hAnsi="Calibri"/>
          <w:b/>
          <w:i w:val="0"/>
          <w:color w:val="2E74B5"/>
          <w:sz w:val="32"/>
        </w:rPr>
        <w:t>5. Engineering Interpretation</w:t>
      </w:r>
    </w:p>
    <w:p>
      <w:r>
        <w:rPr>
          <w:rFonts w:ascii="Calibri" w:hAnsi="Calibri"/>
          <w:b w:val="0"/>
          <w:i w:val="0"/>
          <w:color w:val="172B4D"/>
          <w:sz w:val="22"/>
        </w:rPr>
        <w:t>The 25% case is 16.5% less compliant than the 15% case at the load point. Relative to the dense baseline, mean displacement is 3.14 times higher at 15% and 2.63 times higher at 25%.</w:t>
      </w:r>
    </w:p>
    <w:p>
      <w:r>
        <w:rPr>
          <w:rFonts w:ascii="Calibri" w:hAnsi="Calibri"/>
          <w:b w:val="0"/>
          <w:i w:val="0"/>
          <w:color w:val="172B4D"/>
          <w:sz w:val="22"/>
        </w:rPr>
        <w:t>The estimated mass rises by 6.75 g from 15% to 25%, while apparent stiffness rises by 50.47 N/mm. This quantifies the modeled stiffness-mass tradeoff but does not establish a safe working load.</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40"/>
            </w:pPr>
            <w:r>
              <w:rPr>
                <w:rFonts w:ascii="Calibri" w:hAnsi="Calibri"/>
                <w:b/>
                <w:i w:val="0"/>
                <w:color w:val="7A5A00"/>
                <w:sz w:val="22"/>
              </w:rPr>
              <w:t xml:space="preserve">USE OF RESULTS  </w:t>
            </w:r>
            <w:r>
              <w:rPr>
                <w:rFonts w:ascii="Calibri" w:hAnsi="Calibri"/>
                <w:b w:val="0"/>
                <w:i w:val="0"/>
                <w:color w:val="172B4D"/>
                <w:sz w:val="22"/>
              </w:rPr>
              <w:t>Use displacement and stiffness for comparative screening. Do not use the reported peak von Mises stress as a printed PLA failure criterion.</w:t>
            </w:r>
          </w:p>
        </w:tc>
      </w:tr>
    </w:tbl>
    <w:p>
      <w:pPr>
        <w:spacing w:after="0"/>
      </w:pPr>
    </w:p>
    <w:p>
      <w:r>
        <w:br w:type="page"/>
      </w:r>
    </w:p>
    <w:p>
      <w:pPr>
        <w:pStyle w:val="Heading1"/>
        <w:keepNext/>
      </w:pPr>
      <w:r>
        <w:rPr>
          <w:rFonts w:ascii="Calibri" w:hAnsi="Calibri"/>
          <w:b/>
          <w:i w:val="0"/>
          <w:color w:val="2E74B5"/>
          <w:sz w:val="32"/>
        </w:rPr>
        <w:t>6. Limitations and Required Validation</w:t>
      </w:r>
    </w:p>
    <w:tbl>
      <w:tblPr>
        <w:tblW w:type="dxa" w:w="9360"/>
        <w:jc w:val="left"/>
        <w:tblLayout w:type="fixed"/>
        <w:tblLook w:firstColumn="1" w:firstRow="1" w:lastColumn="0" w:lastRow="0" w:noHBand="0" w:noVBand="1" w:val="04A0"/>
        <w:tblInd w:w="120" w:type="dxa"/>
      </w:tblPr>
      <w:tblGrid>
        <w:gridCol w:w="4200"/>
        <w:gridCol w:w="5160"/>
      </w:tblGrid>
      <w:tr>
        <w:tc>
          <w:tcPr>
            <w:tcW w:type="dxa" w:w="4200"/>
            <w:shd w:fill="F2F4F7"/>
            <w:vAlign w:val="center"/>
            <w:tcMar>
              <w:top w:w="80" w:type="dxa"/>
              <w:start w:w="120" w:type="dxa"/>
              <w:bottom w:w="80" w:type="dxa"/>
              <w:end w:w="120" w:type="dxa"/>
            </w:tcMar>
          </w:tcPr>
          <w:p>
            <w:r>
              <w:rPr>
                <w:rFonts w:ascii="Calibri" w:hAnsi="Calibri"/>
                <w:b/>
                <w:i w:val="0"/>
                <w:color w:val="172B4D"/>
                <w:sz w:val="19"/>
              </w:rPr>
              <w:t>Current limitation</w:t>
            </w:r>
          </w:p>
        </w:tc>
        <w:tc>
          <w:tcPr>
            <w:tcW w:type="dxa" w:w="5160"/>
            <w:shd w:fill="F2F4F7"/>
            <w:vAlign w:val="center"/>
            <w:tcMar>
              <w:top w:w="80" w:type="dxa"/>
              <w:start w:w="120" w:type="dxa"/>
              <w:bottom w:w="80" w:type="dxa"/>
              <w:end w:w="120" w:type="dxa"/>
            </w:tcMar>
          </w:tcPr>
          <w:p>
            <w:r>
              <w:rPr>
                <w:rFonts w:ascii="Calibri" w:hAnsi="Calibri"/>
                <w:b/>
                <w:i w:val="0"/>
                <w:color w:val="172B4D"/>
                <w:sz w:val="19"/>
              </w:rPr>
              <w:t>Required next evidence</w:t>
            </w:r>
          </w:p>
        </w:tc>
      </w:tr>
      <w:tr>
        <w:tc>
          <w:tcPr>
            <w:tcW w:type="dxa" w:w="4200"/>
            <w:vAlign w:val="center"/>
            <w:tcMar>
              <w:top w:w="80" w:type="dxa"/>
              <w:start w:w="120" w:type="dxa"/>
              <w:bottom w:w="80" w:type="dxa"/>
              <w:end w:w="120" w:type="dxa"/>
            </w:tcMar>
          </w:tcPr>
          <w:p>
            <w:r>
              <w:rPr>
                <w:rFonts w:ascii="Calibri" w:hAnsi="Calibri"/>
                <w:b w:val="0"/>
                <w:i w:val="0"/>
                <w:color w:val="172B4D"/>
                <w:sz w:val="19"/>
              </w:rPr>
              <w:t>Homogenized isotropic cubic core</w:t>
            </w:r>
          </w:p>
        </w:tc>
        <w:tc>
          <w:tcPr>
            <w:tcW w:type="dxa" w:w="5160"/>
            <w:vAlign w:val="center"/>
            <w:tcMar>
              <w:top w:w="80" w:type="dxa"/>
              <w:start w:w="120" w:type="dxa"/>
              <w:bottom w:w="80" w:type="dxa"/>
              <w:end w:w="120" w:type="dxa"/>
            </w:tcMar>
          </w:tcPr>
          <w:p>
            <w:r>
              <w:rPr>
                <w:rFonts w:ascii="Calibri" w:hAnsi="Calibri"/>
                <w:b w:val="0"/>
                <w:i w:val="0"/>
                <w:color w:val="172B4D"/>
                <w:sz w:val="19"/>
              </w:rPr>
              <w:t>Printed cubic coupon or RVE elastic calibration</w:t>
            </w:r>
          </w:p>
        </w:tc>
      </w:tr>
      <w:tr>
        <w:tc>
          <w:tcPr>
            <w:tcW w:type="dxa" w:w="4200"/>
            <w:vAlign w:val="center"/>
            <w:tcMar>
              <w:top w:w="80" w:type="dxa"/>
              <w:start w:w="120" w:type="dxa"/>
              <w:bottom w:w="80" w:type="dxa"/>
              <w:end w:w="120" w:type="dxa"/>
            </w:tcMar>
          </w:tcPr>
          <w:p>
            <w:r>
              <w:rPr>
                <w:rFonts w:ascii="Calibri" w:hAnsi="Calibri"/>
                <w:b w:val="0"/>
                <w:i w:val="0"/>
                <w:color w:val="172B4D"/>
                <w:sz w:val="19"/>
              </w:rPr>
              <w:t>No layer-interface failure model</w:t>
            </w:r>
          </w:p>
        </w:tc>
        <w:tc>
          <w:tcPr>
            <w:tcW w:type="dxa" w:w="5160"/>
            <w:vAlign w:val="center"/>
            <w:tcMar>
              <w:top w:w="80" w:type="dxa"/>
              <w:start w:w="120" w:type="dxa"/>
              <w:bottom w:w="80" w:type="dxa"/>
              <w:end w:w="120" w:type="dxa"/>
            </w:tcMar>
          </w:tcPr>
          <w:p>
            <w:r>
              <w:rPr>
                <w:rFonts w:ascii="Calibri" w:hAnsi="Calibri"/>
                <w:b w:val="0"/>
                <w:i w:val="0"/>
                <w:color w:val="172B4D"/>
                <w:sz w:val="19"/>
              </w:rPr>
              <w:t>Upright tensile/shear interface characterization</w:t>
            </w:r>
          </w:p>
        </w:tc>
      </w:tr>
      <w:tr>
        <w:tc>
          <w:tcPr>
            <w:tcW w:type="dxa" w:w="4200"/>
            <w:vAlign w:val="center"/>
            <w:tcMar>
              <w:top w:w="80" w:type="dxa"/>
              <w:start w:w="120" w:type="dxa"/>
              <w:bottom w:w="80" w:type="dxa"/>
              <w:end w:w="120" w:type="dxa"/>
            </w:tcMar>
          </w:tcPr>
          <w:p>
            <w:r>
              <w:rPr>
                <w:rFonts w:ascii="Calibri" w:hAnsi="Calibri"/>
                <w:b w:val="0"/>
                <w:i w:val="0"/>
                <w:color w:val="172B4D"/>
                <w:sz w:val="19"/>
              </w:rPr>
              <w:t>Linear-elastic small strain</w:t>
            </w:r>
          </w:p>
        </w:tc>
        <w:tc>
          <w:tcPr>
            <w:tcW w:type="dxa" w:w="5160"/>
            <w:vAlign w:val="center"/>
            <w:tcMar>
              <w:top w:w="80" w:type="dxa"/>
              <w:start w:w="120" w:type="dxa"/>
              <w:bottom w:w="80" w:type="dxa"/>
              <w:end w:w="120" w:type="dxa"/>
            </w:tcMar>
          </w:tcPr>
          <w:p>
            <w:r>
              <w:rPr>
                <w:rFonts w:ascii="Calibri" w:hAnsi="Calibri"/>
                <w:b w:val="0"/>
                <w:i w:val="0"/>
                <w:color w:val="172B4D"/>
                <w:sz w:val="19"/>
              </w:rPr>
              <w:t>Physical three-point bending load-displacement test</w:t>
            </w:r>
          </w:p>
        </w:tc>
      </w:tr>
      <w:tr>
        <w:tc>
          <w:tcPr>
            <w:tcW w:type="dxa" w:w="4200"/>
            <w:vAlign w:val="center"/>
            <w:tcMar>
              <w:top w:w="80" w:type="dxa"/>
              <w:start w:w="120" w:type="dxa"/>
              <w:bottom w:w="80" w:type="dxa"/>
              <w:end w:w="120" w:type="dxa"/>
            </w:tcMar>
          </w:tcPr>
          <w:p>
            <w:r>
              <w:rPr>
                <w:rFonts w:ascii="Calibri" w:hAnsi="Calibri"/>
                <w:b w:val="0"/>
                <w:i w:val="0"/>
                <w:color w:val="172B4D"/>
                <w:sz w:val="19"/>
              </w:rPr>
              <w:t>Mesh-sensitive local stress</w:t>
            </w:r>
          </w:p>
        </w:tc>
        <w:tc>
          <w:tcPr>
            <w:tcW w:type="dxa" w:w="5160"/>
            <w:vAlign w:val="center"/>
            <w:tcMar>
              <w:top w:w="80" w:type="dxa"/>
              <w:start w:w="120" w:type="dxa"/>
              <w:bottom w:w="80" w:type="dxa"/>
              <w:end w:w="120" w:type="dxa"/>
            </w:tcMar>
          </w:tcPr>
          <w:p>
            <w:r>
              <w:rPr>
                <w:rFonts w:ascii="Calibri" w:hAnsi="Calibri"/>
                <w:b w:val="0"/>
                <w:i w:val="0"/>
                <w:color w:val="172B4D"/>
                <w:sz w:val="19"/>
              </w:rPr>
              <w:t>Local refinement and stress-convergence study</w:t>
            </w:r>
          </w:p>
        </w:tc>
      </w:tr>
      <w:tr>
        <w:tc>
          <w:tcPr>
            <w:tcW w:type="dxa" w:w="4200"/>
            <w:vAlign w:val="center"/>
            <w:tcMar>
              <w:top w:w="80" w:type="dxa"/>
              <w:start w:w="120" w:type="dxa"/>
              <w:bottom w:w="80" w:type="dxa"/>
              <w:end w:w="120" w:type="dxa"/>
            </w:tcMar>
          </w:tcPr>
          <w:p>
            <w:r>
              <w:rPr>
                <w:rFonts w:ascii="Calibri" w:hAnsi="Calibri"/>
                <w:b w:val="0"/>
                <w:i w:val="0"/>
                <w:color w:val="172B4D"/>
                <w:sz w:val="19"/>
              </w:rPr>
              <w:t>No print defects or porosity</w:t>
            </w:r>
          </w:p>
        </w:tc>
        <w:tc>
          <w:tcPr>
            <w:tcW w:type="dxa" w:w="5160"/>
            <w:vAlign w:val="center"/>
            <w:tcMar>
              <w:top w:w="80" w:type="dxa"/>
              <w:start w:w="120" w:type="dxa"/>
              <w:bottom w:w="80" w:type="dxa"/>
              <w:end w:w="120" w:type="dxa"/>
            </w:tcMar>
          </w:tcPr>
          <w:p>
            <w:r>
              <w:rPr>
                <w:rFonts w:ascii="Calibri" w:hAnsi="Calibri"/>
                <w:b w:val="0"/>
                <w:i w:val="0"/>
                <w:color w:val="172B4D"/>
                <w:sz w:val="19"/>
              </w:rPr>
              <w:t>Measured specimen mass, microscopy, and process record</w:t>
            </w:r>
          </w:p>
        </w:tc>
      </w:tr>
    </w:tbl>
    <w:p>
      <w:pPr>
        <w:pStyle w:val="Heading1"/>
        <w:keepNext/>
      </w:pPr>
      <w:r>
        <w:rPr>
          <w:rFonts w:ascii="Calibri" w:hAnsi="Calibri"/>
          <w:b/>
          <w:i w:val="0"/>
          <w:color w:val="2E74B5"/>
          <w:sz w:val="32"/>
        </w:rPr>
        <w:t>7. Conclusion</w:t>
      </w:r>
    </w:p>
    <w:p>
      <w:r>
        <w:rPr>
          <w:rFonts w:ascii="Calibri" w:hAnsi="Calibri"/>
          <w:b w:val="0"/>
          <w:i w:val="0"/>
          <w:color w:val="172B4D"/>
          <w:sz w:val="22"/>
        </w:rPr>
        <w:t>Under the stated shell/core assumptions, cubic 25% provides a measurable stiffness improvement over cubic 15% while retaining less than half the estimated mass of the dense beam. The dense 100% beam remains substantially stiffer. Numerical balance checks pass for all accepted cases, supporting their use for comparative FEM screening.</w:t>
      </w:r>
    </w:p>
    <w:p>
      <w:r>
        <w:rPr>
          <w:rFonts w:ascii="Calibri" w:hAnsi="Calibri"/>
          <w:b w:val="0"/>
          <w:i w:val="0"/>
          <w:color w:val="172B4D"/>
          <w:sz w:val="22"/>
        </w:rPr>
        <w:t>The next defensible step is experimental calibration using full upright printed specimens with recorded slicer settings, measured mass, and three-point bending load-displacement data.</w:t>
      </w:r>
    </w:p>
    <w:p>
      <w:pPr>
        <w:pStyle w:val="Heading1"/>
        <w:keepNext/>
      </w:pPr>
      <w:r>
        <w:rPr>
          <w:rFonts w:ascii="Calibri" w:hAnsi="Calibri"/>
          <w:b/>
          <w:i w:val="0"/>
          <w:color w:val="2E74B5"/>
          <w:sz w:val="32"/>
        </w:rPr>
        <w:t>8. Reproducibility</w:t>
      </w:r>
    </w:p>
    <w:tbl>
      <w:tblPr>
        <w:tblW w:type="dxa" w:w="9360"/>
        <w:jc w:val="left"/>
        <w:tblLayout w:type="fixed"/>
        <w:tblLook w:firstColumn="1" w:firstRow="1" w:lastColumn="0" w:lastRow="0" w:noHBand="0" w:noVBand="1" w:val="04A0"/>
        <w:tblInd w:w="120" w:type="dxa"/>
      </w:tblPr>
      <w:tblGrid>
        <w:gridCol w:w="2200"/>
        <w:gridCol w:w="7160"/>
      </w:tblGrid>
      <w:tr>
        <w:tc>
          <w:tcPr>
            <w:tcW w:type="dxa" w:w="2200"/>
            <w:shd w:fill="F2F4F7"/>
            <w:vAlign w:val="center"/>
            <w:tcMar>
              <w:top w:w="80" w:type="dxa"/>
              <w:start w:w="120" w:type="dxa"/>
              <w:bottom w:w="80" w:type="dxa"/>
              <w:end w:w="120" w:type="dxa"/>
            </w:tcMar>
          </w:tcPr>
          <w:p>
            <w:r>
              <w:rPr>
                <w:rFonts w:ascii="Calibri" w:hAnsi="Calibri"/>
                <w:b/>
                <w:i w:val="0"/>
                <w:color w:val="172B4D"/>
                <w:sz w:val="19"/>
              </w:rPr>
              <w:t>Solver</w:t>
            </w:r>
          </w:p>
        </w:tc>
        <w:tc>
          <w:tcPr>
            <w:tcW w:type="dxa" w:w="7160"/>
            <w:vAlign w:val="center"/>
            <w:tcMar>
              <w:top w:w="80" w:type="dxa"/>
              <w:start w:w="120" w:type="dxa"/>
              <w:bottom w:w="80" w:type="dxa"/>
              <w:end w:w="120" w:type="dxa"/>
            </w:tcMar>
          </w:tcPr>
          <w:p>
            <w:r>
              <w:rPr>
                <w:rFonts w:ascii="Calibri" w:hAnsi="Calibri"/>
                <w:b w:val="0"/>
                <w:i w:val="0"/>
                <w:color w:val="172B4D"/>
                <w:sz w:val="19"/>
              </w:rPr>
              <w:t>src/fem/mbb_3d_cubic_shell_core.py</w:t>
            </w:r>
          </w:p>
        </w:tc>
      </w:tr>
      <w:tr>
        <w:tc>
          <w:tcPr>
            <w:tcW w:type="dxa" w:w="2200"/>
            <w:shd w:fill="F2F4F7"/>
            <w:vAlign w:val="center"/>
            <w:tcMar>
              <w:top w:w="80" w:type="dxa"/>
              <w:start w:w="120" w:type="dxa"/>
              <w:bottom w:w="80" w:type="dxa"/>
              <w:end w:w="120" w:type="dxa"/>
            </w:tcMar>
          </w:tcPr>
          <w:p>
            <w:r>
              <w:rPr>
                <w:rFonts w:ascii="Calibri" w:hAnsi="Calibri"/>
                <w:b/>
                <w:i w:val="0"/>
                <w:color w:val="172B4D"/>
                <w:sz w:val="19"/>
              </w:rPr>
              <w:t>Dense baseline</w:t>
            </w:r>
          </w:p>
        </w:tc>
        <w:tc>
          <w:tcPr>
            <w:tcW w:type="dxa" w:w="7160"/>
            <w:vAlign w:val="center"/>
            <w:tcMar>
              <w:top w:w="80" w:type="dxa"/>
              <w:start w:w="120" w:type="dxa"/>
              <w:bottom w:w="80" w:type="dxa"/>
              <w:end w:w="120" w:type="dxa"/>
            </w:tcMar>
          </w:tcPr>
          <w:p>
            <w:r>
              <w:rPr>
                <w:rFonts w:ascii="Calibri" w:hAnsi="Calibri"/>
                <w:b w:val="0"/>
                <w:i w:val="0"/>
                <w:color w:val="172B4D"/>
                <w:sz w:val="19"/>
              </w:rPr>
              <w:t>src/fem/mbb_3d_dolfinx.py</w:t>
            </w:r>
          </w:p>
        </w:tc>
      </w:tr>
      <w:tr>
        <w:tc>
          <w:tcPr>
            <w:tcW w:type="dxa" w:w="2200"/>
            <w:shd w:fill="F2F4F7"/>
            <w:vAlign w:val="center"/>
            <w:tcMar>
              <w:top w:w="80" w:type="dxa"/>
              <w:start w:w="120" w:type="dxa"/>
              <w:bottom w:w="80" w:type="dxa"/>
              <w:end w:w="120" w:type="dxa"/>
            </w:tcMar>
          </w:tcPr>
          <w:p>
            <w:r>
              <w:rPr>
                <w:rFonts w:ascii="Calibri" w:hAnsi="Calibri"/>
                <w:b/>
                <w:i w:val="0"/>
                <w:color w:val="172B4D"/>
                <w:sz w:val="19"/>
              </w:rPr>
              <w:t>G-code inspector</w:t>
            </w:r>
          </w:p>
        </w:tc>
        <w:tc>
          <w:tcPr>
            <w:tcW w:type="dxa" w:w="7160"/>
            <w:vAlign w:val="center"/>
            <w:tcMar>
              <w:top w:w="80" w:type="dxa"/>
              <w:start w:w="120" w:type="dxa"/>
              <w:bottom w:w="80" w:type="dxa"/>
              <w:end w:w="120" w:type="dxa"/>
            </w:tcMar>
          </w:tcPr>
          <w:p>
            <w:r>
              <w:rPr>
                <w:rFonts w:ascii="Calibri" w:hAnsi="Calibri"/>
                <w:b w:val="0"/>
                <w:i w:val="0"/>
                <w:color w:val="172B4D"/>
                <w:sz w:val="19"/>
              </w:rPr>
              <w:t>src/validation/inspect_cubic_gcode_3mf.py</w:t>
            </w:r>
          </w:p>
        </w:tc>
      </w:tr>
      <w:tr>
        <w:tc>
          <w:tcPr>
            <w:tcW w:type="dxa" w:w="2200"/>
            <w:shd w:fill="F2F4F7"/>
            <w:vAlign w:val="center"/>
            <w:tcMar>
              <w:top w:w="80" w:type="dxa"/>
              <w:start w:w="120" w:type="dxa"/>
              <w:bottom w:w="80" w:type="dxa"/>
              <w:end w:w="120" w:type="dxa"/>
            </w:tcMar>
          </w:tcPr>
          <w:p>
            <w:r>
              <w:rPr>
                <w:rFonts w:ascii="Calibri" w:hAnsi="Calibri"/>
                <w:b/>
                <w:i w:val="0"/>
                <w:color w:val="172B4D"/>
                <w:sz w:val="19"/>
              </w:rPr>
              <w:t>Comparison data</w:t>
            </w:r>
          </w:p>
        </w:tc>
        <w:tc>
          <w:tcPr>
            <w:tcW w:type="dxa" w:w="7160"/>
            <w:vAlign w:val="center"/>
            <w:tcMar>
              <w:top w:w="80" w:type="dxa"/>
              <w:start w:w="120" w:type="dxa"/>
              <w:bottom w:w="80" w:type="dxa"/>
              <w:end w:w="120" w:type="dxa"/>
            </w:tcMar>
          </w:tcPr>
          <w:p>
            <w:r>
              <w:rPr>
                <w:rFonts w:ascii="Calibri" w:hAnsi="Calibri"/>
                <w:b w:val="0"/>
                <w:i w:val="0"/>
                <w:color w:val="172B4D"/>
                <w:sz w:val="19"/>
              </w:rPr>
              <w:t>outputs/fem/cubic_full_upright_comparison/comparison.json</w:t>
            </w:r>
          </w:p>
        </w:tc>
      </w:tr>
      <w:tr>
        <w:tc>
          <w:tcPr>
            <w:tcW w:type="dxa" w:w="2200"/>
            <w:shd w:fill="F2F4F7"/>
            <w:vAlign w:val="center"/>
            <w:tcMar>
              <w:top w:w="80" w:type="dxa"/>
              <w:start w:w="120" w:type="dxa"/>
              <w:bottom w:w="80" w:type="dxa"/>
              <w:end w:w="120" w:type="dxa"/>
            </w:tcMar>
          </w:tcPr>
          <w:p>
            <w:r>
              <w:rPr>
                <w:rFonts w:ascii="Calibri" w:hAnsi="Calibri"/>
                <w:b/>
                <w:i w:val="0"/>
                <w:color w:val="172B4D"/>
                <w:sz w:val="19"/>
              </w:rPr>
              <w:t>Detailed validation</w:t>
            </w:r>
          </w:p>
        </w:tc>
        <w:tc>
          <w:tcPr>
            <w:tcW w:type="dxa" w:w="7160"/>
            <w:vAlign w:val="center"/>
            <w:tcMar>
              <w:top w:w="80" w:type="dxa"/>
              <w:start w:w="120" w:type="dxa"/>
              <w:bottom w:w="80" w:type="dxa"/>
              <w:end w:w="120" w:type="dxa"/>
            </w:tcMar>
          </w:tcPr>
          <w:p>
            <w:r>
              <w:rPr>
                <w:rFonts w:ascii="Calibri" w:hAnsi="Calibri"/>
                <w:b w:val="0"/>
                <w:i w:val="0"/>
                <w:color w:val="172B4D"/>
                <w:sz w:val="19"/>
              </w:rPr>
              <w:t>outputs/fem/cubic_full_upright_comparison/validation.md</w:t>
            </w:r>
          </w:p>
        </w:tc>
      </w:tr>
    </w:tbl>
    <w:p>
      <w:pPr>
        <w:pStyle w:val="Heading1"/>
        <w:keepNext/>
      </w:pPr>
      <w:r>
        <w:rPr>
          <w:rFonts w:ascii="Calibri" w:hAnsi="Calibri"/>
          <w:b/>
          <w:i w:val="0"/>
          <w:color w:val="2E74B5"/>
          <w:sz w:val="32"/>
        </w:rPr>
        <w:t>References</w:t>
      </w:r>
    </w:p>
    <w:p>
      <w:pPr>
        <w:ind w:left="360" w:hanging="360"/>
      </w:pPr>
      <w:r>
        <w:rPr>
          <w:rFonts w:ascii="Calibri" w:hAnsi="Calibri"/>
          <w:b w:val="0"/>
          <w:i w:val="0"/>
          <w:color w:val="172B4D"/>
          <w:sz w:val="19"/>
        </w:rPr>
        <w:t>1. DOLFINx documentation. https://docs.fenicsproject.org/dolfinx/main/python/</w:t>
      </w:r>
    </w:p>
    <w:p>
      <w:pPr>
        <w:ind w:left="360" w:hanging="360"/>
      </w:pPr>
      <w:r>
        <w:rPr>
          <w:rFonts w:ascii="Calibri" w:hAnsi="Calibri"/>
          <w:b w:val="0"/>
          <w:i w:val="0"/>
          <w:color w:val="172B4D"/>
          <w:sz w:val="19"/>
        </w:rPr>
        <w:t>2. Wu, J., Clausen, A., and Sigmund, O. (2017). Minimum compliance topology optimization of shell-infill composites for additive manufacturing. Computer Methods in Applied Mechanics and Engineering, 326, 358-375. https://doi.org/10.1016/j.cma.2017.08.018</w:t>
      </w:r>
    </w:p>
    <w:p>
      <w:pPr>
        <w:ind w:left="360" w:hanging="360"/>
      </w:pPr>
      <w:r>
        <w:rPr>
          <w:rFonts w:ascii="Calibri" w:hAnsi="Calibri"/>
          <w:b w:val="0"/>
          <w:i w:val="0"/>
          <w:color w:val="172B4D"/>
          <w:sz w:val="19"/>
        </w:rPr>
        <w:t>3. Project G-code validation and FEM result artifacts listed in Section 8.</w:t>
      </w:r>
    </w:p>
    <w:sectPr w:rsidR="00FC693F" w:rsidRPr="0006063C" w:rsidSect="00034616">
      <w:headerReference w:type="default" r:id="rId9"/>
      <w:footerReference w:type="default" r:id="rId10"/>
      <w:pgSz w:w="12240" w:h="15840"/>
      <w:pgMar w:top="1152"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C6773"/>
        <w:sz w:val="18"/>
      </w:rPr>
      <w:t>CM-ITAD Lab | SURE Program, Alfaisal University</w:t>
    </w:r>
    <w:r>
      <w:tab/>
    </w:r>
    <w:r>
      <w:rPr>
        <w:rFonts w:ascii="Calibri" w:hAnsi="Calibri"/>
        <w:b w:val="0"/>
        <w:i w:val="0"/>
        <w:color w:val="5C6773"/>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C6773"/>
        <w:sz w:val="18"/>
      </w:rPr>
      <w:t>MBB 3DP FEM | Technical Validation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B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Full-Upright MBB Beam: Cubic Infill FEM Report</dc:title>
  <dc:subject>True 3D FEM comparison of cubic 15%, cubic 25%, and dense 100% MBB beams</dc:subject>
  <dc:creator>MBB 3DP FEM Project, CM-ITAD Lab</dc:creator>
  <cp:keywords>MBB, FEM, DOLFINx, cubic infill, FDM, Alfaisal University</cp:keywords>
  <dc:description>generated by python-docx</dc:description>
  <cp:lastModifiedBy/>
  <cp:revision>1</cp:revision>
  <dcterms:created xsi:type="dcterms:W3CDTF">2013-12-23T23:15:00Z</dcterms:created>
  <dcterms:modified xsi:type="dcterms:W3CDTF">2013-12-23T23:15:00Z</dcterms:modified>
  <cp:category/>
</cp:coreProperties>
</file>