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8FDDC">
      <w:pPr>
        <w:spacing w:before="2200"/>
      </w:pPr>
    </w:p>
    <w:p w14:paraId="7720AFF8">
      <w:pPr>
        <w:spacing w:after="80"/>
        <w:jc w:val="left"/>
      </w:pPr>
      <w:r>
        <w:rPr>
          <w:b/>
          <w:bCs/>
          <w:color w:val="0F6B5C"/>
          <w:spacing w:val="20"/>
          <w:sz w:val="22"/>
          <w:szCs w:val="22"/>
        </w:rPr>
        <w:t>DATA PLATFORM ARCHITECTURE STRATEGY</w:t>
      </w:r>
    </w:p>
    <w:p w14:paraId="5C2F1C3F">
      <w:pPr>
        <w:spacing w:after="240"/>
      </w:pPr>
      <w:r>
        <w:rPr>
          <w:b/>
          <w:bCs/>
          <w:color w:val="1B2A4A"/>
          <w:sz w:val="44"/>
          <w:szCs w:val="44"/>
        </w:rPr>
        <w:t>Transformation, Platform &amp; Ingestion Layer Decision Document</w:t>
      </w:r>
    </w:p>
    <w:p w14:paraId="20BE819E">
      <w:pPr>
        <w:spacing w:after="60"/>
      </w:pPr>
      <w:r>
        <w:rPr>
          <w:color w:val="3B5372"/>
          <w:sz w:val="22"/>
          <w:szCs w:val="22"/>
        </w:rPr>
        <w:t>dbt vs. Databricks-Native (Lakeflow)  ·  Snowflake vs. Databricks  ·  Fivetran vs. Meltano vs. Lakeflow Connect</w:t>
      </w:r>
    </w:p>
    <w:p w14:paraId="601038D4">
      <w:pPr>
        <w:spacing w:before="800" w:after="40"/>
      </w:pPr>
      <w:r>
        <w:rPr>
          <w:color w:val="5B6B7A"/>
          <w:sz w:val="20"/>
          <w:szCs w:val="20"/>
        </w:rPr>
        <w:t>Prepared for: Data Engineering &amp; Platform Leadership</w:t>
      </w:r>
    </w:p>
    <w:p w14:paraId="2DA8DBE2">
      <w:pPr>
        <w:spacing w:after="40"/>
      </w:pPr>
      <w:r>
        <w:rPr>
          <w:color w:val="5B6B7A"/>
          <w:sz w:val="20"/>
          <w:szCs w:val="20"/>
        </w:rPr>
        <w:t>Prepared by: Data Engineering — Architecture Review</w:t>
      </w:r>
    </w:p>
    <w:p w14:paraId="0FDB78FB">
      <w:pPr>
        <w:spacing w:after="40"/>
      </w:pPr>
      <w:r>
        <w:rPr>
          <w:color w:val="5B6B7A"/>
          <w:sz w:val="20"/>
          <w:szCs w:val="20"/>
        </w:rPr>
        <w:t>Date: July 2026</w:t>
      </w:r>
    </w:p>
    <w:p w14:paraId="218E0E88">
      <w:pPr>
        <w:spacing w:after="40"/>
      </w:pPr>
      <w:r>
        <w:rPr>
          <w:color w:val="5B6B7A"/>
          <w:sz w:val="20"/>
          <w:szCs w:val="20"/>
        </w:rPr>
        <w:t>Classification: Internal — Architecture Review</w:t>
      </w:r>
    </w:p>
    <w:p w14:paraId="68D3E091">
      <w:r>
        <w:br w:type="page"/>
      </w:r>
    </w:p>
    <w:sdt>
      <w:sdtPr>
        <w:alias w:val="Table of Contents"/>
        <w:id w:val="147456437"/>
      </w:sdtPr>
      <w:sdtContent>
        <w:p w14:paraId="208FEF1E">
          <w:r>
            <w:fldChar w:fldCharType="begin"/>
          </w:r>
          <w:r>
            <w:instrText xml:space="preserve">TOC \h \o "1-3"</w:instrText>
          </w:r>
          <w:r>
            <w:fldChar w:fldCharType="separate"/>
          </w:r>
        </w:p>
        <w:p w14:paraId="137816A1">
          <w:r>
            <w:fldChar w:fldCharType="end"/>
          </w:r>
        </w:p>
      </w:sdtContent>
    </w:sdt>
    <w:p w14:paraId="232DD565">
      <w:pPr>
        <w:pStyle w:val="2"/>
        <w:pBdr>
          <w:bottom w:val="single" w:color="D8DEE4" w:sz="4" w:space="6"/>
        </w:pBdr>
        <w:spacing w:before="480" w:after="200"/>
      </w:pPr>
      <w:r>
        <w:rPr>
          <w:b/>
          <w:bCs/>
          <w:color w:val="1B2A4A"/>
          <w:sz w:val="30"/>
          <w:szCs w:val="30"/>
        </w:rPr>
        <w:t>Executive Summary</w:t>
      </w:r>
    </w:p>
    <w:p w14:paraId="1885B512">
      <w:pPr>
        <w:spacing w:after="160" w:line="300" w:lineRule="auto"/>
      </w:pPr>
      <w:r>
        <w:rPr>
          <w:b w:val="0"/>
          <w:bCs w:val="0"/>
          <w:i w:val="0"/>
          <w:iCs w:val="0"/>
          <w:color w:val="222222"/>
          <w:sz w:val="21"/>
          <w:szCs w:val="21"/>
        </w:rPr>
        <w:t>This document consolidates three related architecture evaluations conducted for the data platform: (1) the transformation layer strategy comparing dbt against Databricks-native Lakeflow, (2) the broader platform strategy comparing Snowflake and Databricks, and (3) a supporting ingestion-layer analysis comparing Fivetran, Meltano, and Databricks Lakeflow Connect. It is intended as a single reference for platform and data engineering leadership to align on architecture direction across all three layers of the pipeline.</w:t>
      </w:r>
    </w:p>
    <w:p w14:paraId="48F23CC7">
      <w:pPr>
        <w:spacing w:after="160" w:line="300" w:lineRule="auto"/>
      </w:pPr>
      <w:r>
        <w:rPr>
          <w:b w:val="0"/>
          <w:bCs w:val="0"/>
          <w:i w:val="0"/>
          <w:iCs w:val="0"/>
          <w:color w:val="222222"/>
          <w:sz w:val="21"/>
          <w:szCs w:val="21"/>
        </w:rPr>
        <w:t>The organization is mid-adoption of Databricks and is standardizing on it for ingestion. Lakeflow (formerly Delta Live Tables) has shipped substantial native transformation capability through 2026 that did not exist a year ago, which materially changes the calculus for where dbt still earns its place. The recommendations below reflect that current state, not the state of the tooling a year ago.</w:t>
      </w:r>
    </w:p>
    <w:p w14:paraId="2C648160">
      <w:pPr>
        <w:pStyle w:val="4"/>
        <w:spacing w:before="220" w:after="100"/>
      </w:pPr>
      <w:r>
        <w:rPr>
          <w:b/>
          <w:bCs/>
          <w:color w:val="0F6B5C"/>
          <w:sz w:val="21"/>
          <w:szCs w:val="21"/>
        </w:rPr>
        <w:t>Consolidated Recommendations</w:t>
      </w:r>
    </w:p>
    <w:p w14:paraId="690B09FA">
      <w:pPr>
        <w:pStyle w:val="16"/>
        <w:numPr>
          <w:ilvl w:val="0"/>
          <w:numId w:val="1"/>
        </w:numPr>
        <w:spacing w:after="90" w:line="280" w:lineRule="auto"/>
      </w:pPr>
      <w:r>
        <w:rPr>
          <w:b/>
          <w:bCs/>
          <w:color w:val="1B2A4A"/>
          <w:sz w:val="21"/>
          <w:szCs w:val="21"/>
        </w:rPr>
        <w:t xml:space="preserve">Transformation layer: </w:t>
      </w:r>
      <w:r>
        <w:rPr>
          <w:color w:val="222222"/>
          <w:sz w:val="21"/>
          <w:szCs w:val="21"/>
        </w:rPr>
        <w:t>Adopt a hybrid ownership model — Lakeflow owns bronze → silver (ingestion, streaming, incremental processing, inline quality gates); dbt owns silver → gold (business logic, testing, semantic layer) via the dbt-databricks adapter with Unity Catalog.</w:t>
      </w:r>
    </w:p>
    <w:p w14:paraId="076AED83">
      <w:pPr>
        <w:pStyle w:val="16"/>
        <w:numPr>
          <w:ilvl w:val="0"/>
          <w:numId w:val="1"/>
        </w:numPr>
        <w:spacing w:after="90" w:line="280" w:lineRule="auto"/>
      </w:pPr>
      <w:r>
        <w:rPr>
          <w:b/>
          <w:bCs/>
          <w:color w:val="1B2A4A"/>
          <w:sz w:val="21"/>
          <w:szCs w:val="21"/>
        </w:rPr>
        <w:t xml:space="preserve">Platform layer: </w:t>
      </w:r>
      <w:r>
        <w:rPr>
          <w:color w:val="222222"/>
          <w:sz w:val="21"/>
          <w:szCs w:val="21"/>
        </w:rPr>
        <w:t>Continue a hybrid platform strategy where Databricks is the system of record for engineering, ML, and streaming workloads, and Snowflake (where already present) is scoped to analyst-facing BI and reporting. Revisit as Databricks-native SQL/BI tooling matures.</w:t>
      </w:r>
    </w:p>
    <w:p w14:paraId="401D944A">
      <w:pPr>
        <w:pStyle w:val="16"/>
        <w:numPr>
          <w:ilvl w:val="0"/>
          <w:numId w:val="1"/>
        </w:numPr>
        <w:spacing w:after="90" w:line="280" w:lineRule="auto"/>
      </w:pPr>
      <w:r>
        <w:rPr>
          <w:b/>
          <w:bCs/>
          <w:color w:val="1B2A4A"/>
          <w:sz w:val="21"/>
          <w:szCs w:val="21"/>
        </w:rPr>
        <w:t xml:space="preserve">Ingestion layer: </w:t>
      </w:r>
      <w:r>
        <w:rPr>
          <w:color w:val="222222"/>
          <w:sz w:val="21"/>
          <w:szCs w:val="21"/>
        </w:rPr>
        <w:t>Prioritize Lakeflow Connect for any source it covers — it is native to Unity Catalog, serverless, and materially cheaper than Fivetran for equivalent workloads. Use Fivetran as a gap-filler for sources Lakeflow Connect does not yet support. Adopt Meltano only if the team has spare engineering capacity and a specific need — such as avoiding vendor lock-in or supporting a Singer-only source — that neither of the other two options meets.</w:t>
      </w:r>
    </w:p>
    <w:p w14:paraId="562DC592">
      <w:pPr>
        <w:pStyle w:val="16"/>
        <w:numPr>
          <w:ilvl w:val="0"/>
          <w:numId w:val="1"/>
        </w:numPr>
        <w:spacing w:after="90" w:line="280" w:lineRule="auto"/>
      </w:pPr>
      <w:r>
        <w:rPr>
          <w:b/>
          <w:bCs/>
          <w:color w:val="1B2A4A"/>
          <w:sz w:val="21"/>
          <w:szCs w:val="21"/>
        </w:rPr>
        <w:t xml:space="preserve">Persona-level tooling: </w:t>
      </w:r>
      <w:r>
        <w:rPr>
          <w:color w:val="222222"/>
          <w:sz w:val="21"/>
          <w:szCs w:val="21"/>
        </w:rPr>
        <w:t>Beyond the core transformation/ingestion/orchestration spine, standardize each persona's toolset — SDP, Lakeflow Jobs, and Genie Code for data engineers; Databricks SQL, Genie, and AI/BI Dashboards for analysts; Feature Store, MLflow, and Model Serving for ML/feature engineers — as detailed in Section 4, alongside the reference architecture and per-component limitations.</w:t>
      </w:r>
    </w:p>
    <w:p w14:paraId="6F8E4353">
      <w:pPr>
        <w:spacing w:after="80"/>
      </w:pPr>
    </w:p>
    <w:tbl>
      <w:tblPr>
        <w:tblStyle w:val="9"/>
        <w:tblW w:w="5000" w:type="pct"/>
        <w:tblInd w:w="0" w:type="dxa"/>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02D422C5">
        <w:tblPrEx>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5F7"/>
            <w:tcMar>
              <w:top w:w="160" w:type="dxa"/>
              <w:left w:w="200" w:type="dxa"/>
              <w:bottom w:w="160" w:type="dxa"/>
              <w:right w:w="200" w:type="dxa"/>
            </w:tcMar>
          </w:tcPr>
          <w:p w14:paraId="5480AC27">
            <w:pPr>
              <w:spacing w:after="60"/>
            </w:pPr>
            <w:r>
              <w:rPr>
                <w:b/>
                <w:bCs/>
                <w:color w:val="1B2A4A"/>
                <w:sz w:val="20"/>
                <w:szCs w:val="20"/>
              </w:rPr>
              <w:t>Bottom line</w:t>
            </w:r>
          </w:p>
          <w:p w14:paraId="46BD96E8">
            <w:pPr>
              <w:spacing w:after="0" w:line="280" w:lineRule="auto"/>
            </w:pPr>
            <w:r>
              <w:rPr>
                <w:color w:val="222222"/>
                <w:sz w:val="20"/>
                <w:szCs w:val="20"/>
              </w:rPr>
              <w:t>None of these tools are wrong in isolation — each is incomplete for what the platform now does natively in at least one dimension. The right architecture uses each tool where it demonstrably wins, and revisits the split on a fixed cadence as Databricks continues to close functional gaps.</w:t>
            </w:r>
          </w:p>
        </w:tc>
      </w:tr>
    </w:tbl>
    <w:p w14:paraId="2F84DA31">
      <w:r>
        <w:br w:type="page"/>
      </w:r>
    </w:p>
    <w:p w14:paraId="0D460B3A">
      <w:pPr>
        <w:pStyle w:val="2"/>
        <w:pBdr>
          <w:bottom w:val="single" w:color="D8DEE4" w:sz="4" w:space="6"/>
        </w:pBdr>
        <w:spacing w:before="480" w:after="200"/>
      </w:pPr>
      <w:r>
        <w:rPr>
          <w:b/>
          <w:bCs/>
          <w:color w:val="1B2A4A"/>
          <w:sz w:val="30"/>
          <w:szCs w:val="30"/>
        </w:rPr>
        <w:t>Section 1 — Transformation Layer: dbt vs. Databricks-Native (Lakeflow)</w:t>
      </w:r>
    </w:p>
    <w:p w14:paraId="72C2BA5B">
      <w:pPr>
        <w:spacing w:after="220"/>
      </w:pPr>
      <w:r>
        <w:rPr>
          <w:i/>
          <w:iCs/>
          <w:color w:val="5B6B7A"/>
          <w:sz w:val="22"/>
          <w:szCs w:val="22"/>
        </w:rPr>
        <w:t>Evaluating where each tool earns its place in the ingestion-to-consumption pipeline.</w:t>
      </w:r>
    </w:p>
    <w:p w14:paraId="20E9E772">
      <w:pPr>
        <w:pStyle w:val="3"/>
        <w:spacing w:before="320" w:after="140"/>
      </w:pPr>
      <w:r>
        <w:rPr>
          <w:b/>
          <w:bCs/>
          <w:color w:val="3B5372"/>
          <w:sz w:val="24"/>
          <w:szCs w:val="24"/>
        </w:rPr>
        <w:t>1.1 Context and Strategic Importance</w:t>
      </w:r>
    </w:p>
    <w:p w14:paraId="260C2441">
      <w:pPr>
        <w:spacing w:after="160" w:line="300" w:lineRule="auto"/>
      </w:pPr>
      <w:r>
        <w:rPr>
          <w:b w:val="0"/>
          <w:bCs w:val="0"/>
          <w:i w:val="0"/>
          <w:iCs w:val="0"/>
          <w:color w:val="222222"/>
          <w:sz w:val="21"/>
          <w:szCs w:val="21"/>
        </w:rPr>
        <w:t>Three factors make this decision consequential right now rather than a routine tooling refresh:</w:t>
      </w:r>
    </w:p>
    <w:p w14:paraId="55525ECC">
      <w:pPr>
        <w:pStyle w:val="16"/>
        <w:numPr>
          <w:ilvl w:val="0"/>
          <w:numId w:val="1"/>
        </w:numPr>
        <w:spacing w:after="90" w:line="280" w:lineRule="auto"/>
      </w:pPr>
      <w:r>
        <w:rPr>
          <w:b/>
          <w:bCs/>
          <w:color w:val="1B2A4A"/>
          <w:sz w:val="21"/>
          <w:szCs w:val="21"/>
        </w:rPr>
        <w:t xml:space="preserve">Databricks is moving fast: </w:t>
      </w:r>
      <w:r>
        <w:rPr>
          <w:color w:val="222222"/>
          <w:sz w:val="21"/>
          <w:szCs w:val="21"/>
        </w:rPr>
        <w:t>Lakeflow shipped major native transformation capability through 2026 — declarative pipelines, automatic incremental processing, and inline data quality gating — none of which was mature a year ago.</w:t>
      </w:r>
    </w:p>
    <w:p w14:paraId="1D40CDAF">
      <w:pPr>
        <w:pStyle w:val="16"/>
        <w:numPr>
          <w:ilvl w:val="0"/>
          <w:numId w:val="1"/>
        </w:numPr>
        <w:spacing w:after="90" w:line="280" w:lineRule="auto"/>
      </w:pPr>
      <w:r>
        <w:rPr>
          <w:b/>
          <w:bCs/>
          <w:color w:val="1B2A4A"/>
          <w:sz w:val="21"/>
          <w:szCs w:val="21"/>
        </w:rPr>
        <w:t xml:space="preserve">The organization is mid-adoption: </w:t>
      </w:r>
      <w:r>
        <w:rPr>
          <w:color w:val="222222"/>
          <w:sz w:val="21"/>
          <w:szCs w:val="21"/>
        </w:rPr>
        <w:t>Standardization on Databricks for ingestion is already underway. The transformation layer decision shapes the architecture for years, not months, and should not be made reactively.</w:t>
      </w:r>
    </w:p>
    <w:p w14:paraId="01A45C23">
      <w:pPr>
        <w:pStyle w:val="16"/>
        <w:numPr>
          <w:ilvl w:val="0"/>
          <w:numId w:val="1"/>
        </w:numPr>
        <w:spacing w:after="90" w:line="280" w:lineRule="auto"/>
      </w:pPr>
      <w:r>
        <w:rPr>
          <w:b/>
          <w:bCs/>
          <w:color w:val="1B2A4A"/>
          <w:sz w:val="21"/>
          <w:szCs w:val="21"/>
        </w:rPr>
        <w:t xml:space="preserve">Two paradigms risk fragmentation: </w:t>
      </w:r>
      <w:r>
        <w:rPr>
          <w:color w:val="222222"/>
          <w:sz w:val="21"/>
          <w:szCs w:val="21"/>
        </w:rPr>
        <w:t>Bolting dbt onto Databricks without a clear ownership boundary creates duplicated orchestration, split lineage, and unclear accountability for a given table's correctness.</w:t>
      </w:r>
    </w:p>
    <w:p w14:paraId="0BC90EBA">
      <w:pPr>
        <w:pStyle w:val="3"/>
        <w:spacing w:before="320" w:after="140"/>
      </w:pPr>
      <w:r>
        <w:rPr>
          <w:b/>
          <w:bCs/>
          <w:color w:val="3B5372"/>
          <w:sz w:val="24"/>
          <w:szCs w:val="24"/>
        </w:rPr>
        <w:t>1.2 The Case for dbt</w:t>
      </w:r>
    </w:p>
    <w:p w14:paraId="598D5EC1">
      <w:pPr>
        <w:spacing w:after="160" w:line="300" w:lineRule="auto"/>
      </w:pPr>
      <w:r>
        <w:rPr>
          <w:b w:val="0"/>
          <w:bCs w:val="0"/>
          <w:i w:val="0"/>
          <w:iCs w:val="0"/>
          <w:color w:val="222222"/>
          <w:sz w:val="21"/>
          <w:szCs w:val="21"/>
        </w:rPr>
        <w:t>dbt continues to earn its place on several dimensions, independent of what Databricks now offers natively:</w:t>
      </w:r>
    </w:p>
    <w:p w14:paraId="753B2080">
      <w:pPr>
        <w:pStyle w:val="16"/>
        <w:numPr>
          <w:ilvl w:val="0"/>
          <w:numId w:val="1"/>
        </w:numPr>
        <w:spacing w:after="90" w:line="280" w:lineRule="auto"/>
      </w:pPr>
      <w:r>
        <w:rPr>
          <w:b/>
          <w:bCs/>
          <w:color w:val="1B2A4A"/>
          <w:sz w:val="21"/>
          <w:szCs w:val="21"/>
        </w:rPr>
        <w:t xml:space="preserve">SQL-first, low barrier to entry: </w:t>
      </w:r>
      <w:r>
        <w:rPr>
          <w:color w:val="222222"/>
          <w:sz w:val="21"/>
          <w:szCs w:val="21"/>
        </w:rPr>
        <w:t>Analysts and analytics engineers can contribute without learning Spark or Python.</w:t>
      </w:r>
    </w:p>
    <w:p w14:paraId="5DB6027A">
      <w:pPr>
        <w:pStyle w:val="16"/>
        <w:numPr>
          <w:ilvl w:val="0"/>
          <w:numId w:val="1"/>
        </w:numPr>
        <w:spacing w:after="90" w:line="280" w:lineRule="auto"/>
      </w:pPr>
      <w:r>
        <w:rPr>
          <w:b/>
          <w:bCs/>
          <w:color w:val="1B2A4A"/>
          <w:sz w:val="21"/>
          <w:szCs w:val="21"/>
        </w:rPr>
        <w:t xml:space="preserve">Mature testing and documentation: </w:t>
      </w:r>
      <w:r>
        <w:rPr>
          <w:color w:val="222222"/>
          <w:sz w:val="21"/>
          <w:szCs w:val="21"/>
        </w:rPr>
        <w:t>dbt test, dbt docs, and an auto-generated lineage graph remain best-in-class for readability and remain a genuine gap in Databricks-native tooling for analyst-facing work.</w:t>
      </w:r>
    </w:p>
    <w:p w14:paraId="41BB7DBA">
      <w:pPr>
        <w:pStyle w:val="16"/>
        <w:numPr>
          <w:ilvl w:val="0"/>
          <w:numId w:val="1"/>
        </w:numPr>
        <w:spacing w:after="90" w:line="280" w:lineRule="auto"/>
      </w:pPr>
      <w:r>
        <w:rPr>
          <w:b/>
          <w:bCs/>
          <w:color w:val="1B2A4A"/>
          <w:sz w:val="21"/>
          <w:szCs w:val="21"/>
        </w:rPr>
        <w:t xml:space="preserve">Modularity and software discipline: </w:t>
      </w:r>
      <w:r>
        <w:rPr>
          <w:color w:val="222222"/>
          <w:sz w:val="21"/>
          <w:szCs w:val="21"/>
        </w:rPr>
        <w:t>ref(), Jinja macros, version control, and CI/CD bring real engineering rigor to SQL that ad hoc notebooks do not.</w:t>
      </w:r>
    </w:p>
    <w:p w14:paraId="381FA9C5">
      <w:pPr>
        <w:pStyle w:val="16"/>
        <w:numPr>
          <w:ilvl w:val="0"/>
          <w:numId w:val="1"/>
        </w:numPr>
        <w:spacing w:after="90" w:line="280" w:lineRule="auto"/>
      </w:pPr>
      <w:r>
        <w:rPr>
          <w:b/>
          <w:bCs/>
          <w:color w:val="1B2A4A"/>
          <w:sz w:val="21"/>
          <w:szCs w:val="21"/>
        </w:rPr>
        <w:t xml:space="preserve">Warehouse portability: </w:t>
      </w:r>
      <w:r>
        <w:rPr>
          <w:color w:val="222222"/>
          <w:sz w:val="21"/>
          <w:szCs w:val="21"/>
        </w:rPr>
        <w:t>The same modeling layer works across Snowflake, BigQuery, and Redshift — a material advantage if the organization ever diversifies its warehouse strategy (see Section 2).</w:t>
      </w:r>
    </w:p>
    <w:p w14:paraId="239A2103">
      <w:pPr>
        <w:pStyle w:val="3"/>
        <w:spacing w:before="320" w:after="140"/>
      </w:pPr>
      <w:r>
        <w:rPr>
          <w:b/>
          <w:bCs/>
          <w:color w:val="3B5372"/>
          <w:sz w:val="24"/>
          <w:szCs w:val="24"/>
        </w:rPr>
        <w:t>1.3 Honest Tradeoffs of dbt on Databricks Specifically</w:t>
      </w:r>
    </w:p>
    <w:p w14:paraId="478BA1D1">
      <w:pPr>
        <w:spacing w:after="160" w:line="300" w:lineRule="auto"/>
      </w:pPr>
      <w:r>
        <w:rPr>
          <w:b w:val="0"/>
          <w:bCs w:val="0"/>
          <w:i w:val="0"/>
          <w:iCs w:val="0"/>
          <w:color w:val="222222"/>
          <w:sz w:val="21"/>
          <w:szCs w:val="21"/>
        </w:rPr>
        <w:t>These limitations are specific to running dbt on top of Databricks, not criticisms of dbt as a product in general:</w:t>
      </w:r>
    </w:p>
    <w:p w14:paraId="159290CB">
      <w:pPr>
        <w:pStyle w:val="16"/>
        <w:numPr>
          <w:ilvl w:val="0"/>
          <w:numId w:val="1"/>
        </w:numPr>
        <w:spacing w:after="90" w:line="280" w:lineRule="auto"/>
      </w:pPr>
      <w:r>
        <w:rPr>
          <w:b/>
          <w:bCs/>
          <w:color w:val="1B2A4A"/>
          <w:sz w:val="21"/>
          <w:szCs w:val="21"/>
        </w:rPr>
        <w:t xml:space="preserve">Batch-only, SQL-only: </w:t>
      </w:r>
      <w:r>
        <w:rPr>
          <w:color w:val="222222"/>
          <w:sz w:val="21"/>
          <w:szCs w:val="21"/>
        </w:rPr>
        <w:t>dbt has no native streaming support — Databricks' unified batch-plus-streaming model is invisible to it.</w:t>
      </w:r>
    </w:p>
    <w:p w14:paraId="4E4FA89D">
      <w:pPr>
        <w:pStyle w:val="16"/>
        <w:numPr>
          <w:ilvl w:val="0"/>
          <w:numId w:val="1"/>
        </w:numPr>
        <w:spacing w:after="90" w:line="280" w:lineRule="auto"/>
      </w:pPr>
      <w:r>
        <w:rPr>
          <w:b/>
          <w:bCs/>
          <w:color w:val="1B2A4A"/>
          <w:sz w:val="21"/>
          <w:szCs w:val="21"/>
        </w:rPr>
        <w:t xml:space="preserve">No incremental intelligence: </w:t>
      </w:r>
      <w:r>
        <w:rPr>
          <w:color w:val="222222"/>
          <w:sz w:val="21"/>
          <w:szCs w:val="21"/>
        </w:rPr>
        <w:t>Incremental logic must be hand-written via is_incremental(); Lakeflow materialized views do this automatically.</w:t>
      </w:r>
    </w:p>
    <w:p w14:paraId="01445FDD">
      <w:pPr>
        <w:pStyle w:val="16"/>
        <w:numPr>
          <w:ilvl w:val="0"/>
          <w:numId w:val="1"/>
        </w:numPr>
        <w:spacing w:after="90" w:line="280" w:lineRule="auto"/>
      </w:pPr>
      <w:r>
        <w:rPr>
          <w:b/>
          <w:bCs/>
          <w:color w:val="1B2A4A"/>
          <w:sz w:val="21"/>
          <w:szCs w:val="21"/>
        </w:rPr>
        <w:t xml:space="preserve">Compute is a black box: </w:t>
      </w:r>
      <w:r>
        <w:rPr>
          <w:color w:val="222222"/>
          <w:sz w:val="21"/>
          <w:szCs w:val="21"/>
        </w:rPr>
        <w:t>dbt only submits SQL — it has no awareness of cluster sizing, autoscaling, or Photon-level tuning.</w:t>
      </w:r>
    </w:p>
    <w:p w14:paraId="50073821">
      <w:pPr>
        <w:pStyle w:val="16"/>
        <w:numPr>
          <w:ilvl w:val="0"/>
          <w:numId w:val="1"/>
        </w:numPr>
        <w:spacing w:after="90" w:line="280" w:lineRule="auto"/>
      </w:pPr>
      <w:r>
        <w:rPr>
          <w:b/>
          <w:bCs/>
          <w:color w:val="1B2A4A"/>
          <w:sz w:val="21"/>
          <w:szCs w:val="21"/>
        </w:rPr>
        <w:t xml:space="preserve">Quality checks are post-hoc: </w:t>
      </w:r>
      <w:r>
        <w:rPr>
          <w:color w:val="222222"/>
          <w:sz w:val="21"/>
          <w:szCs w:val="21"/>
        </w:rPr>
        <w:t>dbt tests run after materialization; Lakeflow expectations can gate a write inline, before bad data ever lands.</w:t>
      </w:r>
    </w:p>
    <w:p w14:paraId="26939116">
      <w:pPr>
        <w:pStyle w:val="16"/>
        <w:numPr>
          <w:ilvl w:val="0"/>
          <w:numId w:val="1"/>
        </w:numPr>
        <w:spacing w:after="90" w:line="280" w:lineRule="auto"/>
      </w:pPr>
      <w:r>
        <w:rPr>
          <w:b/>
          <w:bCs/>
          <w:color w:val="1B2A4A"/>
          <w:sz w:val="21"/>
          <w:szCs w:val="21"/>
        </w:rPr>
        <w:t xml:space="preserve">Two DAGs, two orchestrators: </w:t>
      </w:r>
      <w:r>
        <w:rPr>
          <w:color w:val="222222"/>
          <w:sz w:val="21"/>
          <w:szCs w:val="21"/>
        </w:rPr>
        <w:t>dbt's DAG nests inside Databricks Jobs, which splits lineage and observability across two systems.</w:t>
      </w:r>
    </w:p>
    <w:p w14:paraId="3414918F">
      <w:pPr>
        <w:pStyle w:val="16"/>
        <w:numPr>
          <w:ilvl w:val="0"/>
          <w:numId w:val="1"/>
        </w:numPr>
        <w:spacing w:after="90" w:line="280" w:lineRule="auto"/>
      </w:pPr>
      <w:r>
        <w:rPr>
          <w:b/>
          <w:bCs/>
          <w:color w:val="1B2A4A"/>
          <w:sz w:val="21"/>
          <w:szCs w:val="21"/>
        </w:rPr>
        <w:t xml:space="preserve">No native Python/ML transforms: </w:t>
      </w:r>
      <w:r>
        <w:rPr>
          <w:color w:val="222222"/>
          <w:sz w:val="21"/>
          <w:szCs w:val="21"/>
        </w:rPr>
        <w:t>Feature engineering and complex UDFs live entirely outside dbt's SQL-only model.</w:t>
      </w:r>
    </w:p>
    <w:p w14:paraId="2EFFAED5">
      <w:pPr>
        <w:pStyle w:val="3"/>
        <w:spacing w:before="320" w:after="140"/>
      </w:pPr>
      <w:r>
        <w:rPr>
          <w:b/>
          <w:bCs/>
          <w:color w:val="3B5372"/>
          <w:sz w:val="24"/>
          <w:szCs w:val="24"/>
        </w:rPr>
        <w:t>1.4 Databricks-Native Transformation — 2026 State</w:t>
      </w:r>
    </w:p>
    <w:p w14:paraId="77B1588E">
      <w:pPr>
        <w:spacing w:after="160" w:line="300" w:lineRule="auto"/>
      </w:pPr>
      <w:r>
        <w:rPr>
          <w:b w:val="0"/>
          <w:bCs w:val="0"/>
          <w:i w:val="0"/>
          <w:iCs w:val="0"/>
          <w:color w:val="222222"/>
          <w:sz w:val="21"/>
          <w:szCs w:val="21"/>
        </w:rPr>
        <w:t>The following capabilities are the direct reason this decision needs revisiting now rather than a year ago:</w:t>
      </w:r>
    </w:p>
    <w:p w14:paraId="55EE612E">
      <w:pPr>
        <w:pStyle w:val="16"/>
        <w:numPr>
          <w:ilvl w:val="0"/>
          <w:numId w:val="1"/>
        </w:numPr>
        <w:spacing w:after="90" w:line="280" w:lineRule="auto"/>
      </w:pPr>
      <w:r>
        <w:rPr>
          <w:b/>
          <w:bCs/>
          <w:color w:val="1B2A4A"/>
          <w:sz w:val="21"/>
          <w:szCs w:val="21"/>
        </w:rPr>
        <w:t xml:space="preserve">Lakeflow Declarative Pipelines: </w:t>
      </w:r>
      <w:r>
        <w:rPr>
          <w:color w:val="222222"/>
          <w:sz w:val="21"/>
          <w:szCs w:val="21"/>
        </w:rPr>
        <w:t>Declarative SQL/Python pipelines with automatic orchestration, retries, and dependency management (formerly Delta Live Tables).</w:t>
      </w:r>
    </w:p>
    <w:p w14:paraId="5179DF68">
      <w:pPr>
        <w:pStyle w:val="16"/>
        <w:numPr>
          <w:ilvl w:val="0"/>
          <w:numId w:val="1"/>
        </w:numPr>
        <w:spacing w:after="90" w:line="280" w:lineRule="auto"/>
      </w:pPr>
      <w:r>
        <w:rPr>
          <w:b/>
          <w:bCs/>
          <w:color w:val="1B2A4A"/>
          <w:sz w:val="21"/>
          <w:szCs w:val="21"/>
        </w:rPr>
        <w:t xml:space="preserve">Declarative APIs, everywhere: </w:t>
      </w:r>
      <w:r>
        <w:rPr>
          <w:color w:val="222222"/>
          <w:sz w:val="21"/>
          <w:szCs w:val="21"/>
        </w:rPr>
        <w:t>Append, Auto CDC, incremental Replace Where, and Materialized View now reach Databricks SQL and serverless notebooks — not just pipelines.</w:t>
      </w:r>
    </w:p>
    <w:p w14:paraId="4950F312">
      <w:pPr>
        <w:pStyle w:val="16"/>
        <w:numPr>
          <w:ilvl w:val="0"/>
          <w:numId w:val="1"/>
        </w:numPr>
        <w:spacing w:after="90" w:line="280" w:lineRule="auto"/>
      </w:pPr>
      <w:r>
        <w:rPr>
          <w:b/>
          <w:bCs/>
          <w:color w:val="1B2A4A"/>
          <w:sz w:val="21"/>
          <w:szCs w:val="21"/>
        </w:rPr>
        <w:t xml:space="preserve">Genie Code: </w:t>
      </w:r>
      <w:r>
        <w:rPr>
          <w:color w:val="222222"/>
          <w:sz w:val="21"/>
          <w:szCs w:val="21"/>
        </w:rPr>
        <w:t>AI-assisted development with full context across ingestion, transformation, and orchestration; generates pipelines and connectors.</w:t>
      </w:r>
    </w:p>
    <w:p w14:paraId="57FDD471">
      <w:pPr>
        <w:pStyle w:val="16"/>
        <w:numPr>
          <w:ilvl w:val="0"/>
          <w:numId w:val="1"/>
        </w:numPr>
        <w:spacing w:after="90" w:line="280" w:lineRule="auto"/>
      </w:pPr>
      <w:r>
        <w:rPr>
          <w:b/>
          <w:bCs/>
          <w:color w:val="1B2A4A"/>
          <w:sz w:val="21"/>
          <w:szCs w:val="21"/>
        </w:rPr>
        <w:t xml:space="preserve">Lakeflow Designer (GA): </w:t>
      </w:r>
      <w:r>
        <w:rPr>
          <w:color w:val="222222"/>
          <w:sz w:val="21"/>
          <w:szCs w:val="21"/>
        </w:rPr>
        <w:t>A no-code, natural-language pipeline builder where every visual flow runs as a real Spark Declarative Pipeline, with zero translation loss.</w:t>
      </w:r>
    </w:p>
    <w:p w14:paraId="70B4B4F7">
      <w:pPr>
        <w:pStyle w:val="16"/>
        <w:numPr>
          <w:ilvl w:val="0"/>
          <w:numId w:val="1"/>
        </w:numPr>
        <w:spacing w:after="90" w:line="280" w:lineRule="auto"/>
      </w:pPr>
      <w:r>
        <w:rPr>
          <w:b/>
          <w:bCs/>
          <w:color w:val="1B2A4A"/>
          <w:sz w:val="21"/>
          <w:szCs w:val="21"/>
        </w:rPr>
        <w:t xml:space="preserve">Lakeflow Jobs: </w:t>
      </w:r>
      <w:r>
        <w:rPr>
          <w:color w:val="222222"/>
          <w:sz w:val="21"/>
          <w:szCs w:val="21"/>
        </w:rPr>
        <w:t>Native orchestration for complex DAGs and agent triggers, consolidating tools like Airflow onto a single platform.</w:t>
      </w:r>
    </w:p>
    <w:p w14:paraId="02E34721">
      <w:pPr>
        <w:pStyle w:val="16"/>
        <w:numPr>
          <w:ilvl w:val="0"/>
          <w:numId w:val="1"/>
        </w:numPr>
        <w:spacing w:after="90" w:line="280" w:lineRule="auto"/>
      </w:pPr>
      <w:r>
        <w:rPr>
          <w:b/>
          <w:bCs/>
          <w:color w:val="1B2A4A"/>
          <w:sz w:val="21"/>
          <w:szCs w:val="21"/>
        </w:rPr>
        <w:t xml:space="preserve">Governance-native quality: </w:t>
      </w:r>
      <w:r>
        <w:rPr>
          <w:color w:val="222222"/>
          <w:sz w:val="21"/>
          <w:szCs w:val="21"/>
        </w:rPr>
        <w:t>Data quality expectations now live directly in Unity Catalog tables — versioned, auditable, and shared across pipelines.</w:t>
      </w:r>
    </w:p>
    <w:p w14:paraId="4DCEF054">
      <w:pPr>
        <w:pStyle w:val="3"/>
        <w:spacing w:before="320" w:after="140"/>
      </w:pPr>
      <w:r>
        <w:rPr>
          <w:b/>
          <w:bCs/>
          <w:color w:val="3B5372"/>
          <w:sz w:val="24"/>
          <w:szCs w:val="24"/>
        </w:rPr>
        <w:t>1.5 Side-by-Side Comparison</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600"/>
        <w:gridCol w:w="3400"/>
        <w:gridCol w:w="3360"/>
      </w:tblGrid>
      <w:tr w14:paraId="3C3AABD2">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600" w:type="dxa"/>
            <w:shd w:val="clear" w:color="auto" w:fill="1B2A4A"/>
            <w:tcMar>
              <w:top w:w="100" w:type="dxa"/>
              <w:left w:w="120" w:type="dxa"/>
              <w:bottom w:w="100" w:type="dxa"/>
              <w:right w:w="120" w:type="dxa"/>
            </w:tcMar>
            <w:vAlign w:val="center"/>
          </w:tcPr>
          <w:p w14:paraId="3C868B6D">
            <w:r>
              <w:rPr>
                <w:b/>
                <w:bCs/>
                <w:color w:val="FFFFFF"/>
                <w:sz w:val="18"/>
                <w:szCs w:val="18"/>
              </w:rPr>
              <w:t>Dimension</w:t>
            </w:r>
          </w:p>
        </w:tc>
        <w:tc>
          <w:tcPr>
            <w:tcW w:w="3400" w:type="dxa"/>
            <w:shd w:val="clear" w:color="auto" w:fill="1B2A4A"/>
            <w:tcMar>
              <w:top w:w="100" w:type="dxa"/>
              <w:left w:w="120" w:type="dxa"/>
              <w:bottom w:w="100" w:type="dxa"/>
              <w:right w:w="120" w:type="dxa"/>
            </w:tcMar>
            <w:vAlign w:val="center"/>
          </w:tcPr>
          <w:p w14:paraId="64386501">
            <w:r>
              <w:rPr>
                <w:b/>
                <w:bCs/>
                <w:color w:val="FFFFFF"/>
                <w:sz w:val="18"/>
                <w:szCs w:val="18"/>
              </w:rPr>
              <w:t>dbt (on Databricks)</w:t>
            </w:r>
          </w:p>
        </w:tc>
        <w:tc>
          <w:tcPr>
            <w:tcW w:w="3360" w:type="dxa"/>
            <w:shd w:val="clear" w:color="auto" w:fill="1B2A4A"/>
            <w:tcMar>
              <w:top w:w="100" w:type="dxa"/>
              <w:left w:w="120" w:type="dxa"/>
              <w:bottom w:w="100" w:type="dxa"/>
              <w:right w:w="120" w:type="dxa"/>
            </w:tcMar>
            <w:vAlign w:val="center"/>
          </w:tcPr>
          <w:p w14:paraId="41B9AFE0">
            <w:r>
              <w:rPr>
                <w:b/>
                <w:bCs/>
                <w:color w:val="FFFFFF"/>
                <w:sz w:val="18"/>
                <w:szCs w:val="18"/>
              </w:rPr>
              <w:t>Databricks-Native (Lakeflow)</w:t>
            </w:r>
          </w:p>
        </w:tc>
      </w:tr>
      <w:tr w14:paraId="17C2E2B3">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6CF6CD94">
            <w:pPr>
              <w:spacing w:line="260" w:lineRule="auto"/>
            </w:pPr>
            <w:r>
              <w:rPr>
                <w:b/>
                <w:bCs/>
                <w:color w:val="222222"/>
                <w:sz w:val="18"/>
                <w:szCs w:val="18"/>
              </w:rPr>
              <w:t>Language</w:t>
            </w:r>
          </w:p>
        </w:tc>
        <w:tc>
          <w:tcPr>
            <w:tcW w:w="3400" w:type="dxa"/>
            <w:shd w:val="clear" w:color="auto" w:fill="FFFFFF"/>
            <w:tcMar>
              <w:top w:w="90" w:type="dxa"/>
              <w:left w:w="120" w:type="dxa"/>
              <w:bottom w:w="90" w:type="dxa"/>
              <w:right w:w="120" w:type="dxa"/>
            </w:tcMar>
            <w:vAlign w:val="center"/>
          </w:tcPr>
          <w:p w14:paraId="5FE45CDC">
            <w:pPr>
              <w:spacing w:line="260" w:lineRule="auto"/>
            </w:pPr>
            <w:r>
              <w:rPr>
                <w:b w:val="0"/>
                <w:bCs w:val="0"/>
                <w:color w:val="222222"/>
                <w:sz w:val="18"/>
                <w:szCs w:val="18"/>
              </w:rPr>
              <w:t>SQL + Jinja only</w:t>
            </w:r>
          </w:p>
        </w:tc>
        <w:tc>
          <w:tcPr>
            <w:tcW w:w="3360" w:type="dxa"/>
            <w:shd w:val="clear" w:color="auto" w:fill="FFFFFF"/>
            <w:tcMar>
              <w:top w:w="90" w:type="dxa"/>
              <w:left w:w="120" w:type="dxa"/>
              <w:bottom w:w="90" w:type="dxa"/>
              <w:right w:w="120" w:type="dxa"/>
            </w:tcMar>
            <w:vAlign w:val="center"/>
          </w:tcPr>
          <w:p w14:paraId="239B48EC">
            <w:pPr>
              <w:spacing w:line="260" w:lineRule="auto"/>
            </w:pPr>
            <w:r>
              <w:rPr>
                <w:b w:val="0"/>
                <w:bCs w:val="0"/>
                <w:color w:val="222222"/>
                <w:sz w:val="18"/>
                <w:szCs w:val="18"/>
              </w:rPr>
              <w:t>SQL + Python, unified</w:t>
            </w:r>
          </w:p>
        </w:tc>
      </w:tr>
      <w:tr w14:paraId="59DDAFB7">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39FED52C">
            <w:pPr>
              <w:spacing w:line="260" w:lineRule="auto"/>
            </w:pPr>
            <w:r>
              <w:rPr>
                <w:b/>
                <w:bCs/>
                <w:color w:val="222222"/>
                <w:sz w:val="18"/>
                <w:szCs w:val="18"/>
              </w:rPr>
              <w:t>Streaming</w:t>
            </w:r>
          </w:p>
        </w:tc>
        <w:tc>
          <w:tcPr>
            <w:tcW w:w="3400" w:type="dxa"/>
            <w:shd w:val="clear" w:color="auto" w:fill="F2F5F7"/>
            <w:tcMar>
              <w:top w:w="90" w:type="dxa"/>
              <w:left w:w="120" w:type="dxa"/>
              <w:bottom w:w="90" w:type="dxa"/>
              <w:right w:w="120" w:type="dxa"/>
            </w:tcMar>
            <w:vAlign w:val="center"/>
          </w:tcPr>
          <w:p w14:paraId="3E79DAB6">
            <w:pPr>
              <w:spacing w:line="260" w:lineRule="auto"/>
            </w:pPr>
            <w:r>
              <w:rPr>
                <w:b w:val="0"/>
                <w:bCs w:val="0"/>
                <w:color w:val="222222"/>
                <w:sz w:val="18"/>
                <w:szCs w:val="18"/>
              </w:rPr>
              <w:t>Not supported</w:t>
            </w:r>
          </w:p>
        </w:tc>
        <w:tc>
          <w:tcPr>
            <w:tcW w:w="3360" w:type="dxa"/>
            <w:shd w:val="clear" w:color="auto" w:fill="F2F5F7"/>
            <w:tcMar>
              <w:top w:w="90" w:type="dxa"/>
              <w:left w:w="120" w:type="dxa"/>
              <w:bottom w:w="90" w:type="dxa"/>
              <w:right w:w="120" w:type="dxa"/>
            </w:tcMar>
            <w:vAlign w:val="center"/>
          </w:tcPr>
          <w:p w14:paraId="54983A9D">
            <w:pPr>
              <w:spacing w:line="260" w:lineRule="auto"/>
            </w:pPr>
            <w:r>
              <w:rPr>
                <w:b w:val="0"/>
                <w:bCs w:val="0"/>
                <w:color w:val="222222"/>
                <w:sz w:val="18"/>
                <w:szCs w:val="18"/>
              </w:rPr>
              <w:t>Native, unified with batch</w:t>
            </w:r>
          </w:p>
        </w:tc>
      </w:tr>
      <w:tr w14:paraId="17E793E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495DB8F1">
            <w:pPr>
              <w:spacing w:line="260" w:lineRule="auto"/>
            </w:pPr>
            <w:r>
              <w:rPr>
                <w:b/>
                <w:bCs/>
                <w:color w:val="222222"/>
                <w:sz w:val="18"/>
                <w:szCs w:val="18"/>
              </w:rPr>
              <w:t>Incremental logic</w:t>
            </w:r>
          </w:p>
        </w:tc>
        <w:tc>
          <w:tcPr>
            <w:tcW w:w="3400" w:type="dxa"/>
            <w:shd w:val="clear" w:color="auto" w:fill="FFFFFF"/>
            <w:tcMar>
              <w:top w:w="90" w:type="dxa"/>
              <w:left w:w="120" w:type="dxa"/>
              <w:bottom w:w="90" w:type="dxa"/>
              <w:right w:w="120" w:type="dxa"/>
            </w:tcMar>
            <w:vAlign w:val="center"/>
          </w:tcPr>
          <w:p w14:paraId="0F38A8D3">
            <w:pPr>
              <w:spacing w:line="260" w:lineRule="auto"/>
            </w:pPr>
            <w:r>
              <w:rPr>
                <w:b w:val="0"/>
                <w:bCs w:val="0"/>
                <w:color w:val="222222"/>
                <w:sz w:val="18"/>
                <w:szCs w:val="18"/>
              </w:rPr>
              <w:t>Manual (is_incremental())</w:t>
            </w:r>
          </w:p>
        </w:tc>
        <w:tc>
          <w:tcPr>
            <w:tcW w:w="3360" w:type="dxa"/>
            <w:shd w:val="clear" w:color="auto" w:fill="FFFFFF"/>
            <w:tcMar>
              <w:top w:w="90" w:type="dxa"/>
              <w:left w:w="120" w:type="dxa"/>
              <w:bottom w:w="90" w:type="dxa"/>
              <w:right w:w="120" w:type="dxa"/>
            </w:tcMar>
            <w:vAlign w:val="center"/>
          </w:tcPr>
          <w:p w14:paraId="707828E5">
            <w:pPr>
              <w:spacing w:line="260" w:lineRule="auto"/>
            </w:pPr>
            <w:r>
              <w:rPr>
                <w:b w:val="0"/>
                <w:bCs w:val="0"/>
                <w:color w:val="222222"/>
                <w:sz w:val="18"/>
                <w:szCs w:val="18"/>
              </w:rPr>
              <w:t>Automatic (materialized views)</w:t>
            </w:r>
          </w:p>
        </w:tc>
      </w:tr>
      <w:tr w14:paraId="4BBD4C0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7A0685FC">
            <w:pPr>
              <w:spacing w:line="260" w:lineRule="auto"/>
            </w:pPr>
            <w:r>
              <w:rPr>
                <w:b/>
                <w:bCs/>
                <w:color w:val="222222"/>
                <w:sz w:val="18"/>
                <w:szCs w:val="18"/>
              </w:rPr>
              <w:t>Data quality</w:t>
            </w:r>
          </w:p>
        </w:tc>
        <w:tc>
          <w:tcPr>
            <w:tcW w:w="3400" w:type="dxa"/>
            <w:shd w:val="clear" w:color="auto" w:fill="F2F5F7"/>
            <w:tcMar>
              <w:top w:w="90" w:type="dxa"/>
              <w:left w:w="120" w:type="dxa"/>
              <w:bottom w:w="90" w:type="dxa"/>
              <w:right w:w="120" w:type="dxa"/>
            </w:tcMar>
            <w:vAlign w:val="center"/>
          </w:tcPr>
          <w:p w14:paraId="1EB04C75">
            <w:pPr>
              <w:spacing w:line="260" w:lineRule="auto"/>
            </w:pPr>
            <w:r>
              <w:rPr>
                <w:b w:val="0"/>
                <w:bCs w:val="0"/>
                <w:color w:val="222222"/>
                <w:sz w:val="18"/>
                <w:szCs w:val="18"/>
              </w:rPr>
              <w:t>Post-hoc tests</w:t>
            </w:r>
          </w:p>
        </w:tc>
        <w:tc>
          <w:tcPr>
            <w:tcW w:w="3360" w:type="dxa"/>
            <w:shd w:val="clear" w:color="auto" w:fill="F2F5F7"/>
            <w:tcMar>
              <w:top w:w="90" w:type="dxa"/>
              <w:left w:w="120" w:type="dxa"/>
              <w:bottom w:w="90" w:type="dxa"/>
              <w:right w:w="120" w:type="dxa"/>
            </w:tcMar>
            <w:vAlign w:val="center"/>
          </w:tcPr>
          <w:p w14:paraId="5296A18C">
            <w:pPr>
              <w:spacing w:line="260" w:lineRule="auto"/>
            </w:pPr>
            <w:r>
              <w:rPr>
                <w:b w:val="0"/>
                <w:bCs w:val="0"/>
                <w:color w:val="222222"/>
                <w:sz w:val="18"/>
                <w:szCs w:val="18"/>
              </w:rPr>
              <w:t>Inline expectations, gate writes</w:t>
            </w:r>
          </w:p>
        </w:tc>
      </w:tr>
      <w:tr w14:paraId="373CBCB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29A58011">
            <w:pPr>
              <w:spacing w:line="260" w:lineRule="auto"/>
            </w:pPr>
            <w:r>
              <w:rPr>
                <w:b/>
                <w:bCs/>
                <w:color w:val="222222"/>
                <w:sz w:val="18"/>
                <w:szCs w:val="18"/>
              </w:rPr>
              <w:t>Orchestration</w:t>
            </w:r>
          </w:p>
        </w:tc>
        <w:tc>
          <w:tcPr>
            <w:tcW w:w="3400" w:type="dxa"/>
            <w:shd w:val="clear" w:color="auto" w:fill="FFFFFF"/>
            <w:tcMar>
              <w:top w:w="90" w:type="dxa"/>
              <w:left w:w="120" w:type="dxa"/>
              <w:bottom w:w="90" w:type="dxa"/>
              <w:right w:w="120" w:type="dxa"/>
            </w:tcMar>
            <w:vAlign w:val="center"/>
          </w:tcPr>
          <w:p w14:paraId="344008DC">
            <w:pPr>
              <w:spacing w:line="260" w:lineRule="auto"/>
            </w:pPr>
            <w:r>
              <w:rPr>
                <w:b w:val="0"/>
                <w:bCs w:val="0"/>
                <w:color w:val="222222"/>
                <w:sz w:val="18"/>
                <w:szCs w:val="18"/>
              </w:rPr>
              <w:t>External, nested in Databricks Jobs</w:t>
            </w:r>
          </w:p>
        </w:tc>
        <w:tc>
          <w:tcPr>
            <w:tcW w:w="3360" w:type="dxa"/>
            <w:shd w:val="clear" w:color="auto" w:fill="FFFFFF"/>
            <w:tcMar>
              <w:top w:w="90" w:type="dxa"/>
              <w:left w:w="120" w:type="dxa"/>
              <w:bottom w:w="90" w:type="dxa"/>
              <w:right w:w="120" w:type="dxa"/>
            </w:tcMar>
            <w:vAlign w:val="center"/>
          </w:tcPr>
          <w:p w14:paraId="4C3CDFCE">
            <w:pPr>
              <w:spacing w:line="260" w:lineRule="auto"/>
            </w:pPr>
            <w:r>
              <w:rPr>
                <w:b w:val="0"/>
                <w:bCs w:val="0"/>
                <w:color w:val="222222"/>
                <w:sz w:val="18"/>
                <w:szCs w:val="18"/>
              </w:rPr>
              <w:t>Native single DAG (Lakeflow Jobs)</w:t>
            </w:r>
          </w:p>
        </w:tc>
      </w:tr>
      <w:tr w14:paraId="0E47B7FB">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5BDDA436">
            <w:pPr>
              <w:spacing w:line="260" w:lineRule="auto"/>
            </w:pPr>
            <w:r>
              <w:rPr>
                <w:b/>
                <w:bCs/>
                <w:color w:val="222222"/>
                <w:sz w:val="18"/>
                <w:szCs w:val="18"/>
              </w:rPr>
              <w:t>Unity Catalog governance</w:t>
            </w:r>
          </w:p>
        </w:tc>
        <w:tc>
          <w:tcPr>
            <w:tcW w:w="3400" w:type="dxa"/>
            <w:shd w:val="clear" w:color="auto" w:fill="F2F5F7"/>
            <w:tcMar>
              <w:top w:w="90" w:type="dxa"/>
              <w:left w:w="120" w:type="dxa"/>
              <w:bottom w:w="90" w:type="dxa"/>
              <w:right w:w="120" w:type="dxa"/>
            </w:tcMar>
            <w:vAlign w:val="center"/>
          </w:tcPr>
          <w:p w14:paraId="27EDF68D">
            <w:pPr>
              <w:spacing w:line="260" w:lineRule="auto"/>
            </w:pPr>
            <w:r>
              <w:rPr>
                <w:b w:val="0"/>
                <w:bCs w:val="0"/>
                <w:color w:val="222222"/>
                <w:sz w:val="18"/>
                <w:szCs w:val="18"/>
              </w:rPr>
              <w:t>Adapter-level, partial</w:t>
            </w:r>
          </w:p>
        </w:tc>
        <w:tc>
          <w:tcPr>
            <w:tcW w:w="3360" w:type="dxa"/>
            <w:shd w:val="clear" w:color="auto" w:fill="F2F5F7"/>
            <w:tcMar>
              <w:top w:w="90" w:type="dxa"/>
              <w:left w:w="120" w:type="dxa"/>
              <w:bottom w:w="90" w:type="dxa"/>
              <w:right w:w="120" w:type="dxa"/>
            </w:tcMar>
            <w:vAlign w:val="center"/>
          </w:tcPr>
          <w:p w14:paraId="6D805459">
            <w:pPr>
              <w:spacing w:line="260" w:lineRule="auto"/>
            </w:pPr>
            <w:r>
              <w:rPr>
                <w:b w:val="0"/>
                <w:bCs w:val="0"/>
                <w:color w:val="222222"/>
                <w:sz w:val="18"/>
                <w:szCs w:val="18"/>
              </w:rPr>
              <w:t>Native, first-class</w:t>
            </w:r>
          </w:p>
        </w:tc>
      </w:tr>
      <w:tr w14:paraId="73D8C2BA">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6A32F539">
            <w:pPr>
              <w:spacing w:line="260" w:lineRule="auto"/>
            </w:pPr>
            <w:r>
              <w:rPr>
                <w:b/>
                <w:bCs/>
                <w:color w:val="222222"/>
                <w:sz w:val="18"/>
                <w:szCs w:val="18"/>
              </w:rPr>
              <w:t>AI-assisted development</w:t>
            </w:r>
          </w:p>
        </w:tc>
        <w:tc>
          <w:tcPr>
            <w:tcW w:w="3400" w:type="dxa"/>
            <w:shd w:val="clear" w:color="auto" w:fill="FFFFFF"/>
            <w:tcMar>
              <w:top w:w="90" w:type="dxa"/>
              <w:left w:w="120" w:type="dxa"/>
              <w:bottom w:w="90" w:type="dxa"/>
              <w:right w:w="120" w:type="dxa"/>
            </w:tcMar>
            <w:vAlign w:val="center"/>
          </w:tcPr>
          <w:p w14:paraId="3A1A9C76">
            <w:pPr>
              <w:spacing w:line="260" w:lineRule="auto"/>
            </w:pPr>
            <w:r>
              <w:rPr>
                <w:b w:val="0"/>
                <w:bCs w:val="0"/>
                <w:color w:val="222222"/>
                <w:sz w:val="18"/>
                <w:szCs w:val="18"/>
              </w:rPr>
              <w:t>Third-party / community</w:t>
            </w:r>
          </w:p>
        </w:tc>
        <w:tc>
          <w:tcPr>
            <w:tcW w:w="3360" w:type="dxa"/>
            <w:shd w:val="clear" w:color="auto" w:fill="FFFFFF"/>
            <w:tcMar>
              <w:top w:w="90" w:type="dxa"/>
              <w:left w:w="120" w:type="dxa"/>
              <w:bottom w:w="90" w:type="dxa"/>
              <w:right w:w="120" w:type="dxa"/>
            </w:tcMar>
            <w:vAlign w:val="center"/>
          </w:tcPr>
          <w:p w14:paraId="14253D5A">
            <w:pPr>
              <w:spacing w:line="260" w:lineRule="auto"/>
            </w:pPr>
            <w:r>
              <w:rPr>
                <w:b w:val="0"/>
                <w:bCs w:val="0"/>
                <w:color w:val="222222"/>
                <w:sz w:val="18"/>
                <w:szCs w:val="18"/>
              </w:rPr>
              <w:t>Genie Code, built-in, context-aware</w:t>
            </w:r>
          </w:p>
        </w:tc>
      </w:tr>
      <w:tr w14:paraId="0B71096C">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192B7883">
            <w:pPr>
              <w:spacing w:line="260" w:lineRule="auto"/>
            </w:pPr>
            <w:r>
              <w:rPr>
                <w:b/>
                <w:bCs/>
                <w:color w:val="222222"/>
                <w:sz w:val="18"/>
                <w:szCs w:val="18"/>
              </w:rPr>
              <w:t>No-code option</w:t>
            </w:r>
          </w:p>
        </w:tc>
        <w:tc>
          <w:tcPr>
            <w:tcW w:w="3400" w:type="dxa"/>
            <w:shd w:val="clear" w:color="auto" w:fill="F2F5F7"/>
            <w:tcMar>
              <w:top w:w="90" w:type="dxa"/>
              <w:left w:w="120" w:type="dxa"/>
              <w:bottom w:w="90" w:type="dxa"/>
              <w:right w:w="120" w:type="dxa"/>
            </w:tcMar>
            <w:vAlign w:val="center"/>
          </w:tcPr>
          <w:p w14:paraId="44048AC1">
            <w:pPr>
              <w:spacing w:line="260" w:lineRule="auto"/>
            </w:pPr>
            <w:r>
              <w:rPr>
                <w:b w:val="0"/>
                <w:bCs w:val="0"/>
                <w:color w:val="222222"/>
                <w:sz w:val="18"/>
                <w:szCs w:val="18"/>
              </w:rPr>
              <w:t>None</w:t>
            </w:r>
          </w:p>
        </w:tc>
        <w:tc>
          <w:tcPr>
            <w:tcW w:w="3360" w:type="dxa"/>
            <w:shd w:val="clear" w:color="auto" w:fill="F2F5F7"/>
            <w:tcMar>
              <w:top w:w="90" w:type="dxa"/>
              <w:left w:w="120" w:type="dxa"/>
              <w:bottom w:w="90" w:type="dxa"/>
              <w:right w:w="120" w:type="dxa"/>
            </w:tcMar>
            <w:vAlign w:val="center"/>
          </w:tcPr>
          <w:p w14:paraId="4C3A2CF7">
            <w:pPr>
              <w:spacing w:line="260" w:lineRule="auto"/>
            </w:pPr>
            <w:r>
              <w:rPr>
                <w:b w:val="0"/>
                <w:bCs w:val="0"/>
                <w:color w:val="222222"/>
                <w:sz w:val="18"/>
                <w:szCs w:val="18"/>
              </w:rPr>
              <w:t>Lakeflow Designer</w:t>
            </w:r>
          </w:p>
        </w:tc>
      </w:tr>
      <w:tr w14:paraId="04AB01DC">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0C4E1AF1">
            <w:pPr>
              <w:spacing w:line="260" w:lineRule="auto"/>
            </w:pPr>
            <w:r>
              <w:rPr>
                <w:b/>
                <w:bCs/>
                <w:color w:val="222222"/>
                <w:sz w:val="18"/>
                <w:szCs w:val="18"/>
              </w:rPr>
              <w:t>Portability across warehouses</w:t>
            </w:r>
          </w:p>
        </w:tc>
        <w:tc>
          <w:tcPr>
            <w:tcW w:w="3400" w:type="dxa"/>
            <w:shd w:val="clear" w:color="auto" w:fill="FFFFFF"/>
            <w:tcMar>
              <w:top w:w="90" w:type="dxa"/>
              <w:left w:w="120" w:type="dxa"/>
              <w:bottom w:w="90" w:type="dxa"/>
              <w:right w:w="120" w:type="dxa"/>
            </w:tcMar>
            <w:vAlign w:val="center"/>
          </w:tcPr>
          <w:p w14:paraId="7439057D">
            <w:pPr>
              <w:spacing w:line="260" w:lineRule="auto"/>
            </w:pPr>
            <w:r>
              <w:rPr>
                <w:b w:val="0"/>
                <w:bCs w:val="0"/>
                <w:color w:val="222222"/>
                <w:sz w:val="18"/>
                <w:szCs w:val="18"/>
              </w:rPr>
              <w:t>Strong</w:t>
            </w:r>
          </w:p>
        </w:tc>
        <w:tc>
          <w:tcPr>
            <w:tcW w:w="3360" w:type="dxa"/>
            <w:shd w:val="clear" w:color="auto" w:fill="FFFFFF"/>
            <w:tcMar>
              <w:top w:w="90" w:type="dxa"/>
              <w:left w:w="120" w:type="dxa"/>
              <w:bottom w:w="90" w:type="dxa"/>
              <w:right w:w="120" w:type="dxa"/>
            </w:tcMar>
            <w:vAlign w:val="center"/>
          </w:tcPr>
          <w:p w14:paraId="115CE188">
            <w:pPr>
              <w:spacing w:line="260" w:lineRule="auto"/>
            </w:pPr>
            <w:r>
              <w:rPr>
                <w:b w:val="0"/>
                <w:bCs w:val="0"/>
                <w:color w:val="222222"/>
                <w:sz w:val="18"/>
                <w:szCs w:val="18"/>
              </w:rPr>
              <w:t>Databricks-locked</w:t>
            </w:r>
          </w:p>
        </w:tc>
      </w:tr>
    </w:tbl>
    <w:p w14:paraId="34AECB53">
      <w:pPr>
        <w:pStyle w:val="3"/>
        <w:spacing w:before="320" w:after="140"/>
      </w:pPr>
      <w:r>
        <w:rPr>
          <w:b/>
          <w:bCs/>
          <w:color w:val="3B5372"/>
          <w:sz w:val="24"/>
          <w:szCs w:val="24"/>
        </w:rPr>
        <w:t>1.6 Cost Analysis</w:t>
      </w:r>
    </w:p>
    <w:p w14:paraId="7132ADEB">
      <w:pPr>
        <w:pStyle w:val="4"/>
        <w:spacing w:before="220" w:after="100"/>
      </w:pPr>
      <w:r>
        <w:rPr>
          <w:b/>
          <w:bCs/>
          <w:color w:val="0F6B5C"/>
          <w:sz w:val="21"/>
          <w:szCs w:val="21"/>
        </w:rPr>
        <w:t>1.6.1 Structural Difference</w:t>
      </w:r>
    </w:p>
    <w:p w14:paraId="550779B5">
      <w:pPr>
        <w:spacing w:after="160" w:line="300" w:lineRule="auto"/>
      </w:pPr>
      <w:r>
        <w:rPr>
          <w:b w:val="0"/>
          <w:bCs w:val="0"/>
          <w:i w:val="0"/>
          <w:iCs w:val="0"/>
          <w:color w:val="222222"/>
          <w:sz w:val="21"/>
          <w:szCs w:val="21"/>
        </w:rPr>
        <w:t>dbt does not execute transformations itself — it pushes SQL to Databricks and pays a separate platform fee on top of the compute that the SQL still consumes. Lakeflow removes that additional licensing layer entirely, since it executes natively as Databricks compute with no third-party platform fee.</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400"/>
        <w:gridCol w:w="3480"/>
        <w:gridCol w:w="3480"/>
      </w:tblGrid>
      <w:tr w14:paraId="11AA5D9A">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400" w:type="dxa"/>
            <w:shd w:val="clear" w:color="auto" w:fill="1B2A4A"/>
            <w:tcMar>
              <w:top w:w="100" w:type="dxa"/>
              <w:left w:w="120" w:type="dxa"/>
              <w:bottom w:w="100" w:type="dxa"/>
              <w:right w:w="120" w:type="dxa"/>
            </w:tcMar>
            <w:vAlign w:val="center"/>
          </w:tcPr>
          <w:p w14:paraId="7FF74972">
            <w:r>
              <w:rPr>
                <w:b/>
                <w:bCs/>
                <w:color w:val="FFFFFF"/>
                <w:sz w:val="18"/>
                <w:szCs w:val="18"/>
              </w:rPr>
              <w:t>Cost Stack</w:t>
            </w:r>
          </w:p>
        </w:tc>
        <w:tc>
          <w:tcPr>
            <w:tcW w:w="3480" w:type="dxa"/>
            <w:shd w:val="clear" w:color="auto" w:fill="1B2A4A"/>
            <w:tcMar>
              <w:top w:w="100" w:type="dxa"/>
              <w:left w:w="120" w:type="dxa"/>
              <w:bottom w:w="100" w:type="dxa"/>
              <w:right w:w="120" w:type="dxa"/>
            </w:tcMar>
            <w:vAlign w:val="center"/>
          </w:tcPr>
          <w:p w14:paraId="2FA674E7">
            <w:r>
              <w:rPr>
                <w:b/>
                <w:bCs/>
                <w:color w:val="FFFFFF"/>
                <w:sz w:val="18"/>
                <w:szCs w:val="18"/>
              </w:rPr>
              <w:t>dbt on Databricks</w:t>
            </w:r>
          </w:p>
        </w:tc>
        <w:tc>
          <w:tcPr>
            <w:tcW w:w="3480" w:type="dxa"/>
            <w:shd w:val="clear" w:color="auto" w:fill="1B2A4A"/>
            <w:tcMar>
              <w:top w:w="100" w:type="dxa"/>
              <w:left w:w="120" w:type="dxa"/>
              <w:bottom w:w="100" w:type="dxa"/>
              <w:right w:w="120" w:type="dxa"/>
            </w:tcMar>
            <w:vAlign w:val="center"/>
          </w:tcPr>
          <w:p w14:paraId="1F4ABC1F">
            <w:r>
              <w:rPr>
                <w:b/>
                <w:bCs/>
                <w:color w:val="FFFFFF"/>
                <w:sz w:val="18"/>
                <w:szCs w:val="18"/>
              </w:rPr>
              <w:t>Databricks-Native (Lakeflow)</w:t>
            </w:r>
          </w:p>
        </w:tc>
      </w:tr>
      <w:tr w14:paraId="38AFE24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0AE6ED04">
            <w:pPr>
              <w:spacing w:line="260" w:lineRule="auto"/>
            </w:pPr>
            <w:r>
              <w:rPr>
                <w:b/>
                <w:bCs/>
                <w:color w:val="222222"/>
                <w:sz w:val="18"/>
                <w:szCs w:val="18"/>
              </w:rPr>
              <w:t>Platform / license fee</w:t>
            </w:r>
          </w:p>
        </w:tc>
        <w:tc>
          <w:tcPr>
            <w:tcW w:w="3480" w:type="dxa"/>
            <w:shd w:val="clear" w:color="auto" w:fill="FFFFFF"/>
            <w:tcMar>
              <w:top w:w="90" w:type="dxa"/>
              <w:left w:w="120" w:type="dxa"/>
              <w:bottom w:w="90" w:type="dxa"/>
              <w:right w:w="120" w:type="dxa"/>
            </w:tcMar>
            <w:vAlign w:val="center"/>
          </w:tcPr>
          <w:p w14:paraId="42A505E3">
            <w:pPr>
              <w:spacing w:line="260" w:lineRule="auto"/>
            </w:pPr>
            <w:r>
              <w:rPr>
                <w:b w:val="0"/>
                <w:bCs w:val="0"/>
                <w:color w:val="222222"/>
                <w:sz w:val="18"/>
                <w:szCs w:val="18"/>
              </w:rPr>
              <w:t>dbt Cloud platform fee — seats + successful-model usage</w:t>
            </w:r>
          </w:p>
        </w:tc>
        <w:tc>
          <w:tcPr>
            <w:tcW w:w="3480" w:type="dxa"/>
            <w:shd w:val="clear" w:color="auto" w:fill="FFFFFF"/>
            <w:tcMar>
              <w:top w:w="90" w:type="dxa"/>
              <w:left w:w="120" w:type="dxa"/>
              <w:bottom w:w="90" w:type="dxa"/>
              <w:right w:w="120" w:type="dxa"/>
            </w:tcMar>
            <w:vAlign w:val="center"/>
          </w:tcPr>
          <w:p w14:paraId="42A451E4">
            <w:pPr>
              <w:spacing w:line="260" w:lineRule="auto"/>
            </w:pPr>
            <w:r>
              <w:rPr>
                <w:b w:val="0"/>
                <w:bCs w:val="0"/>
                <w:color w:val="222222"/>
                <w:sz w:val="18"/>
                <w:szCs w:val="18"/>
              </w:rPr>
              <w:t>None</w:t>
            </w:r>
          </w:p>
        </w:tc>
      </w:tr>
      <w:tr w14:paraId="418A864F">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2F5F7"/>
            <w:tcMar>
              <w:top w:w="90" w:type="dxa"/>
              <w:left w:w="120" w:type="dxa"/>
              <w:bottom w:w="90" w:type="dxa"/>
              <w:right w:w="120" w:type="dxa"/>
            </w:tcMar>
            <w:vAlign w:val="center"/>
          </w:tcPr>
          <w:p w14:paraId="1CD566BB">
            <w:pPr>
              <w:spacing w:line="260" w:lineRule="auto"/>
            </w:pPr>
            <w:r>
              <w:rPr>
                <w:b/>
                <w:bCs/>
                <w:color w:val="222222"/>
                <w:sz w:val="18"/>
                <w:szCs w:val="18"/>
              </w:rPr>
              <w:t>Compute</w:t>
            </w:r>
          </w:p>
        </w:tc>
        <w:tc>
          <w:tcPr>
            <w:tcW w:w="3480" w:type="dxa"/>
            <w:shd w:val="clear" w:color="auto" w:fill="F2F5F7"/>
            <w:tcMar>
              <w:top w:w="90" w:type="dxa"/>
              <w:left w:w="120" w:type="dxa"/>
              <w:bottom w:w="90" w:type="dxa"/>
              <w:right w:w="120" w:type="dxa"/>
            </w:tcMar>
            <w:vAlign w:val="center"/>
          </w:tcPr>
          <w:p w14:paraId="5B7D561D">
            <w:pPr>
              <w:spacing w:line="260" w:lineRule="auto"/>
            </w:pPr>
            <w:r>
              <w:rPr>
                <w:b w:val="0"/>
                <w:bCs w:val="0"/>
                <w:color w:val="222222"/>
                <w:sz w:val="18"/>
                <w:szCs w:val="18"/>
              </w:rPr>
              <w:t>Databricks compute — SQL still runs on Jobs / SQL Warehouse / All-Purpose, billed separately</w:t>
            </w:r>
          </w:p>
        </w:tc>
        <w:tc>
          <w:tcPr>
            <w:tcW w:w="3480" w:type="dxa"/>
            <w:shd w:val="clear" w:color="auto" w:fill="F2F5F7"/>
            <w:tcMar>
              <w:top w:w="90" w:type="dxa"/>
              <w:left w:w="120" w:type="dxa"/>
              <w:bottom w:w="90" w:type="dxa"/>
              <w:right w:w="120" w:type="dxa"/>
            </w:tcMar>
            <w:vAlign w:val="center"/>
          </w:tcPr>
          <w:p w14:paraId="0CF65E01">
            <w:pPr>
              <w:spacing w:line="260" w:lineRule="auto"/>
            </w:pPr>
            <w:r>
              <w:rPr>
                <w:b w:val="0"/>
                <w:bCs w:val="0"/>
                <w:color w:val="222222"/>
                <w:sz w:val="18"/>
                <w:szCs w:val="18"/>
              </w:rPr>
              <w:t>Lakeflow Jobs / Declarative Pipelines DBUs — no added platform license</w:t>
            </w:r>
          </w:p>
        </w:tc>
      </w:tr>
    </w:tbl>
    <w:p w14:paraId="751E0103">
      <w:pPr>
        <w:spacing w:after="100"/>
      </w:pPr>
    </w:p>
    <w:p w14:paraId="226D26D6">
      <w:pPr>
        <w:pStyle w:val="4"/>
        <w:spacing w:before="220" w:after="100"/>
      </w:pPr>
      <w:r>
        <w:rPr>
          <w:b/>
          <w:bCs/>
          <w:color w:val="0F6B5C"/>
          <w:sz w:val="21"/>
          <w:szCs w:val="21"/>
        </w:rPr>
        <w:t>1.6.2 Illustrative Rates (Databricks Premium, List, US)</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6360"/>
        <w:gridCol w:w="3000"/>
      </w:tblGrid>
      <w:tr w14:paraId="71069ED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6360" w:type="dxa"/>
            <w:shd w:val="clear" w:color="auto" w:fill="1B2A4A"/>
            <w:tcMar>
              <w:top w:w="100" w:type="dxa"/>
              <w:left w:w="120" w:type="dxa"/>
              <w:bottom w:w="100" w:type="dxa"/>
              <w:right w:w="120" w:type="dxa"/>
            </w:tcMar>
            <w:vAlign w:val="center"/>
          </w:tcPr>
          <w:p w14:paraId="1A175516">
            <w:r>
              <w:rPr>
                <w:b/>
                <w:bCs/>
                <w:color w:val="FFFFFF"/>
                <w:sz w:val="18"/>
                <w:szCs w:val="18"/>
              </w:rPr>
              <w:t>Compute Type</w:t>
            </w:r>
          </w:p>
        </w:tc>
        <w:tc>
          <w:tcPr>
            <w:tcW w:w="3000" w:type="dxa"/>
            <w:shd w:val="clear" w:color="auto" w:fill="1B2A4A"/>
            <w:tcMar>
              <w:top w:w="100" w:type="dxa"/>
              <w:left w:w="120" w:type="dxa"/>
              <w:bottom w:w="100" w:type="dxa"/>
              <w:right w:w="120" w:type="dxa"/>
            </w:tcMar>
            <w:vAlign w:val="center"/>
          </w:tcPr>
          <w:p w14:paraId="0E01C966">
            <w:r>
              <w:rPr>
                <w:b/>
                <w:bCs/>
                <w:color w:val="FFFFFF"/>
                <w:sz w:val="18"/>
                <w:szCs w:val="18"/>
              </w:rPr>
              <w:t>$ / DBU</w:t>
            </w:r>
          </w:p>
        </w:tc>
      </w:tr>
      <w:tr w14:paraId="1E1067E0">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6360" w:type="dxa"/>
            <w:shd w:val="clear" w:color="auto" w:fill="FFFFFF"/>
            <w:tcMar>
              <w:top w:w="90" w:type="dxa"/>
              <w:left w:w="120" w:type="dxa"/>
              <w:bottom w:w="90" w:type="dxa"/>
              <w:right w:w="120" w:type="dxa"/>
            </w:tcMar>
            <w:vAlign w:val="center"/>
          </w:tcPr>
          <w:p w14:paraId="6C175058">
            <w:pPr>
              <w:spacing w:line="260" w:lineRule="auto"/>
            </w:pPr>
            <w:r>
              <w:rPr>
                <w:b/>
                <w:bCs/>
                <w:color w:val="222222"/>
                <w:sz w:val="18"/>
                <w:szCs w:val="18"/>
              </w:rPr>
              <w:t>Lakeflow Jobs — Classic</w:t>
            </w:r>
          </w:p>
        </w:tc>
        <w:tc>
          <w:tcPr>
            <w:tcW w:w="3000" w:type="dxa"/>
            <w:shd w:val="clear" w:color="auto" w:fill="FFFFFF"/>
            <w:tcMar>
              <w:top w:w="90" w:type="dxa"/>
              <w:left w:w="120" w:type="dxa"/>
              <w:bottom w:w="90" w:type="dxa"/>
              <w:right w:w="120" w:type="dxa"/>
            </w:tcMar>
            <w:vAlign w:val="center"/>
          </w:tcPr>
          <w:p w14:paraId="51928B66">
            <w:pPr>
              <w:spacing w:line="260" w:lineRule="auto"/>
            </w:pPr>
            <w:r>
              <w:rPr>
                <w:b w:val="0"/>
                <w:bCs w:val="0"/>
                <w:color w:val="222222"/>
                <w:sz w:val="18"/>
                <w:szCs w:val="18"/>
              </w:rPr>
              <w:t>$0.15</w:t>
            </w:r>
          </w:p>
        </w:tc>
      </w:tr>
      <w:tr w14:paraId="23F0D5B3">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6360" w:type="dxa"/>
            <w:shd w:val="clear" w:color="auto" w:fill="F2F5F7"/>
            <w:tcMar>
              <w:top w:w="90" w:type="dxa"/>
              <w:left w:w="120" w:type="dxa"/>
              <w:bottom w:w="90" w:type="dxa"/>
              <w:right w:w="120" w:type="dxa"/>
            </w:tcMar>
            <w:vAlign w:val="center"/>
          </w:tcPr>
          <w:p w14:paraId="4F6DC5CB">
            <w:pPr>
              <w:spacing w:line="260" w:lineRule="auto"/>
            </w:pPr>
            <w:r>
              <w:rPr>
                <w:b/>
                <w:bCs/>
                <w:color w:val="222222"/>
                <w:sz w:val="18"/>
                <w:szCs w:val="18"/>
              </w:rPr>
              <w:t>Lakeflow Declarative Pipelines — Core</w:t>
            </w:r>
          </w:p>
        </w:tc>
        <w:tc>
          <w:tcPr>
            <w:tcW w:w="3000" w:type="dxa"/>
            <w:shd w:val="clear" w:color="auto" w:fill="F2F5F7"/>
            <w:tcMar>
              <w:top w:w="90" w:type="dxa"/>
              <w:left w:w="120" w:type="dxa"/>
              <w:bottom w:w="90" w:type="dxa"/>
              <w:right w:w="120" w:type="dxa"/>
            </w:tcMar>
            <w:vAlign w:val="center"/>
          </w:tcPr>
          <w:p w14:paraId="26D71E7E">
            <w:pPr>
              <w:spacing w:line="260" w:lineRule="auto"/>
            </w:pPr>
            <w:r>
              <w:rPr>
                <w:b w:val="0"/>
                <w:bCs w:val="0"/>
                <w:color w:val="222222"/>
                <w:sz w:val="18"/>
                <w:szCs w:val="18"/>
              </w:rPr>
              <w:t>$0.20</w:t>
            </w:r>
          </w:p>
        </w:tc>
      </w:tr>
      <w:tr w14:paraId="4EDD896D">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6360" w:type="dxa"/>
            <w:shd w:val="clear" w:color="auto" w:fill="FFFFFF"/>
            <w:tcMar>
              <w:top w:w="90" w:type="dxa"/>
              <w:left w:w="120" w:type="dxa"/>
              <w:bottom w:w="90" w:type="dxa"/>
              <w:right w:w="120" w:type="dxa"/>
            </w:tcMar>
            <w:vAlign w:val="center"/>
          </w:tcPr>
          <w:p w14:paraId="0377AB62">
            <w:pPr>
              <w:spacing w:line="260" w:lineRule="auto"/>
            </w:pPr>
            <w:r>
              <w:rPr>
                <w:b/>
                <w:bCs/>
                <w:color w:val="222222"/>
                <w:sz w:val="18"/>
                <w:szCs w:val="18"/>
              </w:rPr>
              <w:t>Lakeflow Jobs / Pipelines — Serverless</w:t>
            </w:r>
          </w:p>
        </w:tc>
        <w:tc>
          <w:tcPr>
            <w:tcW w:w="3000" w:type="dxa"/>
            <w:shd w:val="clear" w:color="auto" w:fill="FFFFFF"/>
            <w:tcMar>
              <w:top w:w="90" w:type="dxa"/>
              <w:left w:w="120" w:type="dxa"/>
              <w:bottom w:w="90" w:type="dxa"/>
              <w:right w:w="120" w:type="dxa"/>
            </w:tcMar>
            <w:vAlign w:val="center"/>
          </w:tcPr>
          <w:p w14:paraId="7A46D292">
            <w:pPr>
              <w:spacing w:line="260" w:lineRule="auto"/>
            </w:pPr>
            <w:r>
              <w:rPr>
                <w:b w:val="0"/>
                <w:bCs w:val="0"/>
                <w:color w:val="222222"/>
                <w:sz w:val="18"/>
                <w:szCs w:val="18"/>
              </w:rPr>
              <w:t>$0.40</w:t>
            </w:r>
          </w:p>
        </w:tc>
      </w:tr>
      <w:tr w14:paraId="7BEF7213">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6360" w:type="dxa"/>
            <w:shd w:val="clear" w:color="auto" w:fill="F2F5F7"/>
            <w:tcMar>
              <w:top w:w="90" w:type="dxa"/>
              <w:left w:w="120" w:type="dxa"/>
              <w:bottom w:w="90" w:type="dxa"/>
              <w:right w:w="120" w:type="dxa"/>
            </w:tcMar>
            <w:vAlign w:val="center"/>
          </w:tcPr>
          <w:p w14:paraId="733259E7">
            <w:pPr>
              <w:spacing w:line="260" w:lineRule="auto"/>
            </w:pPr>
            <w:r>
              <w:rPr>
                <w:b/>
                <w:bCs/>
                <w:color w:val="222222"/>
                <w:sz w:val="18"/>
                <w:szCs w:val="18"/>
              </w:rPr>
              <w:t>SQL Classic Warehouse</w:t>
            </w:r>
          </w:p>
        </w:tc>
        <w:tc>
          <w:tcPr>
            <w:tcW w:w="3000" w:type="dxa"/>
            <w:shd w:val="clear" w:color="auto" w:fill="F2F5F7"/>
            <w:tcMar>
              <w:top w:w="90" w:type="dxa"/>
              <w:left w:w="120" w:type="dxa"/>
              <w:bottom w:w="90" w:type="dxa"/>
              <w:right w:w="120" w:type="dxa"/>
            </w:tcMar>
            <w:vAlign w:val="center"/>
          </w:tcPr>
          <w:p w14:paraId="62AF5104">
            <w:pPr>
              <w:spacing w:line="260" w:lineRule="auto"/>
            </w:pPr>
            <w:r>
              <w:rPr>
                <w:b w:val="0"/>
                <w:bCs w:val="0"/>
                <w:color w:val="222222"/>
                <w:sz w:val="18"/>
                <w:szCs w:val="18"/>
              </w:rPr>
              <w:t>$0.22</w:t>
            </w:r>
          </w:p>
        </w:tc>
      </w:tr>
      <w:tr w14:paraId="0EFED47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6360" w:type="dxa"/>
            <w:shd w:val="clear" w:color="auto" w:fill="FFFFFF"/>
            <w:tcMar>
              <w:top w:w="90" w:type="dxa"/>
              <w:left w:w="120" w:type="dxa"/>
              <w:bottom w:w="90" w:type="dxa"/>
              <w:right w:w="120" w:type="dxa"/>
            </w:tcMar>
            <w:vAlign w:val="center"/>
          </w:tcPr>
          <w:p w14:paraId="02EE4A8B">
            <w:pPr>
              <w:spacing w:line="260" w:lineRule="auto"/>
            </w:pPr>
            <w:r>
              <w:rPr>
                <w:b/>
                <w:bCs/>
                <w:color w:val="222222"/>
                <w:sz w:val="18"/>
                <w:szCs w:val="18"/>
              </w:rPr>
              <w:t>All-Purpose Compute (interactive)</w:t>
            </w:r>
          </w:p>
        </w:tc>
        <w:tc>
          <w:tcPr>
            <w:tcW w:w="3000" w:type="dxa"/>
            <w:shd w:val="clear" w:color="auto" w:fill="FFFFFF"/>
            <w:tcMar>
              <w:top w:w="90" w:type="dxa"/>
              <w:left w:w="120" w:type="dxa"/>
              <w:bottom w:w="90" w:type="dxa"/>
              <w:right w:w="120" w:type="dxa"/>
            </w:tcMar>
            <w:vAlign w:val="center"/>
          </w:tcPr>
          <w:p w14:paraId="18D21B8F">
            <w:pPr>
              <w:spacing w:line="260" w:lineRule="auto"/>
            </w:pPr>
            <w:r>
              <w:rPr>
                <w:b w:val="0"/>
                <w:bCs w:val="0"/>
                <w:color w:val="222222"/>
                <w:sz w:val="18"/>
                <w:szCs w:val="18"/>
              </w:rPr>
              <w:t>$0.55</w:t>
            </w:r>
          </w:p>
        </w:tc>
      </w:tr>
      <w:tr w14:paraId="04D692AC">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6360" w:type="dxa"/>
            <w:shd w:val="clear" w:color="auto" w:fill="F2F5F7"/>
            <w:tcMar>
              <w:top w:w="90" w:type="dxa"/>
              <w:left w:w="120" w:type="dxa"/>
              <w:bottom w:w="90" w:type="dxa"/>
              <w:right w:w="120" w:type="dxa"/>
            </w:tcMar>
            <w:vAlign w:val="center"/>
          </w:tcPr>
          <w:p w14:paraId="3D7C0F27">
            <w:pPr>
              <w:spacing w:line="260" w:lineRule="auto"/>
            </w:pPr>
            <w:r>
              <w:rPr>
                <w:b/>
                <w:bCs/>
                <w:color w:val="222222"/>
                <w:sz w:val="18"/>
                <w:szCs w:val="18"/>
              </w:rPr>
              <w:t>Serverless SQL Warehouse</w:t>
            </w:r>
          </w:p>
        </w:tc>
        <w:tc>
          <w:tcPr>
            <w:tcW w:w="3000" w:type="dxa"/>
            <w:shd w:val="clear" w:color="auto" w:fill="F2F5F7"/>
            <w:tcMar>
              <w:top w:w="90" w:type="dxa"/>
              <w:left w:w="120" w:type="dxa"/>
              <w:bottom w:w="90" w:type="dxa"/>
              <w:right w:w="120" w:type="dxa"/>
            </w:tcMar>
            <w:vAlign w:val="center"/>
          </w:tcPr>
          <w:p w14:paraId="1115986E">
            <w:pPr>
              <w:spacing w:line="260" w:lineRule="auto"/>
            </w:pPr>
            <w:r>
              <w:rPr>
                <w:b w:val="0"/>
                <w:bCs w:val="0"/>
                <w:color w:val="222222"/>
                <w:sz w:val="18"/>
                <w:szCs w:val="18"/>
              </w:rPr>
              <w:t>~$0.70</w:t>
            </w:r>
          </w:p>
        </w:tc>
      </w:tr>
    </w:tbl>
    <w:p w14:paraId="6E2B3636">
      <w:pPr>
        <w:spacing w:after="100"/>
      </w:pPr>
    </w:p>
    <w:p w14:paraId="45831B2F">
      <w:pPr>
        <w:pStyle w:val="4"/>
        <w:spacing w:before="220" w:after="100"/>
      </w:pPr>
      <w:r>
        <w:rPr>
          <w:b/>
          <w:bCs/>
          <w:color w:val="0F6B5C"/>
          <w:sz w:val="21"/>
          <w:szCs w:val="21"/>
        </w:rPr>
        <w:t>1.6.3 dbt Cloud Licensing (List)</w:t>
      </w:r>
    </w:p>
    <w:p w14:paraId="091DB510">
      <w:pPr>
        <w:pStyle w:val="16"/>
        <w:numPr>
          <w:ilvl w:val="0"/>
          <w:numId w:val="1"/>
        </w:numPr>
        <w:spacing w:after="90" w:line="280" w:lineRule="auto"/>
      </w:pPr>
      <w:r>
        <w:rPr>
          <w:color w:val="222222"/>
          <w:sz w:val="21"/>
          <w:szCs w:val="21"/>
        </w:rPr>
        <w:t>Developer: free — 1 seat, no scheduling or CI</w:t>
      </w:r>
    </w:p>
    <w:p w14:paraId="109BE7FD">
      <w:pPr>
        <w:pStyle w:val="16"/>
        <w:numPr>
          <w:ilvl w:val="0"/>
          <w:numId w:val="1"/>
        </w:numPr>
        <w:spacing w:after="90" w:line="280" w:lineRule="auto"/>
      </w:pPr>
      <w:r>
        <w:rPr>
          <w:color w:val="222222"/>
          <w:sz w:val="21"/>
          <w:szCs w:val="21"/>
        </w:rPr>
        <w:t>Starter: $100/seat/month, including 15,000 model builds; $0.01 per model over</w:t>
      </w:r>
    </w:p>
    <w:p w14:paraId="0D74E3F8">
      <w:pPr>
        <w:pStyle w:val="16"/>
        <w:numPr>
          <w:ilvl w:val="0"/>
          <w:numId w:val="1"/>
        </w:numPr>
        <w:spacing w:after="90" w:line="280" w:lineRule="auto"/>
      </w:pPr>
      <w:r>
        <w:rPr>
          <w:color w:val="222222"/>
          <w:sz w:val="21"/>
          <w:szCs w:val="21"/>
        </w:rPr>
        <w:t>Enterprise: custom, roughly $200–400/seat/month negotiated</w:t>
      </w:r>
    </w:p>
    <w:p w14:paraId="09C15CD5">
      <w:pPr>
        <w:pStyle w:val="16"/>
        <w:numPr>
          <w:ilvl w:val="0"/>
          <w:numId w:val="1"/>
        </w:numPr>
        <w:spacing w:after="90" w:line="280" w:lineRule="auto"/>
      </w:pPr>
      <w:r>
        <w:rPr>
          <w:color w:val="222222"/>
          <w:sz w:val="21"/>
          <w:szCs w:val="21"/>
        </w:rPr>
        <w:t>Typical 20-seat Enterprise contract: $36K–$84K/year, plus Databricks compute</w:t>
      </w:r>
    </w:p>
    <w:p w14:paraId="7239A725">
      <w:pPr>
        <w:spacing w:after="100"/>
      </w:pPr>
    </w:p>
    <w:p w14:paraId="53EF4B9D">
      <w:pPr>
        <w:pStyle w:val="4"/>
        <w:spacing w:before="220" w:after="100"/>
      </w:pPr>
      <w:r>
        <w:rPr>
          <w:b/>
          <w:bCs/>
          <w:color w:val="0F6B5C"/>
          <w:sz w:val="21"/>
          <w:szCs w:val="21"/>
        </w:rPr>
        <w:t>1.6.4 Worked Example — 5-Person Team, Moderate Volume</w:t>
      </w:r>
    </w:p>
    <w:p w14:paraId="25D0A119">
      <w:pPr>
        <w:pStyle w:val="16"/>
        <w:numPr>
          <w:ilvl w:val="0"/>
          <w:numId w:val="1"/>
        </w:numPr>
        <w:spacing w:after="90" w:line="280" w:lineRule="auto"/>
      </w:pPr>
      <w:r>
        <w:rPr>
          <w:b/>
          <w:bCs/>
          <w:color w:val="1B2A4A"/>
          <w:sz w:val="21"/>
          <w:szCs w:val="21"/>
        </w:rPr>
        <w:t xml:space="preserve">dbt path: </w:t>
      </w:r>
      <w:r>
        <w:rPr>
          <w:color w:val="222222"/>
          <w:sz w:val="21"/>
          <w:szCs w:val="21"/>
        </w:rPr>
        <w:t>$6K–$18K/yr in seats and overages, plus the Databricks compute that still executes every model — often an additional $12K–$50K+/yr.</w:t>
      </w:r>
    </w:p>
    <w:p w14:paraId="5784F085">
      <w:pPr>
        <w:pStyle w:val="16"/>
        <w:numPr>
          <w:ilvl w:val="0"/>
          <w:numId w:val="1"/>
        </w:numPr>
        <w:spacing w:after="90" w:line="280" w:lineRule="auto"/>
      </w:pPr>
      <w:r>
        <w:rPr>
          <w:b/>
          <w:bCs/>
          <w:color w:val="1B2A4A"/>
          <w:sz w:val="21"/>
          <w:szCs w:val="21"/>
        </w:rPr>
        <w:t xml:space="preserve">Lakeflow-native path: </w:t>
      </w:r>
      <w:r>
        <w:rPr>
          <w:color w:val="222222"/>
          <w:sz w:val="21"/>
          <w:szCs w:val="21"/>
        </w:rPr>
        <w:t>Same underlying compute, no seat fee, and typically billed on cheaper Jobs/Pipeline rates instead of the interactive or Serverless SQL rates dbt workloads often land on by default.</w:t>
      </w:r>
    </w:p>
    <w:p w14:paraId="0C53C04F">
      <w:pPr>
        <w:spacing w:after="160" w:line="300" w:lineRule="auto"/>
      </w:pPr>
      <w:r>
        <w:rPr>
          <w:b w:val="0"/>
          <w:bCs w:val="0"/>
          <w:i w:val="0"/>
          <w:iCs w:val="0"/>
          <w:color w:val="222222"/>
          <w:sz w:val="21"/>
          <w:szCs w:val="21"/>
        </w:rPr>
        <w:t>Jobs Compute runs roughly two to three times cheaper per DBU than the interactive and serverless-SQL paths dbt workloads often default to. The net effect is that choosing dbt adds a full licensing layer on top of a compute bill the organization already pays Databricks; Lakeflow removes that layer entirely.</w:t>
      </w:r>
    </w:p>
    <w:p w14:paraId="4DE3D606">
      <w:pPr>
        <w:pStyle w:val="3"/>
        <w:spacing w:before="320" w:after="140"/>
      </w:pPr>
      <w:r>
        <w:rPr>
          <w:b/>
          <w:bCs/>
          <w:color w:val="3B5372"/>
          <w:sz w:val="24"/>
          <w:szCs w:val="24"/>
        </w:rPr>
        <w:t>1.7 Recommendation — Hybrid Bronze / Silver / Gold Ownership</w:t>
      </w:r>
    </w:p>
    <w:p w14:paraId="1D3A3F50">
      <w:pPr>
        <w:spacing w:after="160" w:line="300" w:lineRule="auto"/>
      </w:pPr>
      <w:r>
        <w:rPr>
          <w:b w:val="0"/>
          <w:bCs w:val="0"/>
          <w:i w:val="0"/>
          <w:iCs w:val="0"/>
          <w:color w:val="222222"/>
          <w:sz w:val="21"/>
          <w:szCs w:val="21"/>
        </w:rPr>
        <w:t>A defensible hybrid model assigns the right tool per layer of the medallion architecture rather than forcing a single tool across the entire pipeline:</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1600"/>
        <w:gridCol w:w="3000"/>
        <w:gridCol w:w="3360"/>
        <w:gridCol w:w="1400"/>
      </w:tblGrid>
      <w:tr w14:paraId="1CBD092B">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1600" w:type="dxa"/>
            <w:shd w:val="clear" w:color="auto" w:fill="1B2A4A"/>
            <w:tcMar>
              <w:top w:w="100" w:type="dxa"/>
              <w:left w:w="120" w:type="dxa"/>
              <w:bottom w:w="100" w:type="dxa"/>
              <w:right w:w="120" w:type="dxa"/>
            </w:tcMar>
            <w:vAlign w:val="center"/>
          </w:tcPr>
          <w:p w14:paraId="4A8D0219">
            <w:r>
              <w:rPr>
                <w:b/>
                <w:bCs/>
                <w:color w:val="FFFFFF"/>
                <w:sz w:val="18"/>
                <w:szCs w:val="18"/>
              </w:rPr>
              <w:t>Layer</w:t>
            </w:r>
          </w:p>
        </w:tc>
        <w:tc>
          <w:tcPr>
            <w:tcW w:w="3000" w:type="dxa"/>
            <w:shd w:val="clear" w:color="auto" w:fill="1B2A4A"/>
            <w:tcMar>
              <w:top w:w="100" w:type="dxa"/>
              <w:left w:w="120" w:type="dxa"/>
              <w:bottom w:w="100" w:type="dxa"/>
              <w:right w:w="120" w:type="dxa"/>
            </w:tcMar>
            <w:vAlign w:val="center"/>
          </w:tcPr>
          <w:p w14:paraId="09C74078">
            <w:r>
              <w:rPr>
                <w:b/>
                <w:bCs/>
                <w:color w:val="FFFFFF"/>
                <w:sz w:val="18"/>
                <w:szCs w:val="18"/>
              </w:rPr>
              <w:t>Purpose</w:t>
            </w:r>
          </w:p>
        </w:tc>
        <w:tc>
          <w:tcPr>
            <w:tcW w:w="3360" w:type="dxa"/>
            <w:shd w:val="clear" w:color="auto" w:fill="1B2A4A"/>
            <w:tcMar>
              <w:top w:w="100" w:type="dxa"/>
              <w:left w:w="120" w:type="dxa"/>
              <w:bottom w:w="100" w:type="dxa"/>
              <w:right w:w="120" w:type="dxa"/>
            </w:tcMar>
            <w:vAlign w:val="center"/>
          </w:tcPr>
          <w:p w14:paraId="24A04A11">
            <w:r>
              <w:rPr>
                <w:b/>
                <w:bCs/>
                <w:color w:val="FFFFFF"/>
                <w:sz w:val="18"/>
                <w:szCs w:val="18"/>
              </w:rPr>
              <w:t>Mechanism</w:t>
            </w:r>
          </w:p>
        </w:tc>
        <w:tc>
          <w:tcPr>
            <w:tcW w:w="1400" w:type="dxa"/>
            <w:shd w:val="clear" w:color="auto" w:fill="1B2A4A"/>
            <w:tcMar>
              <w:top w:w="100" w:type="dxa"/>
              <w:left w:w="120" w:type="dxa"/>
              <w:bottom w:w="100" w:type="dxa"/>
              <w:right w:w="120" w:type="dxa"/>
            </w:tcMar>
            <w:vAlign w:val="center"/>
          </w:tcPr>
          <w:p w14:paraId="436A8764">
            <w:r>
              <w:rPr>
                <w:b/>
                <w:bCs/>
                <w:color w:val="FFFFFF"/>
                <w:sz w:val="18"/>
                <w:szCs w:val="18"/>
              </w:rPr>
              <w:t>Owner</w:t>
            </w:r>
          </w:p>
        </w:tc>
      </w:tr>
      <w:tr w14:paraId="5884BC0D">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1600" w:type="dxa"/>
            <w:shd w:val="clear" w:color="auto" w:fill="FFFFFF"/>
            <w:tcMar>
              <w:top w:w="90" w:type="dxa"/>
              <w:left w:w="120" w:type="dxa"/>
              <w:bottom w:w="90" w:type="dxa"/>
              <w:right w:w="120" w:type="dxa"/>
            </w:tcMar>
            <w:vAlign w:val="center"/>
          </w:tcPr>
          <w:p w14:paraId="1649B911">
            <w:pPr>
              <w:spacing w:line="260" w:lineRule="auto"/>
            </w:pPr>
            <w:r>
              <w:rPr>
                <w:b/>
                <w:bCs/>
                <w:color w:val="222222"/>
                <w:sz w:val="18"/>
                <w:szCs w:val="18"/>
              </w:rPr>
              <w:t>Bronze</w:t>
            </w:r>
          </w:p>
        </w:tc>
        <w:tc>
          <w:tcPr>
            <w:tcW w:w="3000" w:type="dxa"/>
            <w:shd w:val="clear" w:color="auto" w:fill="FFFFFF"/>
            <w:tcMar>
              <w:top w:w="90" w:type="dxa"/>
              <w:left w:w="120" w:type="dxa"/>
              <w:bottom w:w="90" w:type="dxa"/>
              <w:right w:w="120" w:type="dxa"/>
            </w:tcMar>
            <w:vAlign w:val="center"/>
          </w:tcPr>
          <w:p w14:paraId="37919B23">
            <w:pPr>
              <w:spacing w:line="260" w:lineRule="auto"/>
            </w:pPr>
            <w:r>
              <w:rPr>
                <w:b w:val="0"/>
                <w:bCs w:val="0"/>
                <w:color w:val="222222"/>
                <w:sz w:val="18"/>
                <w:szCs w:val="18"/>
              </w:rPr>
              <w:t>Raw ingestion</w:t>
            </w:r>
          </w:p>
        </w:tc>
        <w:tc>
          <w:tcPr>
            <w:tcW w:w="3360" w:type="dxa"/>
            <w:shd w:val="clear" w:color="auto" w:fill="FFFFFF"/>
            <w:tcMar>
              <w:top w:w="90" w:type="dxa"/>
              <w:left w:w="120" w:type="dxa"/>
              <w:bottom w:w="90" w:type="dxa"/>
              <w:right w:w="120" w:type="dxa"/>
            </w:tcMar>
            <w:vAlign w:val="center"/>
          </w:tcPr>
          <w:p w14:paraId="6D655BEE">
            <w:pPr>
              <w:spacing w:line="260" w:lineRule="auto"/>
            </w:pPr>
            <w:r>
              <w:rPr>
                <w:b w:val="0"/>
                <w:bCs w:val="0"/>
                <w:color w:val="222222"/>
                <w:sz w:val="18"/>
                <w:szCs w:val="18"/>
              </w:rPr>
              <w:t>Auto Loader, CDC, streaming &amp; batch ingest</w:t>
            </w:r>
          </w:p>
        </w:tc>
        <w:tc>
          <w:tcPr>
            <w:tcW w:w="1400" w:type="dxa"/>
            <w:shd w:val="clear" w:color="auto" w:fill="FFFFFF"/>
            <w:tcMar>
              <w:top w:w="90" w:type="dxa"/>
              <w:left w:w="120" w:type="dxa"/>
              <w:bottom w:w="90" w:type="dxa"/>
              <w:right w:w="120" w:type="dxa"/>
            </w:tcMar>
            <w:vAlign w:val="center"/>
          </w:tcPr>
          <w:p w14:paraId="6421213A">
            <w:pPr>
              <w:spacing w:line="260" w:lineRule="auto"/>
            </w:pPr>
            <w:r>
              <w:rPr>
                <w:b w:val="0"/>
                <w:bCs w:val="0"/>
                <w:color w:val="222222"/>
                <w:sz w:val="18"/>
                <w:szCs w:val="18"/>
              </w:rPr>
              <w:t>Lakeflow</w:t>
            </w:r>
          </w:p>
        </w:tc>
      </w:tr>
      <w:tr w14:paraId="514FB3F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1600" w:type="dxa"/>
            <w:shd w:val="clear" w:color="auto" w:fill="F2F5F7"/>
            <w:tcMar>
              <w:top w:w="90" w:type="dxa"/>
              <w:left w:w="120" w:type="dxa"/>
              <w:bottom w:w="90" w:type="dxa"/>
              <w:right w:w="120" w:type="dxa"/>
            </w:tcMar>
            <w:vAlign w:val="center"/>
          </w:tcPr>
          <w:p w14:paraId="1270C1EE">
            <w:pPr>
              <w:spacing w:line="260" w:lineRule="auto"/>
            </w:pPr>
            <w:r>
              <w:rPr>
                <w:b/>
                <w:bCs/>
                <w:color w:val="222222"/>
                <w:sz w:val="18"/>
                <w:szCs w:val="18"/>
              </w:rPr>
              <w:t>Silver</w:t>
            </w:r>
          </w:p>
        </w:tc>
        <w:tc>
          <w:tcPr>
            <w:tcW w:w="3000" w:type="dxa"/>
            <w:shd w:val="clear" w:color="auto" w:fill="F2F5F7"/>
            <w:tcMar>
              <w:top w:w="90" w:type="dxa"/>
              <w:left w:w="120" w:type="dxa"/>
              <w:bottom w:w="90" w:type="dxa"/>
              <w:right w:w="120" w:type="dxa"/>
            </w:tcMar>
            <w:vAlign w:val="center"/>
          </w:tcPr>
          <w:p w14:paraId="64206C46">
            <w:pPr>
              <w:spacing w:line="260" w:lineRule="auto"/>
            </w:pPr>
            <w:r>
              <w:rPr>
                <w:b w:val="0"/>
                <w:bCs w:val="0"/>
                <w:color w:val="222222"/>
                <w:sz w:val="18"/>
                <w:szCs w:val="18"/>
              </w:rPr>
              <w:t>Cleansed, incremental, quality-gated</w:t>
            </w:r>
          </w:p>
        </w:tc>
        <w:tc>
          <w:tcPr>
            <w:tcW w:w="3360" w:type="dxa"/>
            <w:shd w:val="clear" w:color="auto" w:fill="F2F5F7"/>
            <w:tcMar>
              <w:top w:w="90" w:type="dxa"/>
              <w:left w:w="120" w:type="dxa"/>
              <w:bottom w:w="90" w:type="dxa"/>
              <w:right w:w="120" w:type="dxa"/>
            </w:tcMar>
            <w:vAlign w:val="center"/>
          </w:tcPr>
          <w:p w14:paraId="4B991AAD">
            <w:pPr>
              <w:spacing w:line="260" w:lineRule="auto"/>
            </w:pPr>
            <w:r>
              <w:rPr>
                <w:b w:val="0"/>
                <w:bCs w:val="0"/>
                <w:color w:val="222222"/>
                <w:sz w:val="18"/>
                <w:szCs w:val="18"/>
              </w:rPr>
              <w:t>Materialized views, expectations, streaming joins</w:t>
            </w:r>
          </w:p>
        </w:tc>
        <w:tc>
          <w:tcPr>
            <w:tcW w:w="1400" w:type="dxa"/>
            <w:shd w:val="clear" w:color="auto" w:fill="F2F5F7"/>
            <w:tcMar>
              <w:top w:w="90" w:type="dxa"/>
              <w:left w:w="120" w:type="dxa"/>
              <w:bottom w:w="90" w:type="dxa"/>
              <w:right w:w="120" w:type="dxa"/>
            </w:tcMar>
            <w:vAlign w:val="center"/>
          </w:tcPr>
          <w:p w14:paraId="4AF186F1">
            <w:pPr>
              <w:spacing w:line="260" w:lineRule="auto"/>
            </w:pPr>
            <w:r>
              <w:rPr>
                <w:b w:val="0"/>
                <w:bCs w:val="0"/>
                <w:color w:val="222222"/>
                <w:sz w:val="18"/>
                <w:szCs w:val="18"/>
              </w:rPr>
              <w:t>Lakeflow</w:t>
            </w:r>
          </w:p>
        </w:tc>
      </w:tr>
      <w:tr w14:paraId="002E5D1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1600" w:type="dxa"/>
            <w:shd w:val="clear" w:color="auto" w:fill="FFFFFF"/>
            <w:tcMar>
              <w:top w:w="90" w:type="dxa"/>
              <w:left w:w="120" w:type="dxa"/>
              <w:bottom w:w="90" w:type="dxa"/>
              <w:right w:w="120" w:type="dxa"/>
            </w:tcMar>
            <w:vAlign w:val="center"/>
          </w:tcPr>
          <w:p w14:paraId="6E0378DD">
            <w:pPr>
              <w:spacing w:line="260" w:lineRule="auto"/>
            </w:pPr>
            <w:r>
              <w:rPr>
                <w:b/>
                <w:bCs/>
                <w:color w:val="222222"/>
                <w:sz w:val="18"/>
                <w:szCs w:val="18"/>
              </w:rPr>
              <w:t>Gold</w:t>
            </w:r>
          </w:p>
        </w:tc>
        <w:tc>
          <w:tcPr>
            <w:tcW w:w="3000" w:type="dxa"/>
            <w:shd w:val="clear" w:color="auto" w:fill="FFFFFF"/>
            <w:tcMar>
              <w:top w:w="90" w:type="dxa"/>
              <w:left w:w="120" w:type="dxa"/>
              <w:bottom w:w="90" w:type="dxa"/>
              <w:right w:w="120" w:type="dxa"/>
            </w:tcMar>
            <w:vAlign w:val="center"/>
          </w:tcPr>
          <w:p w14:paraId="41B33A50">
            <w:pPr>
              <w:spacing w:line="260" w:lineRule="auto"/>
            </w:pPr>
            <w:r>
              <w:rPr>
                <w:b w:val="0"/>
                <w:bCs w:val="0"/>
                <w:color w:val="222222"/>
                <w:sz w:val="18"/>
                <w:szCs w:val="18"/>
              </w:rPr>
              <w:t>Business marts, semantic layer</w:t>
            </w:r>
          </w:p>
        </w:tc>
        <w:tc>
          <w:tcPr>
            <w:tcW w:w="3360" w:type="dxa"/>
            <w:shd w:val="clear" w:color="auto" w:fill="FFFFFF"/>
            <w:tcMar>
              <w:top w:w="90" w:type="dxa"/>
              <w:left w:w="120" w:type="dxa"/>
              <w:bottom w:w="90" w:type="dxa"/>
              <w:right w:w="120" w:type="dxa"/>
            </w:tcMar>
            <w:vAlign w:val="center"/>
          </w:tcPr>
          <w:p w14:paraId="37096EBD">
            <w:pPr>
              <w:spacing w:line="260" w:lineRule="auto"/>
            </w:pPr>
            <w:r>
              <w:rPr>
                <w:b w:val="0"/>
                <w:bCs w:val="0"/>
                <w:color w:val="222222"/>
                <w:sz w:val="18"/>
                <w:szCs w:val="18"/>
              </w:rPr>
              <w:t>Analyst-owned models, tests, docs, metrics</w:t>
            </w:r>
          </w:p>
        </w:tc>
        <w:tc>
          <w:tcPr>
            <w:tcW w:w="1400" w:type="dxa"/>
            <w:shd w:val="clear" w:color="auto" w:fill="FFFFFF"/>
            <w:tcMar>
              <w:top w:w="90" w:type="dxa"/>
              <w:left w:w="120" w:type="dxa"/>
              <w:bottom w:w="90" w:type="dxa"/>
              <w:right w:w="120" w:type="dxa"/>
            </w:tcMar>
            <w:vAlign w:val="center"/>
          </w:tcPr>
          <w:p w14:paraId="035A7EBF">
            <w:pPr>
              <w:spacing w:line="260" w:lineRule="auto"/>
            </w:pPr>
            <w:r>
              <w:rPr>
                <w:b w:val="0"/>
                <w:bCs w:val="0"/>
                <w:color w:val="222222"/>
                <w:sz w:val="18"/>
                <w:szCs w:val="18"/>
              </w:rPr>
              <w:t>dbt</w:t>
            </w:r>
          </w:p>
        </w:tc>
      </w:tr>
    </w:tbl>
    <w:p w14:paraId="38561F74">
      <w:pPr>
        <w:spacing w:after="100"/>
      </w:pPr>
    </w:p>
    <w:p w14:paraId="10F1FD22">
      <w:pPr>
        <w:spacing w:after="160" w:line="300" w:lineRule="auto"/>
      </w:pPr>
      <w:r>
        <w:rPr>
          <w:b w:val="0"/>
          <w:bCs w:val="0"/>
          <w:i w:val="0"/>
          <w:iCs w:val="0"/>
          <w:color w:val="222222"/>
          <w:sz w:val="21"/>
          <w:szCs w:val="21"/>
        </w:rPr>
        <w:t>Lakeflow owns bronze through silver: streaming, incremental efficiency, and inline quality gates. dbt owns silver through gold: business logic, testing, and the analyst-facing semantic layer, via the dbt-databricks adapter with Unity Catalog.</w:t>
      </w:r>
    </w:p>
    <w:tbl>
      <w:tblPr>
        <w:tblStyle w:val="9"/>
        <w:tblW w:w="5000" w:type="pct"/>
        <w:tblInd w:w="0" w:type="dxa"/>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F431EE5">
        <w:tblPrEx>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5F7"/>
            <w:tcMar>
              <w:top w:w="160" w:type="dxa"/>
              <w:left w:w="200" w:type="dxa"/>
              <w:bottom w:w="160" w:type="dxa"/>
              <w:right w:w="200" w:type="dxa"/>
            </w:tcMar>
          </w:tcPr>
          <w:p w14:paraId="50495BC5">
            <w:pPr>
              <w:spacing w:after="60"/>
            </w:pPr>
            <w:r>
              <w:rPr>
                <w:b/>
                <w:bCs/>
                <w:color w:val="1B2A4A"/>
                <w:sz w:val="20"/>
                <w:szCs w:val="20"/>
              </w:rPr>
              <w:t>Cost implication</w:t>
            </w:r>
          </w:p>
          <w:p w14:paraId="0597110A">
            <w:pPr>
              <w:spacing w:after="0" w:line="280" w:lineRule="auto"/>
            </w:pPr>
            <w:r>
              <w:rPr>
                <w:color w:val="222222"/>
                <w:sz w:val="20"/>
                <w:szCs w:val="20"/>
              </w:rPr>
              <w:t>This split keeps dbt's added license cost scoped to the gold layer only, where its testing and semantic-layer value clearly justifies the spend. Every model handled in Lakeflow instead of dbt avoids that extra licensing cost entirely.</w:t>
            </w:r>
          </w:p>
        </w:tc>
      </w:tr>
    </w:tbl>
    <w:p w14:paraId="4ABF0A74">
      <w:pPr>
        <w:pStyle w:val="3"/>
        <w:spacing w:before="320" w:after="140"/>
      </w:pPr>
      <w:r>
        <w:rPr>
          <w:b/>
          <w:bCs/>
          <w:color w:val="3B5372"/>
          <w:sz w:val="24"/>
          <w:szCs w:val="24"/>
        </w:rPr>
        <w:t>1.8 Decision Framework</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4680"/>
        <w:gridCol w:w="4680"/>
      </w:tblGrid>
      <w:tr w14:paraId="692A4E82">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4680" w:type="dxa"/>
            <w:shd w:val="clear" w:color="auto" w:fill="1B2A4A"/>
            <w:tcMar>
              <w:top w:w="100" w:type="dxa"/>
              <w:left w:w="120" w:type="dxa"/>
              <w:bottom w:w="100" w:type="dxa"/>
              <w:right w:w="120" w:type="dxa"/>
            </w:tcMar>
            <w:vAlign w:val="center"/>
          </w:tcPr>
          <w:p w14:paraId="3B9B4EE6">
            <w:r>
              <w:rPr>
                <w:b/>
                <w:bCs/>
                <w:color w:val="FFFFFF"/>
                <w:sz w:val="18"/>
                <w:szCs w:val="18"/>
              </w:rPr>
              <w:t>Use dbt when…</w:t>
            </w:r>
          </w:p>
        </w:tc>
        <w:tc>
          <w:tcPr>
            <w:tcW w:w="4680" w:type="dxa"/>
            <w:shd w:val="clear" w:color="auto" w:fill="1B2A4A"/>
            <w:tcMar>
              <w:top w:w="100" w:type="dxa"/>
              <w:left w:w="120" w:type="dxa"/>
              <w:bottom w:w="100" w:type="dxa"/>
              <w:right w:w="120" w:type="dxa"/>
            </w:tcMar>
            <w:vAlign w:val="center"/>
          </w:tcPr>
          <w:p w14:paraId="1D356320">
            <w:r>
              <w:rPr>
                <w:b/>
                <w:bCs/>
                <w:color w:val="FFFFFF"/>
                <w:sz w:val="18"/>
                <w:szCs w:val="18"/>
              </w:rPr>
              <w:t>Use Lakeflow when…</w:t>
            </w:r>
          </w:p>
        </w:tc>
      </w:tr>
      <w:tr w14:paraId="2134DD9C">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680" w:type="dxa"/>
            <w:shd w:val="clear" w:color="auto" w:fill="FFFFFF"/>
            <w:tcMar>
              <w:top w:w="90" w:type="dxa"/>
              <w:left w:w="120" w:type="dxa"/>
              <w:bottom w:w="90" w:type="dxa"/>
              <w:right w:w="120" w:type="dxa"/>
            </w:tcMar>
            <w:vAlign w:val="center"/>
          </w:tcPr>
          <w:p w14:paraId="03D5C014">
            <w:pPr>
              <w:spacing w:line="260" w:lineRule="auto"/>
            </w:pPr>
            <w:r>
              <w:rPr>
                <w:b/>
                <w:bCs/>
                <w:color w:val="222222"/>
                <w:sz w:val="18"/>
                <w:szCs w:val="18"/>
              </w:rPr>
              <w:t>Pure batch, SQL-shaped transformations</w:t>
            </w:r>
          </w:p>
        </w:tc>
        <w:tc>
          <w:tcPr>
            <w:tcW w:w="4680" w:type="dxa"/>
            <w:shd w:val="clear" w:color="auto" w:fill="FFFFFF"/>
            <w:tcMar>
              <w:top w:w="90" w:type="dxa"/>
              <w:left w:w="120" w:type="dxa"/>
              <w:bottom w:w="90" w:type="dxa"/>
              <w:right w:w="120" w:type="dxa"/>
            </w:tcMar>
            <w:vAlign w:val="center"/>
          </w:tcPr>
          <w:p w14:paraId="6236A22C">
            <w:pPr>
              <w:spacing w:line="260" w:lineRule="auto"/>
            </w:pPr>
            <w:r>
              <w:rPr>
                <w:b w:val="0"/>
                <w:bCs w:val="0"/>
                <w:color w:val="222222"/>
                <w:sz w:val="18"/>
                <w:szCs w:val="18"/>
              </w:rPr>
              <w:t>Streaming or near-real-time transforms are required</w:t>
            </w:r>
          </w:p>
        </w:tc>
      </w:tr>
      <w:tr w14:paraId="4BE7BBC0">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680" w:type="dxa"/>
            <w:shd w:val="clear" w:color="auto" w:fill="F2F5F7"/>
            <w:tcMar>
              <w:top w:w="90" w:type="dxa"/>
              <w:left w:w="120" w:type="dxa"/>
              <w:bottom w:w="90" w:type="dxa"/>
              <w:right w:w="120" w:type="dxa"/>
            </w:tcMar>
            <w:vAlign w:val="center"/>
          </w:tcPr>
          <w:p w14:paraId="31B97BE0">
            <w:pPr>
              <w:spacing w:line="260" w:lineRule="auto"/>
            </w:pPr>
            <w:r>
              <w:rPr>
                <w:b/>
                <w:bCs/>
                <w:color w:val="222222"/>
                <w:sz w:val="18"/>
                <w:szCs w:val="18"/>
              </w:rPr>
              <w:t>Team includes analysts who need tests, docs, and a semantic layer</w:t>
            </w:r>
          </w:p>
        </w:tc>
        <w:tc>
          <w:tcPr>
            <w:tcW w:w="4680" w:type="dxa"/>
            <w:shd w:val="clear" w:color="auto" w:fill="F2F5F7"/>
            <w:tcMar>
              <w:top w:w="90" w:type="dxa"/>
              <w:left w:w="120" w:type="dxa"/>
              <w:bottom w:w="90" w:type="dxa"/>
              <w:right w:w="120" w:type="dxa"/>
            </w:tcMar>
            <w:vAlign w:val="center"/>
          </w:tcPr>
          <w:p w14:paraId="474E76C4">
            <w:pPr>
              <w:spacing w:line="260" w:lineRule="auto"/>
            </w:pPr>
            <w:r>
              <w:rPr>
                <w:b w:val="0"/>
                <w:bCs w:val="0"/>
                <w:color w:val="222222"/>
                <w:sz w:val="18"/>
                <w:szCs w:val="18"/>
              </w:rPr>
              <w:t>Incremental processing at scale is needed without hand-written merge logic</w:t>
            </w:r>
          </w:p>
        </w:tc>
      </w:tr>
      <w:tr w14:paraId="733E65B6">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680" w:type="dxa"/>
            <w:shd w:val="clear" w:color="auto" w:fill="FFFFFF"/>
            <w:tcMar>
              <w:top w:w="90" w:type="dxa"/>
              <w:left w:w="120" w:type="dxa"/>
              <w:bottom w:w="90" w:type="dxa"/>
              <w:right w:w="120" w:type="dxa"/>
            </w:tcMar>
            <w:vAlign w:val="center"/>
          </w:tcPr>
          <w:p w14:paraId="3EFAAF56">
            <w:pPr>
              <w:spacing w:line="260" w:lineRule="auto"/>
            </w:pPr>
            <w:r>
              <w:rPr>
                <w:b/>
                <w:bCs/>
                <w:color w:val="222222"/>
                <w:sz w:val="18"/>
                <w:szCs w:val="18"/>
              </w:rPr>
              <w:t>Business logic changes frequently and needs analyst review</w:t>
            </w:r>
          </w:p>
        </w:tc>
        <w:tc>
          <w:tcPr>
            <w:tcW w:w="4680" w:type="dxa"/>
            <w:shd w:val="clear" w:color="auto" w:fill="FFFFFF"/>
            <w:tcMar>
              <w:top w:w="90" w:type="dxa"/>
              <w:left w:w="120" w:type="dxa"/>
              <w:bottom w:w="90" w:type="dxa"/>
              <w:right w:w="120" w:type="dxa"/>
            </w:tcMar>
            <w:vAlign w:val="center"/>
          </w:tcPr>
          <w:p w14:paraId="573C026A">
            <w:pPr>
              <w:spacing w:line="260" w:lineRule="auto"/>
            </w:pPr>
            <w:r>
              <w:rPr>
                <w:b w:val="0"/>
                <w:bCs w:val="0"/>
                <w:color w:val="222222"/>
                <w:sz w:val="18"/>
                <w:szCs w:val="18"/>
              </w:rPr>
              <w:t>Inline data quality gating must block bad writes before they land</w:t>
            </w:r>
          </w:p>
        </w:tc>
      </w:tr>
      <w:tr w14:paraId="172B35DF">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680" w:type="dxa"/>
            <w:shd w:val="clear" w:color="auto" w:fill="F2F5F7"/>
            <w:tcMar>
              <w:top w:w="90" w:type="dxa"/>
              <w:left w:w="120" w:type="dxa"/>
              <w:bottom w:w="90" w:type="dxa"/>
              <w:right w:w="120" w:type="dxa"/>
            </w:tcMar>
            <w:vAlign w:val="center"/>
          </w:tcPr>
          <w:p w14:paraId="0C3151F6">
            <w:pPr>
              <w:spacing w:line="260" w:lineRule="auto"/>
            </w:pPr>
            <w:r>
              <w:rPr>
                <w:b/>
                <w:bCs/>
                <w:color w:val="222222"/>
                <w:sz w:val="18"/>
                <w:szCs w:val="18"/>
              </w:rPr>
              <w:t>Warehouse portability may be needed later</w:t>
            </w:r>
          </w:p>
        </w:tc>
        <w:tc>
          <w:tcPr>
            <w:tcW w:w="4680" w:type="dxa"/>
            <w:shd w:val="clear" w:color="auto" w:fill="F2F5F7"/>
            <w:tcMar>
              <w:top w:w="90" w:type="dxa"/>
              <w:left w:w="120" w:type="dxa"/>
              <w:bottom w:w="90" w:type="dxa"/>
              <w:right w:w="120" w:type="dxa"/>
            </w:tcMar>
            <w:vAlign w:val="center"/>
          </w:tcPr>
          <w:p w14:paraId="184B125E">
            <w:pPr>
              <w:spacing w:line="260" w:lineRule="auto"/>
            </w:pPr>
            <w:r>
              <w:rPr>
                <w:b w:val="0"/>
                <w:bCs w:val="0"/>
                <w:color w:val="222222"/>
                <w:sz w:val="18"/>
                <w:szCs w:val="18"/>
              </w:rPr>
              <w:t>Python/ML-native feature engineering is involved</w:t>
            </w:r>
          </w:p>
        </w:tc>
      </w:tr>
    </w:tbl>
    <w:p w14:paraId="17C5E512">
      <w:pPr>
        <w:pStyle w:val="3"/>
        <w:spacing w:before="320" w:after="140"/>
      </w:pPr>
      <w:r>
        <w:rPr>
          <w:b/>
          <w:bCs/>
          <w:color w:val="3B5372"/>
          <w:sz w:val="24"/>
          <w:szCs w:val="24"/>
        </w:rPr>
        <w:t>1.9 Proposed Next Steps</w:t>
      </w:r>
    </w:p>
    <w:p w14:paraId="55F990EB">
      <w:pPr>
        <w:pStyle w:val="16"/>
        <w:numPr>
          <w:ilvl w:val="0"/>
          <w:numId w:val="1"/>
        </w:numPr>
        <w:spacing w:after="90" w:line="280" w:lineRule="auto"/>
      </w:pPr>
      <w:r>
        <w:rPr>
          <w:color w:val="222222"/>
          <w:sz w:val="21"/>
          <w:szCs w:val="21"/>
        </w:rPr>
        <w:t>Approve the bronze/silver (Lakeflow) ↔ gold (dbt) split as the working architecture.</w:t>
      </w:r>
    </w:p>
    <w:p w14:paraId="58EB68C6">
      <w:pPr>
        <w:pStyle w:val="16"/>
        <w:numPr>
          <w:ilvl w:val="0"/>
          <w:numId w:val="1"/>
        </w:numPr>
        <w:spacing w:after="90" w:line="280" w:lineRule="auto"/>
      </w:pPr>
      <w:r>
        <w:rPr>
          <w:color w:val="222222"/>
          <w:sz w:val="21"/>
          <w:szCs w:val="21"/>
        </w:rPr>
        <w:t>Pilot one existing dbt-only pipeline: migrate its incremental and quality logic to Lakeflow while keeping the marts layer in dbt.</w:t>
      </w:r>
    </w:p>
    <w:p w14:paraId="6D8E85AF">
      <w:pPr>
        <w:pStyle w:val="16"/>
        <w:numPr>
          <w:ilvl w:val="0"/>
          <w:numId w:val="1"/>
        </w:numPr>
        <w:spacing w:after="90" w:line="280" w:lineRule="auto"/>
      </w:pPr>
      <w:r>
        <w:rPr>
          <w:color w:val="222222"/>
          <w:sz w:val="21"/>
          <w:szCs w:val="21"/>
        </w:rPr>
        <w:t>Set a revisit checkpoint in 6–12 months, since Databricks is actively closing dbt's remaining functional gaps.</w:t>
      </w:r>
    </w:p>
    <w:p w14:paraId="192AB7A7">
      <w:pPr>
        <w:spacing w:after="60"/>
      </w:pPr>
    </w:p>
    <w:tbl>
      <w:tblPr>
        <w:tblStyle w:val="9"/>
        <w:tblW w:w="5000" w:type="pct"/>
        <w:tblInd w:w="0" w:type="dxa"/>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21697BCF">
        <w:tblPrEx>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5F7"/>
            <w:tcMar>
              <w:top w:w="160" w:type="dxa"/>
              <w:left w:w="200" w:type="dxa"/>
              <w:bottom w:w="160" w:type="dxa"/>
              <w:right w:w="200" w:type="dxa"/>
            </w:tcMar>
          </w:tcPr>
          <w:p w14:paraId="50A48F83">
            <w:pPr>
              <w:spacing w:after="60"/>
            </w:pPr>
            <w:r>
              <w:rPr>
                <w:b/>
                <w:bCs/>
                <w:color w:val="1B2A4A"/>
                <w:sz w:val="20"/>
                <w:szCs w:val="20"/>
              </w:rPr>
              <w:t>Bottom line</w:t>
            </w:r>
          </w:p>
          <w:p w14:paraId="4BBBF212">
            <w:pPr>
              <w:spacing w:after="0" w:line="280" w:lineRule="auto"/>
            </w:pPr>
            <w:r>
              <w:rPr>
                <w:color w:val="222222"/>
                <w:sz w:val="20"/>
                <w:szCs w:val="20"/>
              </w:rPr>
              <w:t>dbt is not the wrong tool — it is incomplete for what Databricks now does natively. The right architecture uses each tool where it wins, and that boundary should be reassessed on a fixed schedule rather than left as a permanent decision.</w:t>
            </w:r>
          </w:p>
        </w:tc>
      </w:tr>
    </w:tbl>
    <w:p w14:paraId="0438037F">
      <w:r>
        <w:br w:type="page"/>
      </w:r>
    </w:p>
    <w:p w14:paraId="6488E86D">
      <w:pPr>
        <w:pStyle w:val="2"/>
        <w:pBdr>
          <w:bottom w:val="single" w:color="D8DEE4" w:sz="4" w:space="6"/>
        </w:pBdr>
        <w:spacing w:before="480" w:after="200"/>
      </w:pPr>
      <w:r>
        <w:rPr>
          <w:b/>
          <w:bCs/>
          <w:color w:val="1B2A4A"/>
          <w:sz w:val="30"/>
          <w:szCs w:val="30"/>
        </w:rPr>
        <w:t>Section 2 — Platform Strategy: Snowflake vs. Databricks</w:t>
      </w:r>
    </w:p>
    <w:p w14:paraId="34A68710">
      <w:pPr>
        <w:spacing w:after="220"/>
      </w:pPr>
      <w:r>
        <w:rPr>
          <w:i/>
          <w:iCs/>
          <w:color w:val="5B6B7A"/>
          <w:sz w:val="22"/>
          <w:szCs w:val="22"/>
        </w:rPr>
        <w:t>Two different answers to two different problems, not competing solutions to the same one.</w:t>
      </w:r>
    </w:p>
    <w:p w14:paraId="1BFD4B3C">
      <w:pPr>
        <w:pStyle w:val="3"/>
        <w:spacing w:before="320" w:after="140"/>
      </w:pPr>
      <w:r>
        <w:rPr>
          <w:b/>
          <w:bCs/>
          <w:color w:val="3B5372"/>
          <w:sz w:val="24"/>
          <w:szCs w:val="24"/>
        </w:rPr>
        <w:t>2.1 Design Philosophy and Origins</w:t>
      </w:r>
    </w:p>
    <w:p w14:paraId="55D00EF5">
      <w:pPr>
        <w:spacing w:after="160" w:line="300" w:lineRule="auto"/>
      </w:pPr>
      <w:r>
        <w:rPr>
          <w:b w:val="0"/>
          <w:bCs w:val="0"/>
          <w:i w:val="0"/>
          <w:iCs w:val="0"/>
          <w:color w:val="222222"/>
          <w:sz w:val="21"/>
          <w:szCs w:val="21"/>
        </w:rPr>
        <w:t>Snowflake and Databricks were built to solve different problems, and that origin shapes where each platform is strongest today.</w:t>
      </w:r>
    </w:p>
    <w:p w14:paraId="7BF5AAE8">
      <w:pPr>
        <w:spacing w:after="160" w:line="300" w:lineRule="auto"/>
      </w:pPr>
      <w:r>
        <w:rPr>
          <w:b w:val="0"/>
          <w:bCs w:val="0"/>
          <w:i w:val="0"/>
          <w:iCs w:val="0"/>
          <w:color w:val="222222"/>
          <w:sz w:val="21"/>
          <w:szCs w:val="21"/>
        </w:rPr>
        <w:t>Snowflake was designed from day one as a cloud-native data warehouse with a single primary goal: make analytics easy. Before Snowflake, data warehouses required engineers to manage infrastructure, optimize storage manually, and plan for scale by hand. Snowflake's key architectural innovation was separating compute and storage so each could scale independently — analytics queries could run without blocking each other, and business teams could run dashboards and reports without owning infrastructure complexity. This is the core reason Snowflake became the default choice for analytics-heavy teams.</w:t>
      </w:r>
    </w:p>
    <w:p w14:paraId="520519DB">
      <w:pPr>
        <w:spacing w:after="160" w:line="300" w:lineRule="auto"/>
      </w:pPr>
      <w:r>
        <w:rPr>
          <w:b w:val="0"/>
          <w:bCs w:val="0"/>
          <w:i w:val="0"/>
          <w:iCs w:val="0"/>
          <w:color w:val="222222"/>
          <w:sz w:val="21"/>
          <w:szCs w:val="21"/>
        </w:rPr>
        <w:t>Databricks came from a different starting point entirely — it was built by the original engineers behind Apache Spark, and its mission was never analytics alone but intelligence: machine learning, AI, real-time streaming, and large-scale data processing. Unlike Snowflake, Databricks does not assume incoming data is clean or structured; it is built to handle structured, unstructured, and streaming data — including images and logs — in the same platform. That flexibility is what allows organizations to build predictive systems rather than only retrospective analysis.</w:t>
      </w:r>
    </w:p>
    <w:p w14:paraId="2EDBEEFB">
      <w:pPr>
        <w:spacing w:after="160" w:line="300" w:lineRule="auto"/>
      </w:pPr>
      <w:r>
        <w:rPr>
          <w:b w:val="0"/>
          <w:bCs w:val="0"/>
          <w:i w:val="0"/>
          <w:iCs w:val="0"/>
          <w:color w:val="222222"/>
          <w:sz w:val="21"/>
          <w:szCs w:val="21"/>
        </w:rPr>
        <w:t>The distinction that follows from this is consistent across both platforms' roadmaps: Snowflake explains the past; Databricks predicts the future.</w:t>
      </w:r>
    </w:p>
    <w:p w14:paraId="61DDDEBB">
      <w:pPr>
        <w:pStyle w:val="3"/>
        <w:spacing w:before="320" w:after="140"/>
      </w:pPr>
      <w:r>
        <w:rPr>
          <w:b/>
          <w:bCs/>
          <w:color w:val="3B5372"/>
          <w:sz w:val="24"/>
          <w:szCs w:val="24"/>
        </w:rPr>
        <w:t>2.2 Architectural Fit by Workload</w:t>
      </w:r>
    </w:p>
    <w:p w14:paraId="0E661D2E">
      <w:pPr>
        <w:spacing w:after="160" w:line="300" w:lineRule="auto"/>
      </w:pPr>
      <w:r>
        <w:rPr>
          <w:b w:val="0"/>
          <w:bCs w:val="0"/>
          <w:i w:val="0"/>
          <w:iCs w:val="0"/>
          <w:color w:val="222222"/>
          <w:sz w:val="21"/>
          <w:szCs w:val="21"/>
        </w:rPr>
        <w:t>Modern pipelines generate data in layers, and each platform tends to be strongest at a different stage of that pipeline:</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600"/>
        <w:gridCol w:w="2200"/>
        <w:gridCol w:w="4560"/>
      </w:tblGrid>
      <w:tr w14:paraId="0652452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600" w:type="dxa"/>
            <w:shd w:val="clear" w:color="auto" w:fill="1B2A4A"/>
            <w:tcMar>
              <w:top w:w="100" w:type="dxa"/>
              <w:left w:w="120" w:type="dxa"/>
              <w:bottom w:w="100" w:type="dxa"/>
              <w:right w:w="120" w:type="dxa"/>
            </w:tcMar>
            <w:vAlign w:val="center"/>
          </w:tcPr>
          <w:p w14:paraId="03F26F58">
            <w:r>
              <w:rPr>
                <w:b/>
                <w:bCs/>
                <w:color w:val="FFFFFF"/>
                <w:sz w:val="18"/>
                <w:szCs w:val="18"/>
              </w:rPr>
              <w:t>Pipeline Layer</w:t>
            </w:r>
          </w:p>
        </w:tc>
        <w:tc>
          <w:tcPr>
            <w:tcW w:w="2200" w:type="dxa"/>
            <w:shd w:val="clear" w:color="auto" w:fill="1B2A4A"/>
            <w:tcMar>
              <w:top w:w="100" w:type="dxa"/>
              <w:left w:w="120" w:type="dxa"/>
              <w:bottom w:w="100" w:type="dxa"/>
              <w:right w:w="120" w:type="dxa"/>
            </w:tcMar>
            <w:vAlign w:val="center"/>
          </w:tcPr>
          <w:p w14:paraId="21054D8F">
            <w:r>
              <w:rPr>
                <w:b/>
                <w:bCs/>
                <w:color w:val="FFFFFF"/>
                <w:sz w:val="18"/>
                <w:szCs w:val="18"/>
              </w:rPr>
              <w:t>Best-Fit Platform</w:t>
            </w:r>
          </w:p>
        </w:tc>
        <w:tc>
          <w:tcPr>
            <w:tcW w:w="4560" w:type="dxa"/>
            <w:shd w:val="clear" w:color="auto" w:fill="1B2A4A"/>
            <w:tcMar>
              <w:top w:w="100" w:type="dxa"/>
              <w:left w:w="120" w:type="dxa"/>
              <w:bottom w:w="100" w:type="dxa"/>
              <w:right w:w="120" w:type="dxa"/>
            </w:tcMar>
            <w:vAlign w:val="center"/>
          </w:tcPr>
          <w:p w14:paraId="77BC18D9">
            <w:r>
              <w:rPr>
                <w:b/>
                <w:bCs/>
                <w:color w:val="FFFFFF"/>
                <w:sz w:val="18"/>
                <w:szCs w:val="18"/>
              </w:rPr>
              <w:t>Why</w:t>
            </w:r>
          </w:p>
        </w:tc>
      </w:tr>
      <w:tr w14:paraId="50B10B8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6DDE1312">
            <w:pPr>
              <w:spacing w:line="260" w:lineRule="auto"/>
            </w:pPr>
            <w:r>
              <w:rPr>
                <w:b/>
                <w:bCs/>
                <w:color w:val="222222"/>
                <w:sz w:val="18"/>
                <w:szCs w:val="18"/>
              </w:rPr>
              <w:t>Raw event ingestion</w:t>
            </w:r>
          </w:p>
        </w:tc>
        <w:tc>
          <w:tcPr>
            <w:tcW w:w="2200" w:type="dxa"/>
            <w:shd w:val="clear" w:color="auto" w:fill="FFFFFF"/>
            <w:tcMar>
              <w:top w:w="90" w:type="dxa"/>
              <w:left w:w="120" w:type="dxa"/>
              <w:bottom w:w="90" w:type="dxa"/>
              <w:right w:w="120" w:type="dxa"/>
            </w:tcMar>
            <w:vAlign w:val="center"/>
          </w:tcPr>
          <w:p w14:paraId="5C26C64A">
            <w:pPr>
              <w:spacing w:line="260" w:lineRule="auto"/>
            </w:pPr>
            <w:r>
              <w:rPr>
                <w:b w:val="0"/>
                <w:bCs w:val="0"/>
                <w:color w:val="222222"/>
                <w:sz w:val="18"/>
                <w:szCs w:val="18"/>
              </w:rPr>
              <w:t>Databricks</w:t>
            </w:r>
          </w:p>
        </w:tc>
        <w:tc>
          <w:tcPr>
            <w:tcW w:w="4560" w:type="dxa"/>
            <w:shd w:val="clear" w:color="auto" w:fill="FFFFFF"/>
            <w:tcMar>
              <w:top w:w="90" w:type="dxa"/>
              <w:left w:w="120" w:type="dxa"/>
              <w:bottom w:w="90" w:type="dxa"/>
              <w:right w:w="120" w:type="dxa"/>
            </w:tcMar>
            <w:vAlign w:val="center"/>
          </w:tcPr>
          <w:p w14:paraId="6C79D1F9">
            <w:pPr>
              <w:spacing w:line="260" w:lineRule="auto"/>
            </w:pPr>
            <w:r>
              <w:rPr>
                <w:b w:val="0"/>
                <w:bCs w:val="0"/>
                <w:color w:val="222222"/>
                <w:sz w:val="18"/>
                <w:szCs w:val="18"/>
              </w:rPr>
              <w:t>Handles structured, unstructured, and streaming data natively</w:t>
            </w:r>
          </w:p>
        </w:tc>
      </w:tr>
      <w:tr w14:paraId="773C42E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248ED721">
            <w:pPr>
              <w:spacing w:line="260" w:lineRule="auto"/>
            </w:pPr>
            <w:r>
              <w:rPr>
                <w:b/>
                <w:bCs/>
                <w:color w:val="222222"/>
                <w:sz w:val="18"/>
                <w:szCs w:val="18"/>
              </w:rPr>
              <w:t>Data transformation / ML</w:t>
            </w:r>
          </w:p>
        </w:tc>
        <w:tc>
          <w:tcPr>
            <w:tcW w:w="2200" w:type="dxa"/>
            <w:shd w:val="clear" w:color="auto" w:fill="F2F5F7"/>
            <w:tcMar>
              <w:top w:w="90" w:type="dxa"/>
              <w:left w:w="120" w:type="dxa"/>
              <w:bottom w:w="90" w:type="dxa"/>
              <w:right w:w="120" w:type="dxa"/>
            </w:tcMar>
            <w:vAlign w:val="center"/>
          </w:tcPr>
          <w:p w14:paraId="42421993">
            <w:pPr>
              <w:spacing w:line="260" w:lineRule="auto"/>
            </w:pPr>
            <w:r>
              <w:rPr>
                <w:b w:val="0"/>
                <w:bCs w:val="0"/>
                <w:color w:val="222222"/>
                <w:sz w:val="18"/>
                <w:szCs w:val="18"/>
              </w:rPr>
              <w:t>Databricks</w:t>
            </w:r>
          </w:p>
        </w:tc>
        <w:tc>
          <w:tcPr>
            <w:tcW w:w="4560" w:type="dxa"/>
            <w:shd w:val="clear" w:color="auto" w:fill="F2F5F7"/>
            <w:tcMar>
              <w:top w:w="90" w:type="dxa"/>
              <w:left w:w="120" w:type="dxa"/>
              <w:bottom w:w="90" w:type="dxa"/>
              <w:right w:w="120" w:type="dxa"/>
            </w:tcMar>
            <w:vAlign w:val="center"/>
          </w:tcPr>
          <w:p w14:paraId="4483FAF8">
            <w:pPr>
              <w:spacing w:line="260" w:lineRule="auto"/>
            </w:pPr>
            <w:r>
              <w:rPr>
                <w:b w:val="0"/>
                <w:bCs w:val="0"/>
                <w:color w:val="222222"/>
                <w:sz w:val="18"/>
                <w:szCs w:val="18"/>
              </w:rPr>
              <w:t>Built for engineering-grade control and large-scale processing</w:t>
            </w:r>
          </w:p>
        </w:tc>
      </w:tr>
      <w:tr w14:paraId="74024B1A">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41E32383">
            <w:pPr>
              <w:spacing w:line="260" w:lineRule="auto"/>
            </w:pPr>
            <w:r>
              <w:rPr>
                <w:b/>
                <w:bCs/>
                <w:color w:val="222222"/>
                <w:sz w:val="18"/>
                <w:szCs w:val="18"/>
              </w:rPr>
              <w:t>Analytics storage</w:t>
            </w:r>
          </w:p>
        </w:tc>
        <w:tc>
          <w:tcPr>
            <w:tcW w:w="2200" w:type="dxa"/>
            <w:shd w:val="clear" w:color="auto" w:fill="FFFFFF"/>
            <w:tcMar>
              <w:top w:w="90" w:type="dxa"/>
              <w:left w:w="120" w:type="dxa"/>
              <w:bottom w:w="90" w:type="dxa"/>
              <w:right w:w="120" w:type="dxa"/>
            </w:tcMar>
            <w:vAlign w:val="center"/>
          </w:tcPr>
          <w:p w14:paraId="5E55739F">
            <w:pPr>
              <w:spacing w:line="260" w:lineRule="auto"/>
            </w:pPr>
            <w:r>
              <w:rPr>
                <w:b w:val="0"/>
                <w:bCs w:val="0"/>
                <w:color w:val="222222"/>
                <w:sz w:val="18"/>
                <w:szCs w:val="18"/>
              </w:rPr>
              <w:t>Snowflake</w:t>
            </w:r>
          </w:p>
        </w:tc>
        <w:tc>
          <w:tcPr>
            <w:tcW w:w="4560" w:type="dxa"/>
            <w:shd w:val="clear" w:color="auto" w:fill="FFFFFF"/>
            <w:tcMar>
              <w:top w:w="90" w:type="dxa"/>
              <w:left w:w="120" w:type="dxa"/>
              <w:bottom w:w="90" w:type="dxa"/>
              <w:right w:w="120" w:type="dxa"/>
            </w:tcMar>
            <w:vAlign w:val="center"/>
          </w:tcPr>
          <w:p w14:paraId="4B156613">
            <w:pPr>
              <w:spacing w:line="260" w:lineRule="auto"/>
            </w:pPr>
            <w:r>
              <w:rPr>
                <w:b w:val="0"/>
                <w:bCs w:val="0"/>
                <w:color w:val="222222"/>
                <w:sz w:val="18"/>
                <w:szCs w:val="18"/>
              </w:rPr>
              <w:t>Optimized compute/storage separation for query performance</w:t>
            </w:r>
          </w:p>
        </w:tc>
      </w:tr>
      <w:tr w14:paraId="75E760CE">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4CBAB340">
            <w:pPr>
              <w:spacing w:line="260" w:lineRule="auto"/>
            </w:pPr>
            <w:r>
              <w:rPr>
                <w:b/>
                <w:bCs/>
                <w:color w:val="222222"/>
                <w:sz w:val="18"/>
                <w:szCs w:val="18"/>
              </w:rPr>
              <w:t>Dashboards / BI</w:t>
            </w:r>
          </w:p>
        </w:tc>
        <w:tc>
          <w:tcPr>
            <w:tcW w:w="2200" w:type="dxa"/>
            <w:shd w:val="clear" w:color="auto" w:fill="F2F5F7"/>
            <w:tcMar>
              <w:top w:w="90" w:type="dxa"/>
              <w:left w:w="120" w:type="dxa"/>
              <w:bottom w:w="90" w:type="dxa"/>
              <w:right w:w="120" w:type="dxa"/>
            </w:tcMar>
            <w:vAlign w:val="center"/>
          </w:tcPr>
          <w:p w14:paraId="5F8C24FE">
            <w:pPr>
              <w:spacing w:line="260" w:lineRule="auto"/>
            </w:pPr>
            <w:r>
              <w:rPr>
                <w:b w:val="0"/>
                <w:bCs w:val="0"/>
                <w:color w:val="222222"/>
                <w:sz w:val="18"/>
                <w:szCs w:val="18"/>
              </w:rPr>
              <w:t>Snowflake</w:t>
            </w:r>
          </w:p>
        </w:tc>
        <w:tc>
          <w:tcPr>
            <w:tcW w:w="4560" w:type="dxa"/>
            <w:shd w:val="clear" w:color="auto" w:fill="F2F5F7"/>
            <w:tcMar>
              <w:top w:w="90" w:type="dxa"/>
              <w:left w:w="120" w:type="dxa"/>
              <w:bottom w:w="90" w:type="dxa"/>
              <w:right w:w="120" w:type="dxa"/>
            </w:tcMar>
            <w:vAlign w:val="center"/>
          </w:tcPr>
          <w:p w14:paraId="3A9E43CD">
            <w:pPr>
              <w:spacing w:line="260" w:lineRule="auto"/>
            </w:pPr>
            <w:r>
              <w:rPr>
                <w:b w:val="0"/>
                <w:bCs w:val="0"/>
                <w:color w:val="222222"/>
                <w:sz w:val="18"/>
                <w:szCs w:val="18"/>
              </w:rPr>
              <w:t>Lowest-friction SQL experience for business consumers</w:t>
            </w:r>
          </w:p>
        </w:tc>
      </w:tr>
    </w:tbl>
    <w:p w14:paraId="4D6B20F8">
      <w:pPr>
        <w:spacing w:after="100"/>
      </w:pPr>
    </w:p>
    <w:p w14:paraId="5B940C4A">
      <w:pPr>
        <w:spacing w:after="160" w:line="300" w:lineRule="auto"/>
      </w:pPr>
      <w:r>
        <w:rPr>
          <w:b w:val="0"/>
          <w:bCs w:val="0"/>
          <w:i w:val="0"/>
          <w:iCs w:val="0"/>
          <w:color w:val="222222"/>
          <w:sz w:val="21"/>
          <w:szCs w:val="21"/>
        </w:rPr>
        <w:t>Databricks later introduced the Lakehouse concept, combining lake-style flexibility with warehouse-style structure, which removed the historical need to maintain fully separate lake and warehouse systems for many workloads — though the layer-by-layer strengths above still generally hold.</w:t>
      </w:r>
    </w:p>
    <w:p w14:paraId="1677F884">
      <w:pPr>
        <w:pStyle w:val="3"/>
        <w:spacing w:before="320" w:after="140"/>
      </w:pPr>
      <w:r>
        <w:rPr>
          <w:b/>
          <w:bCs/>
          <w:color w:val="3B5372"/>
          <w:sz w:val="24"/>
          <w:szCs w:val="24"/>
        </w:rPr>
        <w:t>2.3 SQL Experience vs. Engineering Experience</w:t>
      </w:r>
    </w:p>
    <w:p w14:paraId="7D59D3F4">
      <w:pPr>
        <w:spacing w:after="160" w:line="300" w:lineRule="auto"/>
      </w:pPr>
      <w:r>
        <w:rPr>
          <w:b w:val="0"/>
          <w:bCs w:val="0"/>
          <w:i w:val="0"/>
          <w:iCs w:val="0"/>
          <w:color w:val="222222"/>
          <w:sz w:val="21"/>
          <w:szCs w:val="21"/>
        </w:rPr>
        <w:t>Running the same analytical workload on both platforms surfaces a clear usability difference. Snowflake's SQL experience is largely frictionless: queries run and scale automatically with minimal infrastructure decisions required. Databricks, by contrast, gives more control but also demands more decisions — cluster sizing, optimization settings, and resource tuning are all in the user's hands, which makes the experience feel closer to engineering than to analytics.</w:t>
      </w:r>
    </w:p>
    <w:p w14:paraId="5BFECA5C">
      <w:pPr>
        <w:spacing w:after="160" w:line="300" w:lineRule="auto"/>
      </w:pPr>
      <w:r>
        <w:rPr>
          <w:b w:val="0"/>
          <w:bCs w:val="0"/>
          <w:i w:val="0"/>
          <w:iCs w:val="0"/>
          <w:color w:val="222222"/>
          <w:sz w:val="21"/>
          <w:szCs w:val="21"/>
        </w:rPr>
        <w:t>This leads to a practical staffing implication: Snowflake is designed for analysts; Databricks is designed for engineers. Since most organizations employ both, this is a strong argument for a hybrid platform strategy rather than a single-platform mandate — matching each team's working style to the platform best suited for it.</w:t>
      </w:r>
    </w:p>
    <w:p w14:paraId="0664CA67">
      <w:pPr>
        <w:pStyle w:val="3"/>
        <w:spacing w:before="320" w:after="140"/>
      </w:pPr>
      <w:r>
        <w:rPr>
          <w:b/>
          <w:bCs/>
          <w:color w:val="3B5372"/>
          <w:sz w:val="24"/>
          <w:szCs w:val="24"/>
        </w:rPr>
        <w:t>2.4 Cost Model Differences</w:t>
      </w:r>
    </w:p>
    <w:p w14:paraId="3A49AA38">
      <w:pPr>
        <w:spacing w:after="160" w:line="300" w:lineRule="auto"/>
      </w:pPr>
      <w:r>
        <w:rPr>
          <w:b w:val="0"/>
          <w:bCs w:val="0"/>
          <w:i w:val="0"/>
          <w:iCs w:val="0"/>
          <w:color w:val="222222"/>
          <w:sz w:val="21"/>
          <w:szCs w:val="21"/>
        </w:rPr>
        <w:t>Ease of use and cost-efficiency are not the same thing, and conflating them is a common mistake in platform comparisons.</w:t>
      </w:r>
    </w:p>
    <w:p w14:paraId="22451D5B">
      <w:pPr>
        <w:pStyle w:val="16"/>
        <w:numPr>
          <w:ilvl w:val="0"/>
          <w:numId w:val="1"/>
        </w:numPr>
        <w:spacing w:after="90" w:line="280" w:lineRule="auto"/>
      </w:pPr>
      <w:r>
        <w:rPr>
          <w:b/>
          <w:bCs/>
          <w:color w:val="1B2A4A"/>
          <w:sz w:val="21"/>
          <w:szCs w:val="21"/>
        </w:rPr>
        <w:t xml:space="preserve">Snowflake: </w:t>
      </w:r>
      <w:r>
        <w:rPr>
          <w:color w:val="222222"/>
          <w:sz w:val="21"/>
          <w:szCs w:val="21"/>
        </w:rPr>
        <w:t>Charges for compute usage during queries. Because it is so easy to query, poorly optimized queries can silently drive costs up without an obvious trigger — the ease of the platform can mask underlying inefficiency.</w:t>
      </w:r>
    </w:p>
    <w:p w14:paraId="5A3A59DD">
      <w:pPr>
        <w:pStyle w:val="16"/>
        <w:numPr>
          <w:ilvl w:val="0"/>
          <w:numId w:val="1"/>
        </w:numPr>
        <w:spacing w:after="90" w:line="280" w:lineRule="auto"/>
      </w:pPr>
      <w:r>
        <w:rPr>
          <w:b/>
          <w:bCs/>
          <w:color w:val="1B2A4A"/>
          <w:sz w:val="21"/>
          <w:szCs w:val="21"/>
        </w:rPr>
        <w:t xml:space="preserve">Databricks: </w:t>
      </w:r>
      <w:r>
        <w:rPr>
          <w:color w:val="222222"/>
          <w:sz w:val="21"/>
          <w:szCs w:val="21"/>
        </w:rPr>
        <w:t>Requires upfront cluster sizing decisions. This forces more deliberate engineering, which often produces more efficient resource usage overall — but only if the team has the skill to make good sizing decisions in the first place.</w:t>
      </w:r>
    </w:p>
    <w:p w14:paraId="0044BB69">
      <w:pPr>
        <w:spacing w:after="160" w:line="300" w:lineRule="auto"/>
      </w:pPr>
      <w:r>
        <w:rPr>
          <w:b w:val="0"/>
          <w:bCs w:val="0"/>
          <w:i w:val="0"/>
          <w:iCs w:val="0"/>
          <w:color w:val="222222"/>
          <w:sz w:val="21"/>
          <w:szCs w:val="21"/>
        </w:rPr>
        <w:t>In short: Snowflake reduces engineering effort; Databricks reduces architectural limitations. Neither reduction is free, and the tradeoff should inform which platform carries which workloads.</w:t>
      </w:r>
    </w:p>
    <w:p w14:paraId="2CDBD206">
      <w:pPr>
        <w:pStyle w:val="3"/>
        <w:spacing w:before="320" w:after="140"/>
      </w:pPr>
      <w:r>
        <w:rPr>
          <w:b/>
          <w:bCs/>
          <w:color w:val="3B5372"/>
          <w:sz w:val="24"/>
          <w:szCs w:val="24"/>
        </w:rPr>
        <w:t>2.5 Governance and Compliance</w:t>
      </w:r>
    </w:p>
    <w:p w14:paraId="739099D2">
      <w:pPr>
        <w:spacing w:after="160" w:line="300" w:lineRule="auto"/>
      </w:pPr>
      <w:r>
        <w:rPr>
          <w:b w:val="0"/>
          <w:bCs w:val="0"/>
          <w:i w:val="0"/>
          <w:iCs w:val="0"/>
          <w:color w:val="222222"/>
          <w:sz w:val="21"/>
          <w:szCs w:val="21"/>
        </w:rPr>
        <w:t>Governance is a business requirement, not just a technical feature, particularly in regulated industries such as finance and healthcare. Both platforms now offer strong governance capability: Snowflake provides structured, role-based access control systems, while Databricks provides Unity Catalog with deep lineage tracking that allows organizations to trace data origin end to end — a capability that matters directly for audit and compliance obligations.</w:t>
      </w:r>
    </w:p>
    <w:p w14:paraId="0E9F1728">
      <w:pPr>
        <w:pStyle w:val="3"/>
        <w:spacing w:before="320" w:after="140"/>
      </w:pPr>
      <w:r>
        <w:rPr>
          <w:b/>
          <w:bCs/>
          <w:color w:val="3B5372"/>
          <w:sz w:val="24"/>
          <w:szCs w:val="24"/>
        </w:rPr>
        <w:t>2.6 Enterprise Pattern: Hybrid Adoption</w:t>
      </w:r>
    </w:p>
    <w:p w14:paraId="740014CC">
      <w:pPr>
        <w:spacing w:after="160" w:line="300" w:lineRule="auto"/>
      </w:pPr>
      <w:r>
        <w:rPr>
          <w:b w:val="0"/>
          <w:bCs w:val="0"/>
          <w:i w:val="0"/>
          <w:iCs w:val="0"/>
          <w:color w:val="222222"/>
          <w:sz w:val="21"/>
          <w:szCs w:val="21"/>
        </w:rPr>
        <w:t>The most consistent finding across real-world enterprise architectures is that most organizations do not choose one platform over the other — they run both, because modern pipelines have multiple distinct stages with different requirements. A common and stable pattern is Databricks for data engineering and machine learning, with Snowflake for analytics and dashboards. This mirrors a broader pattern in modern infrastructure strategy: combining specialized tools for what each does best, rather than forcing a single platform to cover every workload.</w:t>
      </w:r>
    </w:p>
    <w:p w14:paraId="41DA0D2A">
      <w:pPr>
        <w:pStyle w:val="3"/>
        <w:spacing w:before="320" w:after="140"/>
      </w:pPr>
      <w:r>
        <w:rPr>
          <w:b/>
          <w:bCs/>
          <w:color w:val="3B5372"/>
          <w:sz w:val="24"/>
          <w:szCs w:val="24"/>
        </w:rPr>
        <w:t>2.7 AI Trajectory</w:t>
      </w:r>
    </w:p>
    <w:p w14:paraId="6AD594DE">
      <w:pPr>
        <w:spacing w:after="160" w:line="300" w:lineRule="auto"/>
      </w:pPr>
      <w:r>
        <w:rPr>
          <w:b w:val="0"/>
          <w:bCs w:val="0"/>
          <w:i w:val="0"/>
          <w:iCs w:val="0"/>
          <w:color w:val="222222"/>
          <w:sz w:val="21"/>
          <w:szCs w:val="21"/>
        </w:rPr>
        <w:t>Artificial intelligence is the most significant force currently reshaping both platforms. Databricks is investing heavily in AI infrastructure with deep, native integration into machine learning workflows. Snowflake is evolving in parallel — adding AI capability, improving performance, and supporting open formats. The two platforms are converging in surface-level capability, but their core strengths remain distinct: Snowflake stays analyst-focused; Databricks stays engineer-focused.</w:t>
      </w:r>
    </w:p>
    <w:p w14:paraId="4220C75E">
      <w:pPr>
        <w:pStyle w:val="3"/>
        <w:spacing w:before="320" w:after="140"/>
      </w:pPr>
      <w:r>
        <w:rPr>
          <w:b/>
          <w:bCs/>
          <w:color w:val="3B5372"/>
          <w:sz w:val="24"/>
          <w:szCs w:val="24"/>
        </w:rPr>
        <w:t>2.8 Recommendation</w:t>
      </w:r>
    </w:p>
    <w:p w14:paraId="583DED02">
      <w:pPr>
        <w:spacing w:after="160" w:line="300" w:lineRule="auto"/>
      </w:pPr>
      <w:r>
        <w:rPr>
          <w:b w:val="0"/>
          <w:bCs w:val="0"/>
          <w:i w:val="0"/>
          <w:iCs w:val="0"/>
          <w:color w:val="222222"/>
          <w:sz w:val="21"/>
          <w:szCs w:val="21"/>
        </w:rPr>
        <w:t>Given the organization is already standardizing on Databricks for ingestion and is mid-adoption per Section 1, the recommended direction is a Databricks-first strategy for engineering, ML, and streaming workloads. Snowflake should be retained or adopted only where analyst-facing BI simplicity is a hard requirement not yet met by Databricks SQL and Genie-assisted tooling. This should be treated as a scoped, workload-by-workload decision rather than an all-or-nothing platform choice — consistent with the hybrid pattern observed across the industry.</w:t>
      </w:r>
    </w:p>
    <w:tbl>
      <w:tblPr>
        <w:tblStyle w:val="9"/>
        <w:tblW w:w="5000" w:type="pct"/>
        <w:tblInd w:w="0" w:type="dxa"/>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5CB37785">
        <w:tblPrEx>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5F7"/>
            <w:tcMar>
              <w:top w:w="160" w:type="dxa"/>
              <w:left w:w="200" w:type="dxa"/>
              <w:bottom w:w="160" w:type="dxa"/>
              <w:right w:w="200" w:type="dxa"/>
            </w:tcMar>
          </w:tcPr>
          <w:p w14:paraId="55F7507C">
            <w:pPr>
              <w:spacing w:after="60"/>
            </w:pPr>
            <w:r>
              <w:rPr>
                <w:b/>
                <w:bCs/>
                <w:color w:val="1B2A4A"/>
                <w:sz w:val="20"/>
                <w:szCs w:val="20"/>
              </w:rPr>
              <w:t>Bottom line</w:t>
            </w:r>
          </w:p>
          <w:p w14:paraId="0E8115E2">
            <w:pPr>
              <w:spacing w:after="0" w:line="280" w:lineRule="auto"/>
            </w:pPr>
            <w:r>
              <w:rPr>
                <w:color w:val="222222"/>
                <w:sz w:val="20"/>
                <w:szCs w:val="20"/>
              </w:rPr>
              <w:t>The organizations that get the most value are not the ones that pick a winner between Snowflake and Databricks — they are the ones that design deliberately for where each platform's strengths apply, and revisit that split as both platforms continue to converge on AI capability.</w:t>
            </w:r>
          </w:p>
        </w:tc>
      </w:tr>
    </w:tbl>
    <w:p w14:paraId="6DCE4410">
      <w:r>
        <w:br w:type="page"/>
      </w:r>
    </w:p>
    <w:p w14:paraId="155BF757">
      <w:pPr>
        <w:pStyle w:val="2"/>
        <w:pBdr>
          <w:bottom w:val="single" w:color="D8DEE4" w:sz="4" w:space="6"/>
        </w:pBdr>
        <w:spacing w:before="480" w:after="200"/>
      </w:pPr>
      <w:r>
        <w:rPr>
          <w:b/>
          <w:bCs/>
          <w:color w:val="1B2A4A"/>
          <w:sz w:val="30"/>
          <w:szCs w:val="30"/>
        </w:rPr>
        <w:t>Section 3 — Ingestion Layer: Fivetran vs. Meltano vs. Lakeflow Connect</w:t>
      </w:r>
    </w:p>
    <w:p w14:paraId="11883A66">
      <w:pPr>
        <w:spacing w:after="220"/>
      </w:pPr>
      <w:r>
        <w:rPr>
          <w:i/>
          <w:iCs/>
          <w:color w:val="5B6B7A"/>
          <w:sz w:val="22"/>
          <w:szCs w:val="22"/>
        </w:rPr>
        <w:t>Supporting analysis for teams already standardizing on Databricks for ingestion.</w:t>
      </w:r>
    </w:p>
    <w:p w14:paraId="6AB4A5F6">
      <w:pPr>
        <w:pStyle w:val="3"/>
        <w:spacing w:before="320" w:after="140"/>
      </w:pPr>
      <w:r>
        <w:rPr>
          <w:b/>
          <w:bCs/>
          <w:color w:val="3B5372"/>
          <w:sz w:val="24"/>
          <w:szCs w:val="24"/>
        </w:rPr>
        <w:t>3.1 Core Philosophy</w:t>
      </w:r>
    </w:p>
    <w:p w14:paraId="0954E55E">
      <w:pPr>
        <w:pStyle w:val="16"/>
        <w:numPr>
          <w:ilvl w:val="0"/>
          <w:numId w:val="1"/>
        </w:numPr>
        <w:spacing w:after="90" w:line="280" w:lineRule="auto"/>
      </w:pPr>
      <w:r>
        <w:rPr>
          <w:b/>
          <w:bCs/>
          <w:color w:val="1B2A4A"/>
          <w:sz w:val="21"/>
          <w:szCs w:val="21"/>
        </w:rPr>
        <w:t xml:space="preserve">Fivetran: </w:t>
      </w:r>
      <w:r>
        <w:rPr>
          <w:color w:val="222222"/>
          <w:sz w:val="21"/>
          <w:szCs w:val="21"/>
        </w:rPr>
        <w:t>Managed SaaS, closed-source, point-and-click connectors, fully automated schema handling.</w:t>
      </w:r>
    </w:p>
    <w:p w14:paraId="62C0AAA5">
      <w:pPr>
        <w:pStyle w:val="16"/>
        <w:numPr>
          <w:ilvl w:val="0"/>
          <w:numId w:val="1"/>
        </w:numPr>
        <w:spacing w:after="90" w:line="280" w:lineRule="auto"/>
      </w:pPr>
      <w:r>
        <w:rPr>
          <w:b/>
          <w:bCs/>
          <w:color w:val="1B2A4A"/>
          <w:sz w:val="21"/>
          <w:szCs w:val="21"/>
        </w:rPr>
        <w:t xml:space="preserve">Meltano: </w:t>
      </w:r>
      <w:r>
        <w:rPr>
          <w:color w:val="222222"/>
          <w:sz w:val="21"/>
          <w:szCs w:val="21"/>
        </w:rPr>
        <w:t>Open-source, code-first, built on Singer taps/targets, runs anywhere — self-hosted or orchestrated via Airflow, Dagster, or natively.</w:t>
      </w:r>
    </w:p>
    <w:p w14:paraId="2ABEB759">
      <w:pPr>
        <w:pStyle w:val="16"/>
        <w:numPr>
          <w:ilvl w:val="0"/>
          <w:numId w:val="1"/>
        </w:numPr>
        <w:spacing w:after="90" w:line="280" w:lineRule="auto"/>
      </w:pPr>
      <w:r>
        <w:rPr>
          <w:b/>
          <w:bCs/>
          <w:color w:val="1B2A4A"/>
          <w:sz w:val="21"/>
          <w:szCs w:val="21"/>
        </w:rPr>
        <w:t xml:space="preserve">Lakeflow Connect: </w:t>
      </w:r>
      <w:r>
        <w:rPr>
          <w:color w:val="222222"/>
          <w:sz w:val="21"/>
          <w:szCs w:val="21"/>
        </w:rPr>
        <w:t>Databricks-native ingestion built on the Arcion acquisition, writing directly into Delta tables under Unity Catalog governance.</w:t>
      </w:r>
    </w:p>
    <w:p w14:paraId="0F12BB80">
      <w:pPr>
        <w:pStyle w:val="3"/>
        <w:spacing w:before="320" w:after="140"/>
      </w:pPr>
      <w:r>
        <w:rPr>
          <w:b/>
          <w:bCs/>
          <w:color w:val="3B5372"/>
          <w:sz w:val="24"/>
          <w:szCs w:val="24"/>
        </w:rPr>
        <w:t>3.2 Dimension-by-Dimension Comparison</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400"/>
        <w:gridCol w:w="3480"/>
        <w:gridCol w:w="3480"/>
      </w:tblGrid>
      <w:tr w14:paraId="231E202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400" w:type="dxa"/>
            <w:shd w:val="clear" w:color="auto" w:fill="1B2A4A"/>
            <w:tcMar>
              <w:top w:w="100" w:type="dxa"/>
              <w:left w:w="120" w:type="dxa"/>
              <w:bottom w:w="100" w:type="dxa"/>
              <w:right w:w="120" w:type="dxa"/>
            </w:tcMar>
            <w:vAlign w:val="center"/>
          </w:tcPr>
          <w:p w14:paraId="324718CA">
            <w:r>
              <w:rPr>
                <w:b/>
                <w:bCs/>
                <w:color w:val="FFFFFF"/>
                <w:sz w:val="18"/>
                <w:szCs w:val="18"/>
              </w:rPr>
              <w:t>Dimension</w:t>
            </w:r>
          </w:p>
        </w:tc>
        <w:tc>
          <w:tcPr>
            <w:tcW w:w="3480" w:type="dxa"/>
            <w:shd w:val="clear" w:color="auto" w:fill="1B2A4A"/>
            <w:tcMar>
              <w:top w:w="100" w:type="dxa"/>
              <w:left w:w="120" w:type="dxa"/>
              <w:bottom w:w="100" w:type="dxa"/>
              <w:right w:w="120" w:type="dxa"/>
            </w:tcMar>
            <w:vAlign w:val="center"/>
          </w:tcPr>
          <w:p w14:paraId="0021CC2E">
            <w:r>
              <w:rPr>
                <w:b/>
                <w:bCs/>
                <w:color w:val="FFFFFF"/>
                <w:sz w:val="18"/>
                <w:szCs w:val="18"/>
              </w:rPr>
              <w:t>Fivetran</w:t>
            </w:r>
          </w:p>
        </w:tc>
        <w:tc>
          <w:tcPr>
            <w:tcW w:w="3480" w:type="dxa"/>
            <w:shd w:val="clear" w:color="auto" w:fill="1B2A4A"/>
            <w:tcMar>
              <w:top w:w="100" w:type="dxa"/>
              <w:left w:w="120" w:type="dxa"/>
              <w:bottom w:w="100" w:type="dxa"/>
              <w:right w:w="120" w:type="dxa"/>
            </w:tcMar>
            <w:vAlign w:val="center"/>
          </w:tcPr>
          <w:p w14:paraId="53D1D28B">
            <w:r>
              <w:rPr>
                <w:b/>
                <w:bCs/>
                <w:color w:val="FFFFFF"/>
                <w:sz w:val="18"/>
                <w:szCs w:val="18"/>
              </w:rPr>
              <w:t>Meltano</w:t>
            </w:r>
          </w:p>
        </w:tc>
      </w:tr>
      <w:tr w14:paraId="61D038E8">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39E93673">
            <w:pPr>
              <w:spacing w:line="260" w:lineRule="auto"/>
            </w:pPr>
            <w:r>
              <w:rPr>
                <w:b/>
                <w:bCs/>
                <w:color w:val="222222"/>
                <w:sz w:val="18"/>
                <w:szCs w:val="18"/>
              </w:rPr>
              <w:t>Deployment model</w:t>
            </w:r>
          </w:p>
        </w:tc>
        <w:tc>
          <w:tcPr>
            <w:tcW w:w="3480" w:type="dxa"/>
            <w:shd w:val="clear" w:color="auto" w:fill="FFFFFF"/>
            <w:tcMar>
              <w:top w:w="90" w:type="dxa"/>
              <w:left w:w="120" w:type="dxa"/>
              <w:bottom w:w="90" w:type="dxa"/>
              <w:right w:w="120" w:type="dxa"/>
            </w:tcMar>
            <w:vAlign w:val="center"/>
          </w:tcPr>
          <w:p w14:paraId="546F4D17">
            <w:pPr>
              <w:spacing w:line="260" w:lineRule="auto"/>
            </w:pPr>
            <w:r>
              <w:rPr>
                <w:b w:val="0"/>
                <w:bCs w:val="0"/>
                <w:color w:val="222222"/>
                <w:sz w:val="18"/>
                <w:szCs w:val="18"/>
              </w:rPr>
              <w:t>Fully hosted SaaS</w:t>
            </w:r>
          </w:p>
        </w:tc>
        <w:tc>
          <w:tcPr>
            <w:tcW w:w="3480" w:type="dxa"/>
            <w:shd w:val="clear" w:color="auto" w:fill="FFFFFF"/>
            <w:tcMar>
              <w:top w:w="90" w:type="dxa"/>
              <w:left w:w="120" w:type="dxa"/>
              <w:bottom w:w="90" w:type="dxa"/>
              <w:right w:w="120" w:type="dxa"/>
            </w:tcMar>
            <w:vAlign w:val="center"/>
          </w:tcPr>
          <w:p w14:paraId="29EA8CA8">
            <w:pPr>
              <w:spacing w:line="260" w:lineRule="auto"/>
            </w:pPr>
            <w:r>
              <w:rPr>
                <w:b w:val="0"/>
                <w:bCs w:val="0"/>
                <w:color w:val="222222"/>
                <w:sz w:val="18"/>
                <w:szCs w:val="18"/>
              </w:rPr>
              <w:t>Self-hosted or hybrid; you own compute</w:t>
            </w:r>
          </w:p>
        </w:tc>
      </w:tr>
      <w:tr w14:paraId="23446811">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2F5F7"/>
            <w:tcMar>
              <w:top w:w="90" w:type="dxa"/>
              <w:left w:w="120" w:type="dxa"/>
              <w:bottom w:w="90" w:type="dxa"/>
              <w:right w:w="120" w:type="dxa"/>
            </w:tcMar>
            <w:vAlign w:val="center"/>
          </w:tcPr>
          <w:p w14:paraId="0D7A00B3">
            <w:pPr>
              <w:spacing w:line="260" w:lineRule="auto"/>
            </w:pPr>
            <w:r>
              <w:rPr>
                <w:b/>
                <w:bCs/>
                <w:color w:val="222222"/>
                <w:sz w:val="18"/>
                <w:szCs w:val="18"/>
              </w:rPr>
              <w:t>Connector ecosystem</w:t>
            </w:r>
          </w:p>
        </w:tc>
        <w:tc>
          <w:tcPr>
            <w:tcW w:w="3480" w:type="dxa"/>
            <w:shd w:val="clear" w:color="auto" w:fill="F2F5F7"/>
            <w:tcMar>
              <w:top w:w="90" w:type="dxa"/>
              <w:left w:w="120" w:type="dxa"/>
              <w:bottom w:w="90" w:type="dxa"/>
              <w:right w:w="120" w:type="dxa"/>
            </w:tcMar>
            <w:vAlign w:val="center"/>
          </w:tcPr>
          <w:p w14:paraId="45AAF1A5">
            <w:pPr>
              <w:spacing w:line="260" w:lineRule="auto"/>
            </w:pPr>
            <w:r>
              <w:rPr>
                <w:b w:val="0"/>
                <w:bCs w:val="0"/>
                <w:color w:val="222222"/>
                <w:sz w:val="18"/>
                <w:szCs w:val="18"/>
              </w:rPr>
              <w:t>700+ pre-built, vendor-maintained</w:t>
            </w:r>
          </w:p>
        </w:tc>
        <w:tc>
          <w:tcPr>
            <w:tcW w:w="3480" w:type="dxa"/>
            <w:shd w:val="clear" w:color="auto" w:fill="F2F5F7"/>
            <w:tcMar>
              <w:top w:w="90" w:type="dxa"/>
              <w:left w:w="120" w:type="dxa"/>
              <w:bottom w:w="90" w:type="dxa"/>
              <w:right w:w="120" w:type="dxa"/>
            </w:tcMar>
            <w:vAlign w:val="center"/>
          </w:tcPr>
          <w:p w14:paraId="33AF0EFB">
            <w:pPr>
              <w:spacing w:line="260" w:lineRule="auto"/>
            </w:pPr>
            <w:r>
              <w:rPr>
                <w:b w:val="0"/>
                <w:bCs w:val="0"/>
                <w:color w:val="222222"/>
                <w:sz w:val="18"/>
                <w:szCs w:val="18"/>
              </w:rPr>
              <w:t>Singer/Meltano Hub taps, variable quality</w:t>
            </w:r>
          </w:p>
        </w:tc>
      </w:tr>
      <w:tr w14:paraId="6D200D3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761A65FF">
            <w:pPr>
              <w:spacing w:line="260" w:lineRule="auto"/>
            </w:pPr>
            <w:r>
              <w:rPr>
                <w:b/>
                <w:bCs/>
                <w:color w:val="222222"/>
                <w:sz w:val="18"/>
                <w:szCs w:val="18"/>
              </w:rPr>
              <w:t>Schema evolution</w:t>
            </w:r>
          </w:p>
        </w:tc>
        <w:tc>
          <w:tcPr>
            <w:tcW w:w="3480" w:type="dxa"/>
            <w:shd w:val="clear" w:color="auto" w:fill="FFFFFF"/>
            <w:tcMar>
              <w:top w:w="90" w:type="dxa"/>
              <w:left w:w="120" w:type="dxa"/>
              <w:bottom w:w="90" w:type="dxa"/>
              <w:right w:w="120" w:type="dxa"/>
            </w:tcMar>
            <w:vAlign w:val="center"/>
          </w:tcPr>
          <w:p w14:paraId="207D702C">
            <w:pPr>
              <w:spacing w:line="260" w:lineRule="auto"/>
            </w:pPr>
            <w:r>
              <w:rPr>
                <w:b w:val="0"/>
                <w:bCs w:val="0"/>
                <w:color w:val="222222"/>
                <w:sz w:val="18"/>
                <w:szCs w:val="18"/>
              </w:rPr>
              <w:t>Automatic detection &amp; migration</w:t>
            </w:r>
          </w:p>
        </w:tc>
        <w:tc>
          <w:tcPr>
            <w:tcW w:w="3480" w:type="dxa"/>
            <w:shd w:val="clear" w:color="auto" w:fill="FFFFFF"/>
            <w:tcMar>
              <w:top w:w="90" w:type="dxa"/>
              <w:left w:w="120" w:type="dxa"/>
              <w:bottom w:w="90" w:type="dxa"/>
              <w:right w:w="120" w:type="dxa"/>
            </w:tcMar>
            <w:vAlign w:val="center"/>
          </w:tcPr>
          <w:p w14:paraId="631FA84C">
            <w:pPr>
              <w:spacing w:line="260" w:lineRule="auto"/>
            </w:pPr>
            <w:r>
              <w:rPr>
                <w:b w:val="0"/>
                <w:bCs w:val="0"/>
                <w:color w:val="222222"/>
                <w:sz w:val="18"/>
                <w:szCs w:val="18"/>
              </w:rPr>
              <w:t>Manual or via plugin config</w:t>
            </w:r>
          </w:p>
        </w:tc>
      </w:tr>
      <w:tr w14:paraId="59BB0808">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2F5F7"/>
            <w:tcMar>
              <w:top w:w="90" w:type="dxa"/>
              <w:left w:w="120" w:type="dxa"/>
              <w:bottom w:w="90" w:type="dxa"/>
              <w:right w:w="120" w:type="dxa"/>
            </w:tcMar>
            <w:vAlign w:val="center"/>
          </w:tcPr>
          <w:p w14:paraId="7AF649A4">
            <w:pPr>
              <w:spacing w:line="260" w:lineRule="auto"/>
            </w:pPr>
            <w:r>
              <w:rPr>
                <w:b/>
                <w:bCs/>
                <w:color w:val="222222"/>
                <w:sz w:val="18"/>
                <w:szCs w:val="18"/>
              </w:rPr>
              <w:t>Extraction protocol</w:t>
            </w:r>
          </w:p>
        </w:tc>
        <w:tc>
          <w:tcPr>
            <w:tcW w:w="3480" w:type="dxa"/>
            <w:shd w:val="clear" w:color="auto" w:fill="F2F5F7"/>
            <w:tcMar>
              <w:top w:w="90" w:type="dxa"/>
              <w:left w:w="120" w:type="dxa"/>
              <w:bottom w:w="90" w:type="dxa"/>
              <w:right w:w="120" w:type="dxa"/>
            </w:tcMar>
            <w:vAlign w:val="center"/>
          </w:tcPr>
          <w:p w14:paraId="4212D483">
            <w:pPr>
              <w:spacing w:line="260" w:lineRule="auto"/>
            </w:pPr>
            <w:r>
              <w:rPr>
                <w:b w:val="0"/>
                <w:bCs w:val="0"/>
                <w:color w:val="222222"/>
                <w:sz w:val="18"/>
                <w:szCs w:val="18"/>
              </w:rPr>
              <w:t>Proprietary</w:t>
            </w:r>
          </w:p>
        </w:tc>
        <w:tc>
          <w:tcPr>
            <w:tcW w:w="3480" w:type="dxa"/>
            <w:shd w:val="clear" w:color="auto" w:fill="F2F5F7"/>
            <w:tcMar>
              <w:top w:w="90" w:type="dxa"/>
              <w:left w:w="120" w:type="dxa"/>
              <w:bottom w:w="90" w:type="dxa"/>
              <w:right w:w="120" w:type="dxa"/>
            </w:tcMar>
            <w:vAlign w:val="center"/>
          </w:tcPr>
          <w:p w14:paraId="33C53E00">
            <w:pPr>
              <w:spacing w:line="260" w:lineRule="auto"/>
            </w:pPr>
            <w:r>
              <w:rPr>
                <w:b w:val="0"/>
                <w:bCs w:val="0"/>
                <w:color w:val="222222"/>
                <w:sz w:val="18"/>
                <w:szCs w:val="18"/>
              </w:rPr>
              <w:t>Singer spec — open, portable</w:t>
            </w:r>
          </w:p>
        </w:tc>
      </w:tr>
      <w:tr w14:paraId="6977A0D1">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0D044AF5">
            <w:pPr>
              <w:spacing w:line="260" w:lineRule="auto"/>
            </w:pPr>
            <w:r>
              <w:rPr>
                <w:b/>
                <w:bCs/>
                <w:color w:val="222222"/>
                <w:sz w:val="18"/>
                <w:szCs w:val="18"/>
              </w:rPr>
              <w:t>Transformation layer</w:t>
            </w:r>
          </w:p>
        </w:tc>
        <w:tc>
          <w:tcPr>
            <w:tcW w:w="3480" w:type="dxa"/>
            <w:shd w:val="clear" w:color="auto" w:fill="FFFFFF"/>
            <w:tcMar>
              <w:top w:w="90" w:type="dxa"/>
              <w:left w:w="120" w:type="dxa"/>
              <w:bottom w:w="90" w:type="dxa"/>
              <w:right w:w="120" w:type="dxa"/>
            </w:tcMar>
            <w:vAlign w:val="center"/>
          </w:tcPr>
          <w:p w14:paraId="017D3530">
            <w:pPr>
              <w:spacing w:line="260" w:lineRule="auto"/>
            </w:pPr>
            <w:r>
              <w:rPr>
                <w:b w:val="0"/>
                <w:bCs w:val="0"/>
                <w:color w:val="222222"/>
                <w:sz w:val="18"/>
                <w:szCs w:val="18"/>
              </w:rPr>
              <w:t>Built-in dbt integration (managed)</w:t>
            </w:r>
          </w:p>
        </w:tc>
        <w:tc>
          <w:tcPr>
            <w:tcW w:w="3480" w:type="dxa"/>
            <w:shd w:val="clear" w:color="auto" w:fill="FFFFFF"/>
            <w:tcMar>
              <w:top w:w="90" w:type="dxa"/>
              <w:left w:w="120" w:type="dxa"/>
              <w:bottom w:w="90" w:type="dxa"/>
              <w:right w:w="120" w:type="dxa"/>
            </w:tcMar>
            <w:vAlign w:val="center"/>
          </w:tcPr>
          <w:p w14:paraId="06B1F9B7">
            <w:pPr>
              <w:spacing w:line="260" w:lineRule="auto"/>
            </w:pPr>
            <w:r>
              <w:rPr>
                <w:b w:val="0"/>
                <w:bCs w:val="0"/>
                <w:color w:val="222222"/>
                <w:sz w:val="18"/>
                <w:szCs w:val="18"/>
              </w:rPr>
              <w:t>dbt-core integration (self-managed)</w:t>
            </w:r>
          </w:p>
        </w:tc>
      </w:tr>
      <w:tr w14:paraId="06149587">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2F5F7"/>
            <w:tcMar>
              <w:top w:w="90" w:type="dxa"/>
              <w:left w:w="120" w:type="dxa"/>
              <w:bottom w:w="90" w:type="dxa"/>
              <w:right w:w="120" w:type="dxa"/>
            </w:tcMar>
            <w:vAlign w:val="center"/>
          </w:tcPr>
          <w:p w14:paraId="378869BF">
            <w:pPr>
              <w:spacing w:line="260" w:lineRule="auto"/>
            </w:pPr>
            <w:r>
              <w:rPr>
                <w:b/>
                <w:bCs/>
                <w:color w:val="222222"/>
                <w:sz w:val="18"/>
                <w:szCs w:val="18"/>
              </w:rPr>
              <w:t>Version control / CI-CD</w:t>
            </w:r>
          </w:p>
        </w:tc>
        <w:tc>
          <w:tcPr>
            <w:tcW w:w="3480" w:type="dxa"/>
            <w:shd w:val="clear" w:color="auto" w:fill="F2F5F7"/>
            <w:tcMar>
              <w:top w:w="90" w:type="dxa"/>
              <w:left w:w="120" w:type="dxa"/>
              <w:bottom w:w="90" w:type="dxa"/>
              <w:right w:w="120" w:type="dxa"/>
            </w:tcMar>
            <w:vAlign w:val="center"/>
          </w:tcPr>
          <w:p w14:paraId="4078707B">
            <w:pPr>
              <w:spacing w:line="260" w:lineRule="auto"/>
            </w:pPr>
            <w:r>
              <w:rPr>
                <w:b w:val="0"/>
                <w:bCs w:val="0"/>
                <w:color w:val="222222"/>
                <w:sz w:val="18"/>
                <w:szCs w:val="18"/>
              </w:rPr>
              <w:t>Limited (config via UI/API/Terraform)</w:t>
            </w:r>
          </w:p>
        </w:tc>
        <w:tc>
          <w:tcPr>
            <w:tcW w:w="3480" w:type="dxa"/>
            <w:shd w:val="clear" w:color="auto" w:fill="F2F5F7"/>
            <w:tcMar>
              <w:top w:w="90" w:type="dxa"/>
              <w:left w:w="120" w:type="dxa"/>
              <w:bottom w:w="90" w:type="dxa"/>
              <w:right w:w="120" w:type="dxa"/>
            </w:tcMar>
            <w:vAlign w:val="center"/>
          </w:tcPr>
          <w:p w14:paraId="1777F46C">
            <w:pPr>
              <w:spacing w:line="260" w:lineRule="auto"/>
            </w:pPr>
            <w:r>
              <w:rPr>
                <w:b w:val="0"/>
                <w:bCs w:val="0"/>
                <w:color w:val="222222"/>
                <w:sz w:val="18"/>
                <w:szCs w:val="18"/>
              </w:rPr>
              <w:t>Native — everything is YAML, git-friendly</w:t>
            </w:r>
          </w:p>
        </w:tc>
      </w:tr>
      <w:tr w14:paraId="5262241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05AC9160">
            <w:pPr>
              <w:spacing w:line="260" w:lineRule="auto"/>
            </w:pPr>
            <w:r>
              <w:rPr>
                <w:b/>
                <w:bCs/>
                <w:color w:val="222222"/>
                <w:sz w:val="18"/>
                <w:szCs w:val="18"/>
              </w:rPr>
              <w:t>Pricing model</w:t>
            </w:r>
          </w:p>
        </w:tc>
        <w:tc>
          <w:tcPr>
            <w:tcW w:w="3480" w:type="dxa"/>
            <w:shd w:val="clear" w:color="auto" w:fill="FFFFFF"/>
            <w:tcMar>
              <w:top w:w="90" w:type="dxa"/>
              <w:left w:w="120" w:type="dxa"/>
              <w:bottom w:w="90" w:type="dxa"/>
              <w:right w:w="120" w:type="dxa"/>
            </w:tcMar>
            <w:vAlign w:val="center"/>
          </w:tcPr>
          <w:p w14:paraId="1A9D0887">
            <w:pPr>
              <w:spacing w:line="260" w:lineRule="auto"/>
            </w:pPr>
            <w:r>
              <w:rPr>
                <w:b w:val="0"/>
                <w:bCs w:val="0"/>
                <w:color w:val="222222"/>
                <w:sz w:val="18"/>
                <w:szCs w:val="18"/>
              </w:rPr>
              <w:t>Consumption-based (Monthly Active Rows)</w:t>
            </w:r>
          </w:p>
        </w:tc>
        <w:tc>
          <w:tcPr>
            <w:tcW w:w="3480" w:type="dxa"/>
            <w:shd w:val="clear" w:color="auto" w:fill="FFFFFF"/>
            <w:tcMar>
              <w:top w:w="90" w:type="dxa"/>
              <w:left w:w="120" w:type="dxa"/>
              <w:bottom w:w="90" w:type="dxa"/>
              <w:right w:w="120" w:type="dxa"/>
            </w:tcMar>
            <w:vAlign w:val="center"/>
          </w:tcPr>
          <w:p w14:paraId="11634E51">
            <w:pPr>
              <w:spacing w:line="260" w:lineRule="auto"/>
            </w:pPr>
            <w:r>
              <w:rPr>
                <w:b w:val="0"/>
                <w:bCs w:val="0"/>
                <w:color w:val="222222"/>
                <w:sz w:val="18"/>
                <w:szCs w:val="18"/>
              </w:rPr>
              <w:t>Free core; cost = infra + engineering time</w:t>
            </w:r>
          </w:p>
        </w:tc>
      </w:tr>
      <w:tr w14:paraId="7CAB769F">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2F5F7"/>
            <w:tcMar>
              <w:top w:w="90" w:type="dxa"/>
              <w:left w:w="120" w:type="dxa"/>
              <w:bottom w:w="90" w:type="dxa"/>
              <w:right w:w="120" w:type="dxa"/>
            </w:tcMar>
            <w:vAlign w:val="center"/>
          </w:tcPr>
          <w:p w14:paraId="47225F63">
            <w:pPr>
              <w:spacing w:line="260" w:lineRule="auto"/>
            </w:pPr>
            <w:r>
              <w:rPr>
                <w:b/>
                <w:bCs/>
                <w:color w:val="222222"/>
                <w:sz w:val="18"/>
                <w:szCs w:val="18"/>
              </w:rPr>
              <w:t>CDC support</w:t>
            </w:r>
          </w:p>
        </w:tc>
        <w:tc>
          <w:tcPr>
            <w:tcW w:w="3480" w:type="dxa"/>
            <w:shd w:val="clear" w:color="auto" w:fill="F2F5F7"/>
            <w:tcMar>
              <w:top w:w="90" w:type="dxa"/>
              <w:left w:w="120" w:type="dxa"/>
              <w:bottom w:w="90" w:type="dxa"/>
              <w:right w:w="120" w:type="dxa"/>
            </w:tcMar>
            <w:vAlign w:val="center"/>
          </w:tcPr>
          <w:p w14:paraId="5258A5FD">
            <w:pPr>
              <w:spacing w:line="260" w:lineRule="auto"/>
            </w:pPr>
            <w:r>
              <w:rPr>
                <w:b w:val="0"/>
                <w:bCs w:val="0"/>
                <w:color w:val="222222"/>
                <w:sz w:val="18"/>
                <w:szCs w:val="18"/>
              </w:rPr>
              <w:t>Strong, native log-based CDC</w:t>
            </w:r>
          </w:p>
        </w:tc>
        <w:tc>
          <w:tcPr>
            <w:tcW w:w="3480" w:type="dxa"/>
            <w:shd w:val="clear" w:color="auto" w:fill="F2F5F7"/>
            <w:tcMar>
              <w:top w:w="90" w:type="dxa"/>
              <w:left w:w="120" w:type="dxa"/>
              <w:bottom w:w="90" w:type="dxa"/>
              <w:right w:w="120" w:type="dxa"/>
            </w:tcMar>
            <w:vAlign w:val="center"/>
          </w:tcPr>
          <w:p w14:paraId="43A0956F">
            <w:pPr>
              <w:spacing w:line="260" w:lineRule="auto"/>
            </w:pPr>
            <w:r>
              <w:rPr>
                <w:b w:val="0"/>
                <w:bCs w:val="0"/>
                <w:color w:val="222222"/>
                <w:sz w:val="18"/>
                <w:szCs w:val="18"/>
              </w:rPr>
              <w:t>Depends on tap quality — inconsistent</w:t>
            </w:r>
          </w:p>
        </w:tc>
      </w:tr>
      <w:tr w14:paraId="2B655956">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68A5F45F">
            <w:pPr>
              <w:spacing w:line="260" w:lineRule="auto"/>
            </w:pPr>
            <w:r>
              <w:rPr>
                <w:b/>
                <w:bCs/>
                <w:color w:val="222222"/>
                <w:sz w:val="18"/>
                <w:szCs w:val="18"/>
              </w:rPr>
              <w:t>Governance / compliance</w:t>
            </w:r>
          </w:p>
        </w:tc>
        <w:tc>
          <w:tcPr>
            <w:tcW w:w="3480" w:type="dxa"/>
            <w:shd w:val="clear" w:color="auto" w:fill="FFFFFF"/>
            <w:tcMar>
              <w:top w:w="90" w:type="dxa"/>
              <w:left w:w="120" w:type="dxa"/>
              <w:bottom w:w="90" w:type="dxa"/>
              <w:right w:w="120" w:type="dxa"/>
            </w:tcMar>
            <w:vAlign w:val="center"/>
          </w:tcPr>
          <w:p w14:paraId="6A288357">
            <w:pPr>
              <w:spacing w:line="260" w:lineRule="auto"/>
            </w:pPr>
            <w:r>
              <w:rPr>
                <w:b w:val="0"/>
                <w:bCs w:val="0"/>
                <w:color w:val="222222"/>
                <w:sz w:val="18"/>
                <w:szCs w:val="18"/>
              </w:rPr>
              <w:t>SOC 2, HIPAA, GDPR tooling built-in</w:t>
            </w:r>
          </w:p>
        </w:tc>
        <w:tc>
          <w:tcPr>
            <w:tcW w:w="3480" w:type="dxa"/>
            <w:shd w:val="clear" w:color="auto" w:fill="FFFFFF"/>
            <w:tcMar>
              <w:top w:w="90" w:type="dxa"/>
              <w:left w:w="120" w:type="dxa"/>
              <w:bottom w:w="90" w:type="dxa"/>
              <w:right w:w="120" w:type="dxa"/>
            </w:tcMar>
            <w:vAlign w:val="center"/>
          </w:tcPr>
          <w:p w14:paraId="727544CC">
            <w:pPr>
              <w:spacing w:line="260" w:lineRule="auto"/>
            </w:pPr>
            <w:r>
              <w:rPr>
                <w:b w:val="0"/>
                <w:bCs w:val="0"/>
                <w:color w:val="222222"/>
                <w:sz w:val="18"/>
                <w:szCs w:val="18"/>
              </w:rPr>
              <w:t>Self-managed</w:t>
            </w:r>
          </w:p>
        </w:tc>
      </w:tr>
      <w:tr w14:paraId="35E18B1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2F5F7"/>
            <w:tcMar>
              <w:top w:w="90" w:type="dxa"/>
              <w:left w:w="120" w:type="dxa"/>
              <w:bottom w:w="90" w:type="dxa"/>
              <w:right w:w="120" w:type="dxa"/>
            </w:tcMar>
            <w:vAlign w:val="center"/>
          </w:tcPr>
          <w:p w14:paraId="51384C1B">
            <w:pPr>
              <w:spacing w:line="260" w:lineRule="auto"/>
            </w:pPr>
            <w:r>
              <w:rPr>
                <w:b/>
                <w:bCs/>
                <w:color w:val="222222"/>
                <w:sz w:val="18"/>
                <w:szCs w:val="18"/>
              </w:rPr>
              <w:t>Time to first pipeline</w:t>
            </w:r>
          </w:p>
        </w:tc>
        <w:tc>
          <w:tcPr>
            <w:tcW w:w="3480" w:type="dxa"/>
            <w:shd w:val="clear" w:color="auto" w:fill="F2F5F7"/>
            <w:tcMar>
              <w:top w:w="90" w:type="dxa"/>
              <w:left w:w="120" w:type="dxa"/>
              <w:bottom w:w="90" w:type="dxa"/>
              <w:right w:w="120" w:type="dxa"/>
            </w:tcMar>
            <w:vAlign w:val="center"/>
          </w:tcPr>
          <w:p w14:paraId="2B0D9AD0">
            <w:pPr>
              <w:spacing w:line="260" w:lineRule="auto"/>
            </w:pPr>
            <w:r>
              <w:rPr>
                <w:b w:val="0"/>
                <w:bCs w:val="0"/>
                <w:color w:val="222222"/>
                <w:sz w:val="18"/>
                <w:szCs w:val="18"/>
              </w:rPr>
              <w:t>Minutes (UI-driven)</w:t>
            </w:r>
          </w:p>
        </w:tc>
        <w:tc>
          <w:tcPr>
            <w:tcW w:w="3480" w:type="dxa"/>
            <w:shd w:val="clear" w:color="auto" w:fill="F2F5F7"/>
            <w:tcMar>
              <w:top w:w="90" w:type="dxa"/>
              <w:left w:w="120" w:type="dxa"/>
              <w:bottom w:w="90" w:type="dxa"/>
              <w:right w:w="120" w:type="dxa"/>
            </w:tcMar>
            <w:vAlign w:val="center"/>
          </w:tcPr>
          <w:p w14:paraId="519675A3">
            <w:pPr>
              <w:spacing w:line="260" w:lineRule="auto"/>
            </w:pPr>
            <w:r>
              <w:rPr>
                <w:b w:val="0"/>
                <w:bCs w:val="0"/>
                <w:color w:val="222222"/>
                <w:sz w:val="18"/>
                <w:szCs w:val="18"/>
              </w:rPr>
              <w:t>Hours to days (setup, config, testing)</w:t>
            </w:r>
          </w:p>
        </w:tc>
      </w:tr>
      <w:tr w14:paraId="576A1332">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FFFFF"/>
            <w:tcMar>
              <w:top w:w="90" w:type="dxa"/>
              <w:left w:w="120" w:type="dxa"/>
              <w:bottom w:w="90" w:type="dxa"/>
              <w:right w:w="120" w:type="dxa"/>
            </w:tcMar>
            <w:vAlign w:val="center"/>
          </w:tcPr>
          <w:p w14:paraId="59120C1D">
            <w:pPr>
              <w:spacing w:line="260" w:lineRule="auto"/>
            </w:pPr>
            <w:r>
              <w:rPr>
                <w:b/>
                <w:bCs/>
                <w:color w:val="222222"/>
                <w:sz w:val="18"/>
                <w:szCs w:val="18"/>
              </w:rPr>
              <w:t>Vendor lock-in</w:t>
            </w:r>
          </w:p>
        </w:tc>
        <w:tc>
          <w:tcPr>
            <w:tcW w:w="3480" w:type="dxa"/>
            <w:shd w:val="clear" w:color="auto" w:fill="FFFFFF"/>
            <w:tcMar>
              <w:top w:w="90" w:type="dxa"/>
              <w:left w:w="120" w:type="dxa"/>
              <w:bottom w:w="90" w:type="dxa"/>
              <w:right w:w="120" w:type="dxa"/>
            </w:tcMar>
            <w:vAlign w:val="center"/>
          </w:tcPr>
          <w:p w14:paraId="491E33F0">
            <w:pPr>
              <w:spacing w:line="260" w:lineRule="auto"/>
            </w:pPr>
            <w:r>
              <w:rPr>
                <w:b w:val="0"/>
                <w:bCs w:val="0"/>
                <w:color w:val="222222"/>
                <w:sz w:val="18"/>
                <w:szCs w:val="18"/>
              </w:rPr>
              <w:t>High — proprietary metadata/scheduling</w:t>
            </w:r>
          </w:p>
        </w:tc>
        <w:tc>
          <w:tcPr>
            <w:tcW w:w="3480" w:type="dxa"/>
            <w:shd w:val="clear" w:color="auto" w:fill="FFFFFF"/>
            <w:tcMar>
              <w:top w:w="90" w:type="dxa"/>
              <w:left w:w="120" w:type="dxa"/>
              <w:bottom w:w="90" w:type="dxa"/>
              <w:right w:w="120" w:type="dxa"/>
            </w:tcMar>
            <w:vAlign w:val="center"/>
          </w:tcPr>
          <w:p w14:paraId="1C02E564">
            <w:pPr>
              <w:spacing w:line="260" w:lineRule="auto"/>
            </w:pPr>
            <w:r>
              <w:rPr>
                <w:b w:val="0"/>
                <w:bCs w:val="0"/>
                <w:color w:val="222222"/>
                <w:sz w:val="18"/>
                <w:szCs w:val="18"/>
              </w:rPr>
              <w:t>Low — Singer spec + git config is portable</w:t>
            </w:r>
          </w:p>
        </w:tc>
      </w:tr>
      <w:tr w14:paraId="299CD28B">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400" w:type="dxa"/>
            <w:shd w:val="clear" w:color="auto" w:fill="F2F5F7"/>
            <w:tcMar>
              <w:top w:w="90" w:type="dxa"/>
              <w:left w:w="120" w:type="dxa"/>
              <w:bottom w:w="90" w:type="dxa"/>
              <w:right w:w="120" w:type="dxa"/>
            </w:tcMar>
            <w:vAlign w:val="center"/>
          </w:tcPr>
          <w:p w14:paraId="7348559B">
            <w:pPr>
              <w:spacing w:line="260" w:lineRule="auto"/>
            </w:pPr>
            <w:r>
              <w:rPr>
                <w:b/>
                <w:bCs/>
                <w:color w:val="222222"/>
                <w:sz w:val="18"/>
                <w:szCs w:val="18"/>
              </w:rPr>
              <w:t>Best-fit team profile</w:t>
            </w:r>
          </w:p>
        </w:tc>
        <w:tc>
          <w:tcPr>
            <w:tcW w:w="3480" w:type="dxa"/>
            <w:shd w:val="clear" w:color="auto" w:fill="F2F5F7"/>
            <w:tcMar>
              <w:top w:w="90" w:type="dxa"/>
              <w:left w:w="120" w:type="dxa"/>
              <w:bottom w:w="90" w:type="dxa"/>
              <w:right w:w="120" w:type="dxa"/>
            </w:tcMar>
            <w:vAlign w:val="center"/>
          </w:tcPr>
          <w:p w14:paraId="51534FE7">
            <w:pPr>
              <w:spacing w:line="260" w:lineRule="auto"/>
            </w:pPr>
            <w:r>
              <w:rPr>
                <w:b w:val="0"/>
                <w:bCs w:val="0"/>
                <w:color w:val="222222"/>
                <w:sz w:val="18"/>
                <w:szCs w:val="18"/>
              </w:rPr>
              <w:t>Lean teams, no dedicated data eng</w:t>
            </w:r>
          </w:p>
        </w:tc>
        <w:tc>
          <w:tcPr>
            <w:tcW w:w="3480" w:type="dxa"/>
            <w:shd w:val="clear" w:color="auto" w:fill="F2F5F7"/>
            <w:tcMar>
              <w:top w:w="90" w:type="dxa"/>
              <w:left w:w="120" w:type="dxa"/>
              <w:bottom w:w="90" w:type="dxa"/>
              <w:right w:w="120" w:type="dxa"/>
            </w:tcMar>
            <w:vAlign w:val="center"/>
          </w:tcPr>
          <w:p w14:paraId="64FD468F">
            <w:pPr>
              <w:spacing w:line="260" w:lineRule="auto"/>
            </w:pPr>
            <w:r>
              <w:rPr>
                <w:b w:val="0"/>
                <w:bCs w:val="0"/>
                <w:color w:val="222222"/>
                <w:sz w:val="18"/>
                <w:szCs w:val="18"/>
              </w:rPr>
              <w:t>Teams with data eng capacity wanting control</w:t>
            </w:r>
          </w:p>
        </w:tc>
      </w:tr>
    </w:tbl>
    <w:p w14:paraId="6C3CAA47">
      <w:pPr>
        <w:pStyle w:val="3"/>
        <w:spacing w:before="320" w:after="140"/>
      </w:pPr>
      <w:r>
        <w:rPr>
          <w:b/>
          <w:bCs/>
          <w:color w:val="3B5372"/>
          <w:sz w:val="24"/>
          <w:szCs w:val="24"/>
        </w:rPr>
        <w:t>3.3 Pricing Mechanics</w:t>
      </w:r>
    </w:p>
    <w:p w14:paraId="646AE6CA">
      <w:pPr>
        <w:pStyle w:val="4"/>
        <w:spacing w:before="220" w:after="100"/>
      </w:pPr>
      <w:r>
        <w:rPr>
          <w:b/>
          <w:bCs/>
          <w:color w:val="0F6B5C"/>
          <w:sz w:val="21"/>
          <w:szCs w:val="21"/>
        </w:rPr>
        <w:t>3.3.1 Fivetran (as of mid-2026)</w:t>
      </w:r>
    </w:p>
    <w:p w14:paraId="00432313">
      <w:pPr>
        <w:spacing w:after="160" w:line="300" w:lineRule="auto"/>
      </w:pPr>
      <w:r>
        <w:rPr>
          <w:b w:val="0"/>
          <w:bCs w:val="0"/>
          <w:i w:val="0"/>
          <w:iCs w:val="0"/>
          <w:color w:val="222222"/>
          <w:sz w:val="21"/>
          <w:szCs w:val="21"/>
        </w:rPr>
        <w:t>A free tier covers up to 500,000 Monthly Active Rows (MAR). Paid pricing starts at $500 per million MAR/month on Standard, rising to $667 on Enterprise and $1,067 on Business Critical. Paid plans add a $5 base charge per standard connection for usage between 1 and 1M MAR, and deletes now count toward paid MAR as of 2026. Transformations are billed separately — up to 5,000 model runs are free monthly across all plans, then usage-based per successful run thereafter.</w:t>
      </w:r>
    </w:p>
    <w:p w14:paraId="7C509610">
      <w:pPr>
        <w:pStyle w:val="4"/>
        <w:spacing w:before="220" w:after="100"/>
      </w:pPr>
      <w:r>
        <w:rPr>
          <w:b/>
          <w:bCs/>
          <w:color w:val="0F6B5C"/>
          <w:sz w:val="21"/>
          <w:szCs w:val="21"/>
        </w:rPr>
        <w:t>3.3.2 Meltano</w:t>
      </w:r>
    </w:p>
    <w:p w14:paraId="51BFBEE6">
      <w:pPr>
        <w:spacing w:after="160" w:line="300" w:lineRule="auto"/>
      </w:pPr>
      <w:r>
        <w:rPr>
          <w:b w:val="0"/>
          <w:bCs w:val="0"/>
          <w:i w:val="0"/>
          <w:iCs w:val="0"/>
          <w:color w:val="222222"/>
          <w:sz w:val="21"/>
          <w:szCs w:val="21"/>
        </w:rPr>
        <w:t>Meltano itself is free and open-source; the real cost is compute plus engineering time.</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4200"/>
        <w:gridCol w:w="5160"/>
      </w:tblGrid>
      <w:tr w14:paraId="3E896B2E">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4200" w:type="dxa"/>
            <w:shd w:val="clear" w:color="auto" w:fill="1B2A4A"/>
            <w:tcMar>
              <w:top w:w="100" w:type="dxa"/>
              <w:left w:w="120" w:type="dxa"/>
              <w:bottom w:w="100" w:type="dxa"/>
              <w:right w:w="120" w:type="dxa"/>
            </w:tcMar>
            <w:vAlign w:val="center"/>
          </w:tcPr>
          <w:p w14:paraId="5C368499">
            <w:r>
              <w:rPr>
                <w:b/>
                <w:bCs/>
                <w:color w:val="FFFFFF"/>
                <w:sz w:val="18"/>
                <w:szCs w:val="18"/>
              </w:rPr>
              <w:t>Component</w:t>
            </w:r>
          </w:p>
        </w:tc>
        <w:tc>
          <w:tcPr>
            <w:tcW w:w="5160" w:type="dxa"/>
            <w:shd w:val="clear" w:color="auto" w:fill="1B2A4A"/>
            <w:tcMar>
              <w:top w:w="100" w:type="dxa"/>
              <w:left w:w="120" w:type="dxa"/>
              <w:bottom w:w="100" w:type="dxa"/>
              <w:right w:w="120" w:type="dxa"/>
            </w:tcMar>
            <w:vAlign w:val="center"/>
          </w:tcPr>
          <w:p w14:paraId="002E95CD">
            <w:r>
              <w:rPr>
                <w:b/>
                <w:bCs/>
                <w:color w:val="FFFFFF"/>
                <w:sz w:val="18"/>
                <w:szCs w:val="18"/>
              </w:rPr>
              <w:t>Example Cost</w:t>
            </w:r>
          </w:p>
        </w:tc>
      </w:tr>
      <w:tr w14:paraId="38F46070">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4D734506">
            <w:pPr>
              <w:spacing w:line="260" w:lineRule="auto"/>
            </w:pPr>
            <w:r>
              <w:rPr>
                <w:b/>
                <w:bCs/>
                <w:color w:val="222222"/>
                <w:sz w:val="18"/>
                <w:szCs w:val="18"/>
              </w:rPr>
              <w:t>Compute — small (5–10 taps, daily batch)</w:t>
            </w:r>
          </w:p>
        </w:tc>
        <w:tc>
          <w:tcPr>
            <w:tcW w:w="5160" w:type="dxa"/>
            <w:shd w:val="clear" w:color="auto" w:fill="FFFFFF"/>
            <w:tcMar>
              <w:top w:w="90" w:type="dxa"/>
              <w:left w:w="120" w:type="dxa"/>
              <w:bottom w:w="90" w:type="dxa"/>
              <w:right w:w="120" w:type="dxa"/>
            </w:tcMar>
            <w:vAlign w:val="center"/>
          </w:tcPr>
          <w:p w14:paraId="76D721FC">
            <w:pPr>
              <w:spacing w:line="260" w:lineRule="auto"/>
            </w:pPr>
            <w:r>
              <w:rPr>
                <w:b w:val="0"/>
                <w:bCs w:val="0"/>
                <w:color w:val="222222"/>
                <w:sz w:val="18"/>
                <w:szCs w:val="18"/>
              </w:rPr>
              <w:t>$50–150/mo (small VM or Fargate task)</w:t>
            </w:r>
          </w:p>
        </w:tc>
      </w:tr>
      <w:tr w14:paraId="43D0BCD0">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2F5F7"/>
            <w:tcMar>
              <w:top w:w="90" w:type="dxa"/>
              <w:left w:w="120" w:type="dxa"/>
              <w:bottom w:w="90" w:type="dxa"/>
              <w:right w:w="120" w:type="dxa"/>
            </w:tcMar>
            <w:vAlign w:val="center"/>
          </w:tcPr>
          <w:p w14:paraId="052DB3C0">
            <w:pPr>
              <w:spacing w:line="260" w:lineRule="auto"/>
            </w:pPr>
            <w:r>
              <w:rPr>
                <w:b/>
                <w:bCs/>
                <w:color w:val="222222"/>
                <w:sz w:val="18"/>
                <w:szCs w:val="18"/>
              </w:rPr>
              <w:t>Compute — medium (15–20 taps, hourly + dbt)</w:t>
            </w:r>
          </w:p>
        </w:tc>
        <w:tc>
          <w:tcPr>
            <w:tcW w:w="5160" w:type="dxa"/>
            <w:shd w:val="clear" w:color="auto" w:fill="F2F5F7"/>
            <w:tcMar>
              <w:top w:w="90" w:type="dxa"/>
              <w:left w:w="120" w:type="dxa"/>
              <w:bottom w:w="90" w:type="dxa"/>
              <w:right w:w="120" w:type="dxa"/>
            </w:tcMar>
            <w:vAlign w:val="center"/>
          </w:tcPr>
          <w:p w14:paraId="664F59CC">
            <w:pPr>
              <w:spacing w:line="260" w:lineRule="auto"/>
            </w:pPr>
            <w:r>
              <w:rPr>
                <w:b w:val="0"/>
                <w:bCs w:val="0"/>
                <w:color w:val="222222"/>
                <w:sz w:val="18"/>
                <w:szCs w:val="18"/>
              </w:rPr>
              <w:t>$200–600/mo (bigger worker + orchestrator)</w:t>
            </w:r>
          </w:p>
        </w:tc>
      </w:tr>
      <w:tr w14:paraId="25FCA8BE">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682CB01D">
            <w:pPr>
              <w:spacing w:line="260" w:lineRule="auto"/>
            </w:pPr>
            <w:r>
              <w:rPr>
                <w:b/>
                <w:bCs/>
                <w:color w:val="222222"/>
                <w:sz w:val="18"/>
                <w:szCs w:val="18"/>
              </w:rPr>
              <w:t>Compute — large (50+ taps, near-real-time CDC)</w:t>
            </w:r>
          </w:p>
        </w:tc>
        <w:tc>
          <w:tcPr>
            <w:tcW w:w="5160" w:type="dxa"/>
            <w:shd w:val="clear" w:color="auto" w:fill="FFFFFF"/>
            <w:tcMar>
              <w:top w:w="90" w:type="dxa"/>
              <w:left w:w="120" w:type="dxa"/>
              <w:bottom w:w="90" w:type="dxa"/>
              <w:right w:w="120" w:type="dxa"/>
            </w:tcMar>
            <w:vAlign w:val="center"/>
          </w:tcPr>
          <w:p w14:paraId="3C9E9B12">
            <w:pPr>
              <w:spacing w:line="260" w:lineRule="auto"/>
            </w:pPr>
            <w:r>
              <w:rPr>
                <w:b w:val="0"/>
                <w:bCs w:val="0"/>
                <w:color w:val="222222"/>
                <w:sz w:val="18"/>
                <w:szCs w:val="18"/>
              </w:rPr>
              <w:t>$1,000–3,000/mo (dedicated cluster/Kubernetes)</w:t>
            </w:r>
          </w:p>
        </w:tc>
      </w:tr>
      <w:tr w14:paraId="6FB86393">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2F5F7"/>
            <w:tcMar>
              <w:top w:w="90" w:type="dxa"/>
              <w:left w:w="120" w:type="dxa"/>
              <w:bottom w:w="90" w:type="dxa"/>
              <w:right w:w="120" w:type="dxa"/>
            </w:tcMar>
            <w:vAlign w:val="center"/>
          </w:tcPr>
          <w:p w14:paraId="19D0BD28">
            <w:pPr>
              <w:spacing w:line="260" w:lineRule="auto"/>
            </w:pPr>
            <w:r>
              <w:rPr>
                <w:b/>
                <w:bCs/>
                <w:color w:val="222222"/>
                <w:sz w:val="18"/>
                <w:szCs w:val="18"/>
              </w:rPr>
              <w:t>Orchestrator hosting</w:t>
            </w:r>
          </w:p>
        </w:tc>
        <w:tc>
          <w:tcPr>
            <w:tcW w:w="5160" w:type="dxa"/>
            <w:shd w:val="clear" w:color="auto" w:fill="F2F5F7"/>
            <w:tcMar>
              <w:top w:w="90" w:type="dxa"/>
              <w:left w:w="120" w:type="dxa"/>
              <w:bottom w:w="90" w:type="dxa"/>
              <w:right w:w="120" w:type="dxa"/>
            </w:tcMar>
            <w:vAlign w:val="center"/>
          </w:tcPr>
          <w:p w14:paraId="48DADF89">
            <w:pPr>
              <w:spacing w:line="260" w:lineRule="auto"/>
            </w:pPr>
            <w:r>
              <w:rPr>
                <w:b w:val="0"/>
                <w:bCs w:val="0"/>
                <w:color w:val="222222"/>
                <w:sz w:val="18"/>
                <w:szCs w:val="18"/>
              </w:rPr>
              <w:t>$100–500/mo self-managed; $300–1,000+/mo managed</w:t>
            </w:r>
          </w:p>
        </w:tc>
      </w:tr>
      <w:tr w14:paraId="6054EE92">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448ED48E">
            <w:pPr>
              <w:spacing w:line="260" w:lineRule="auto"/>
            </w:pPr>
            <w:r>
              <w:rPr>
                <w:b/>
                <w:bCs/>
                <w:color w:val="222222"/>
                <w:sz w:val="18"/>
                <w:szCs w:val="18"/>
              </w:rPr>
              <w:t>Engineering time (the real cost)</w:t>
            </w:r>
          </w:p>
        </w:tc>
        <w:tc>
          <w:tcPr>
            <w:tcW w:w="5160" w:type="dxa"/>
            <w:shd w:val="clear" w:color="auto" w:fill="FFFFFF"/>
            <w:tcMar>
              <w:top w:w="90" w:type="dxa"/>
              <w:left w:w="120" w:type="dxa"/>
              <w:bottom w:w="90" w:type="dxa"/>
              <w:right w:w="120" w:type="dxa"/>
            </w:tcMar>
            <w:vAlign w:val="center"/>
          </w:tcPr>
          <w:p w14:paraId="61797D87">
            <w:pPr>
              <w:spacing w:line="260" w:lineRule="auto"/>
            </w:pPr>
            <w:r>
              <w:rPr>
                <w:b w:val="0"/>
                <w:bCs w:val="0"/>
                <w:color w:val="222222"/>
                <w:sz w:val="18"/>
                <w:szCs w:val="18"/>
              </w:rPr>
              <w:t>0.25–1.0 FTE depending on tap count/flakiness</w:t>
            </w:r>
          </w:p>
        </w:tc>
      </w:tr>
    </w:tbl>
    <w:p w14:paraId="046B2EE6">
      <w:pPr>
        <w:spacing w:after="100"/>
      </w:pPr>
    </w:p>
    <w:p w14:paraId="1555BCBB">
      <w:pPr>
        <w:spacing w:after="160" w:line="300" w:lineRule="auto"/>
      </w:pPr>
      <w:r>
        <w:rPr>
          <w:b w:val="0"/>
          <w:bCs w:val="0"/>
          <w:i w:val="0"/>
          <w:iCs w:val="0"/>
          <w:color w:val="222222"/>
          <w:sz w:val="21"/>
          <w:szCs w:val="21"/>
        </w:rPr>
        <w:t>Using a loaded engineer cost of roughly $150K/yr (~$12.5K/mo): a small setup at 0.15 FTE maintenance runs approximately $2,000/mo all-in; a mid-sized setup at 0.4 FTE runs approximately $5,400/mo; a large, dedicated setup at 0.75–1.0 FTE runs approximately $11,000–14,500/mo.</w:t>
      </w:r>
    </w:p>
    <w:p w14:paraId="3D9822AE">
      <w:pPr>
        <w:pStyle w:val="3"/>
        <w:spacing w:before="320" w:after="140"/>
      </w:pPr>
      <w:r>
        <w:rPr>
          <w:b/>
          <w:bCs/>
          <w:color w:val="3B5372"/>
          <w:sz w:val="24"/>
          <w:szCs w:val="24"/>
        </w:rPr>
        <w:t>3.4 Cost at Matching Volume Tiers</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600"/>
        <w:gridCol w:w="2260"/>
        <w:gridCol w:w="2560"/>
        <w:gridCol w:w="1940"/>
      </w:tblGrid>
      <w:tr w14:paraId="63B5099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600" w:type="dxa"/>
            <w:shd w:val="clear" w:color="auto" w:fill="1B2A4A"/>
            <w:tcMar>
              <w:top w:w="100" w:type="dxa"/>
              <w:left w:w="120" w:type="dxa"/>
              <w:bottom w:w="100" w:type="dxa"/>
              <w:right w:w="120" w:type="dxa"/>
            </w:tcMar>
            <w:vAlign w:val="center"/>
          </w:tcPr>
          <w:p w14:paraId="7916111B">
            <w:r>
              <w:rPr>
                <w:b/>
                <w:bCs/>
                <w:color w:val="FFFFFF"/>
                <w:sz w:val="18"/>
                <w:szCs w:val="18"/>
              </w:rPr>
              <w:t>Volume Tier</w:t>
            </w:r>
          </w:p>
        </w:tc>
        <w:tc>
          <w:tcPr>
            <w:tcW w:w="2260" w:type="dxa"/>
            <w:shd w:val="clear" w:color="auto" w:fill="1B2A4A"/>
            <w:tcMar>
              <w:top w:w="100" w:type="dxa"/>
              <w:left w:w="120" w:type="dxa"/>
              <w:bottom w:w="100" w:type="dxa"/>
              <w:right w:w="120" w:type="dxa"/>
            </w:tcMar>
            <w:vAlign w:val="center"/>
          </w:tcPr>
          <w:p w14:paraId="69F31423">
            <w:r>
              <w:rPr>
                <w:b/>
                <w:bCs/>
                <w:color w:val="FFFFFF"/>
                <w:sz w:val="18"/>
                <w:szCs w:val="18"/>
              </w:rPr>
              <w:t>Fivetran (Standard)</w:t>
            </w:r>
          </w:p>
        </w:tc>
        <w:tc>
          <w:tcPr>
            <w:tcW w:w="2560" w:type="dxa"/>
            <w:shd w:val="clear" w:color="auto" w:fill="1B2A4A"/>
            <w:tcMar>
              <w:top w:w="100" w:type="dxa"/>
              <w:left w:w="120" w:type="dxa"/>
              <w:bottom w:w="100" w:type="dxa"/>
              <w:right w:w="120" w:type="dxa"/>
            </w:tcMar>
            <w:vAlign w:val="center"/>
          </w:tcPr>
          <w:p w14:paraId="4FF0AEAF">
            <w:r>
              <w:rPr>
                <w:b/>
                <w:bCs/>
                <w:color w:val="FFFFFF"/>
                <w:sz w:val="18"/>
                <w:szCs w:val="18"/>
              </w:rPr>
              <w:t>Meltano (infra + eng time)</w:t>
            </w:r>
          </w:p>
        </w:tc>
        <w:tc>
          <w:tcPr>
            <w:tcW w:w="1940" w:type="dxa"/>
            <w:shd w:val="clear" w:color="auto" w:fill="1B2A4A"/>
            <w:tcMar>
              <w:top w:w="100" w:type="dxa"/>
              <w:left w:w="120" w:type="dxa"/>
              <w:bottom w:w="100" w:type="dxa"/>
              <w:right w:w="120" w:type="dxa"/>
            </w:tcMar>
            <w:vAlign w:val="center"/>
          </w:tcPr>
          <w:p w14:paraId="6295FFD1">
            <w:r>
              <w:rPr>
                <w:b/>
                <w:bCs/>
                <w:color w:val="FFFFFF"/>
                <w:sz w:val="18"/>
                <w:szCs w:val="18"/>
              </w:rPr>
              <w:t>Cheaper Option</w:t>
            </w:r>
          </w:p>
        </w:tc>
      </w:tr>
      <w:tr w14:paraId="29AC365E">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0F135BA7">
            <w:pPr>
              <w:spacing w:line="260" w:lineRule="auto"/>
            </w:pPr>
            <w:r>
              <w:rPr>
                <w:b/>
                <w:bCs/>
                <w:color w:val="222222"/>
                <w:sz w:val="18"/>
                <w:szCs w:val="18"/>
              </w:rPr>
              <w:t>~400K MAR, 3–5 sources</w:t>
            </w:r>
          </w:p>
        </w:tc>
        <w:tc>
          <w:tcPr>
            <w:tcW w:w="2260" w:type="dxa"/>
            <w:shd w:val="clear" w:color="auto" w:fill="FFFFFF"/>
            <w:tcMar>
              <w:top w:w="90" w:type="dxa"/>
              <w:left w:w="120" w:type="dxa"/>
              <w:bottom w:w="90" w:type="dxa"/>
              <w:right w:w="120" w:type="dxa"/>
            </w:tcMar>
            <w:vAlign w:val="center"/>
          </w:tcPr>
          <w:p w14:paraId="3DEB8380">
            <w:pPr>
              <w:spacing w:line="260" w:lineRule="auto"/>
            </w:pPr>
            <w:r>
              <w:rPr>
                <w:b w:val="0"/>
                <w:bCs w:val="0"/>
                <w:color w:val="222222"/>
                <w:sz w:val="18"/>
                <w:szCs w:val="18"/>
              </w:rPr>
              <w:t>$0 (free tier)</w:t>
            </w:r>
          </w:p>
        </w:tc>
        <w:tc>
          <w:tcPr>
            <w:tcW w:w="2560" w:type="dxa"/>
            <w:shd w:val="clear" w:color="auto" w:fill="FFFFFF"/>
            <w:tcMar>
              <w:top w:w="90" w:type="dxa"/>
              <w:left w:w="120" w:type="dxa"/>
              <w:bottom w:w="90" w:type="dxa"/>
              <w:right w:w="120" w:type="dxa"/>
            </w:tcMar>
            <w:vAlign w:val="center"/>
          </w:tcPr>
          <w:p w14:paraId="07F2C0F5">
            <w:pPr>
              <w:spacing w:line="260" w:lineRule="auto"/>
            </w:pPr>
            <w:r>
              <w:rPr>
                <w:b w:val="0"/>
                <w:bCs w:val="0"/>
                <w:color w:val="222222"/>
                <w:sz w:val="18"/>
                <w:szCs w:val="18"/>
              </w:rPr>
              <w:t>~$1,500–2,000/mo</w:t>
            </w:r>
          </w:p>
        </w:tc>
        <w:tc>
          <w:tcPr>
            <w:tcW w:w="1940" w:type="dxa"/>
            <w:shd w:val="clear" w:color="auto" w:fill="FFFFFF"/>
            <w:tcMar>
              <w:top w:w="90" w:type="dxa"/>
              <w:left w:w="120" w:type="dxa"/>
              <w:bottom w:w="90" w:type="dxa"/>
              <w:right w:w="120" w:type="dxa"/>
            </w:tcMar>
            <w:vAlign w:val="center"/>
          </w:tcPr>
          <w:p w14:paraId="171E0F53">
            <w:pPr>
              <w:spacing w:line="260" w:lineRule="auto"/>
            </w:pPr>
            <w:r>
              <w:rPr>
                <w:b w:val="0"/>
                <w:bCs w:val="0"/>
                <w:color w:val="222222"/>
                <w:sz w:val="18"/>
                <w:szCs w:val="18"/>
              </w:rPr>
              <w:t>Fivetran</w:t>
            </w:r>
          </w:p>
        </w:tc>
      </w:tr>
      <w:tr w14:paraId="7358C69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7274A485">
            <w:pPr>
              <w:spacing w:line="260" w:lineRule="auto"/>
            </w:pPr>
            <w:r>
              <w:rPr>
                <w:b/>
                <w:bCs/>
                <w:color w:val="222222"/>
                <w:sz w:val="18"/>
                <w:szCs w:val="18"/>
              </w:rPr>
              <w:t>~2–5M MAR, 8–15 sources</w:t>
            </w:r>
          </w:p>
        </w:tc>
        <w:tc>
          <w:tcPr>
            <w:tcW w:w="2260" w:type="dxa"/>
            <w:shd w:val="clear" w:color="auto" w:fill="F2F5F7"/>
            <w:tcMar>
              <w:top w:w="90" w:type="dxa"/>
              <w:left w:w="120" w:type="dxa"/>
              <w:bottom w:w="90" w:type="dxa"/>
              <w:right w:w="120" w:type="dxa"/>
            </w:tcMar>
            <w:vAlign w:val="center"/>
          </w:tcPr>
          <w:p w14:paraId="7513B7FD">
            <w:pPr>
              <w:spacing w:line="260" w:lineRule="auto"/>
            </w:pPr>
            <w:r>
              <w:rPr>
                <w:b w:val="0"/>
                <w:bCs w:val="0"/>
                <w:color w:val="222222"/>
                <w:sz w:val="18"/>
                <w:szCs w:val="18"/>
              </w:rPr>
              <w:t>$1,000–2,400/mo</w:t>
            </w:r>
          </w:p>
        </w:tc>
        <w:tc>
          <w:tcPr>
            <w:tcW w:w="2560" w:type="dxa"/>
            <w:shd w:val="clear" w:color="auto" w:fill="F2F5F7"/>
            <w:tcMar>
              <w:top w:w="90" w:type="dxa"/>
              <w:left w:w="120" w:type="dxa"/>
              <w:bottom w:w="90" w:type="dxa"/>
              <w:right w:w="120" w:type="dxa"/>
            </w:tcMar>
            <w:vAlign w:val="center"/>
          </w:tcPr>
          <w:p w14:paraId="248261CB">
            <w:pPr>
              <w:spacing w:line="260" w:lineRule="auto"/>
            </w:pPr>
            <w:r>
              <w:rPr>
                <w:b w:val="0"/>
                <w:bCs w:val="0"/>
                <w:color w:val="222222"/>
                <w:sz w:val="18"/>
                <w:szCs w:val="18"/>
              </w:rPr>
              <w:t>~$2,000–5,400/mo</w:t>
            </w:r>
          </w:p>
        </w:tc>
        <w:tc>
          <w:tcPr>
            <w:tcW w:w="1940" w:type="dxa"/>
            <w:shd w:val="clear" w:color="auto" w:fill="F2F5F7"/>
            <w:tcMar>
              <w:top w:w="90" w:type="dxa"/>
              <w:left w:w="120" w:type="dxa"/>
              <w:bottom w:w="90" w:type="dxa"/>
              <w:right w:w="120" w:type="dxa"/>
            </w:tcMar>
            <w:vAlign w:val="center"/>
          </w:tcPr>
          <w:p w14:paraId="0569D2E2">
            <w:pPr>
              <w:spacing w:line="260" w:lineRule="auto"/>
            </w:pPr>
            <w:r>
              <w:rPr>
                <w:b w:val="0"/>
                <w:bCs w:val="0"/>
                <w:color w:val="222222"/>
                <w:sz w:val="18"/>
                <w:szCs w:val="18"/>
              </w:rPr>
              <w:t>Fivetran, unless idle eng capacity exists</w:t>
            </w:r>
          </w:p>
        </w:tc>
      </w:tr>
      <w:tr w14:paraId="2A681426">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684D1959">
            <w:pPr>
              <w:spacing w:line="260" w:lineRule="auto"/>
            </w:pPr>
            <w:r>
              <w:rPr>
                <w:b/>
                <w:bCs/>
                <w:color w:val="222222"/>
                <w:sz w:val="18"/>
                <w:szCs w:val="18"/>
              </w:rPr>
              <w:t>~10–50M MAR, high-churn DBs</w:t>
            </w:r>
          </w:p>
        </w:tc>
        <w:tc>
          <w:tcPr>
            <w:tcW w:w="2260" w:type="dxa"/>
            <w:shd w:val="clear" w:color="auto" w:fill="FFFFFF"/>
            <w:tcMar>
              <w:top w:w="90" w:type="dxa"/>
              <w:left w:w="120" w:type="dxa"/>
              <w:bottom w:w="90" w:type="dxa"/>
              <w:right w:w="120" w:type="dxa"/>
            </w:tcMar>
            <w:vAlign w:val="center"/>
          </w:tcPr>
          <w:p w14:paraId="03B960F8">
            <w:pPr>
              <w:spacing w:line="260" w:lineRule="auto"/>
            </w:pPr>
            <w:r>
              <w:rPr>
                <w:b w:val="0"/>
                <w:bCs w:val="0"/>
                <w:color w:val="222222"/>
                <w:sz w:val="18"/>
                <w:szCs w:val="18"/>
              </w:rPr>
              <w:t>$4,000–15,000+/mo</w:t>
            </w:r>
          </w:p>
        </w:tc>
        <w:tc>
          <w:tcPr>
            <w:tcW w:w="2560" w:type="dxa"/>
            <w:shd w:val="clear" w:color="auto" w:fill="FFFFFF"/>
            <w:tcMar>
              <w:top w:w="90" w:type="dxa"/>
              <w:left w:w="120" w:type="dxa"/>
              <w:bottom w:w="90" w:type="dxa"/>
              <w:right w:w="120" w:type="dxa"/>
            </w:tcMar>
            <w:vAlign w:val="center"/>
          </w:tcPr>
          <w:p w14:paraId="59648AAF">
            <w:pPr>
              <w:spacing w:line="260" w:lineRule="auto"/>
            </w:pPr>
            <w:r>
              <w:rPr>
                <w:b w:val="0"/>
                <w:bCs w:val="0"/>
                <w:color w:val="222222"/>
                <w:sz w:val="18"/>
                <w:szCs w:val="18"/>
              </w:rPr>
              <w:t>~$5,400–11,000/mo</w:t>
            </w:r>
          </w:p>
        </w:tc>
        <w:tc>
          <w:tcPr>
            <w:tcW w:w="1940" w:type="dxa"/>
            <w:shd w:val="clear" w:color="auto" w:fill="FFFFFF"/>
            <w:tcMar>
              <w:top w:w="90" w:type="dxa"/>
              <w:left w:w="120" w:type="dxa"/>
              <w:bottom w:w="90" w:type="dxa"/>
              <w:right w:w="120" w:type="dxa"/>
            </w:tcMar>
            <w:vAlign w:val="center"/>
          </w:tcPr>
          <w:p w14:paraId="4E395A54">
            <w:pPr>
              <w:spacing w:line="260" w:lineRule="auto"/>
            </w:pPr>
            <w:r>
              <w:rPr>
                <w:b w:val="0"/>
                <w:bCs w:val="0"/>
                <w:color w:val="222222"/>
                <w:sz w:val="18"/>
                <w:szCs w:val="18"/>
              </w:rPr>
              <w:t>Meltano, if taps are reliable and staffed</w:t>
            </w:r>
          </w:p>
        </w:tc>
      </w:tr>
      <w:tr w14:paraId="7A898623">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shd w:val="clear" w:color="auto" w:fill="F2F5F7"/>
            <w:tcMar>
              <w:top w:w="90" w:type="dxa"/>
              <w:left w:w="120" w:type="dxa"/>
              <w:bottom w:w="90" w:type="dxa"/>
              <w:right w:w="120" w:type="dxa"/>
            </w:tcMar>
            <w:vAlign w:val="center"/>
          </w:tcPr>
          <w:p w14:paraId="79C14384">
            <w:pPr>
              <w:spacing w:line="260" w:lineRule="auto"/>
            </w:pPr>
            <w:r>
              <w:rPr>
                <w:b/>
                <w:bCs/>
                <w:color w:val="222222"/>
                <w:sz w:val="18"/>
                <w:szCs w:val="18"/>
              </w:rPr>
              <w:t>50M+ MAR, enterprise, compliance-heavy</w:t>
            </w:r>
          </w:p>
        </w:tc>
        <w:tc>
          <w:tcPr>
            <w:tcW w:w="2260" w:type="dxa"/>
            <w:shd w:val="clear" w:color="auto" w:fill="F2F5F7"/>
            <w:tcMar>
              <w:top w:w="90" w:type="dxa"/>
              <w:left w:w="120" w:type="dxa"/>
              <w:bottom w:w="90" w:type="dxa"/>
              <w:right w:w="120" w:type="dxa"/>
            </w:tcMar>
            <w:vAlign w:val="center"/>
          </w:tcPr>
          <w:p w14:paraId="3DE35C0E">
            <w:pPr>
              <w:spacing w:line="260" w:lineRule="auto"/>
            </w:pPr>
            <w:r>
              <w:rPr>
                <w:b w:val="0"/>
                <w:bCs w:val="0"/>
                <w:color w:val="222222"/>
                <w:sz w:val="18"/>
                <w:szCs w:val="18"/>
              </w:rPr>
              <w:t>$15,000–50,000+/mo</w:t>
            </w:r>
          </w:p>
        </w:tc>
        <w:tc>
          <w:tcPr>
            <w:tcW w:w="2560" w:type="dxa"/>
            <w:shd w:val="clear" w:color="auto" w:fill="F2F5F7"/>
            <w:tcMar>
              <w:top w:w="90" w:type="dxa"/>
              <w:left w:w="120" w:type="dxa"/>
              <w:bottom w:w="90" w:type="dxa"/>
              <w:right w:w="120" w:type="dxa"/>
            </w:tcMar>
            <w:vAlign w:val="center"/>
          </w:tcPr>
          <w:p w14:paraId="69D3B588">
            <w:pPr>
              <w:spacing w:line="260" w:lineRule="auto"/>
            </w:pPr>
            <w:r>
              <w:rPr>
                <w:b w:val="0"/>
                <w:bCs w:val="0"/>
                <w:color w:val="222222"/>
                <w:sz w:val="18"/>
                <w:szCs w:val="18"/>
              </w:rPr>
              <w:t>~$11,000–14,500/mo + compliance build-out</w:t>
            </w:r>
          </w:p>
        </w:tc>
        <w:tc>
          <w:tcPr>
            <w:tcW w:w="1940" w:type="dxa"/>
            <w:shd w:val="clear" w:color="auto" w:fill="F2F5F7"/>
            <w:tcMar>
              <w:top w:w="90" w:type="dxa"/>
              <w:left w:w="120" w:type="dxa"/>
              <w:bottom w:w="90" w:type="dxa"/>
              <w:right w:w="120" w:type="dxa"/>
            </w:tcMar>
            <w:vAlign w:val="center"/>
          </w:tcPr>
          <w:p w14:paraId="01F5A605">
            <w:pPr>
              <w:spacing w:line="260" w:lineRule="auto"/>
            </w:pPr>
            <w:r>
              <w:rPr>
                <w:b w:val="0"/>
                <w:bCs w:val="0"/>
                <w:color w:val="222222"/>
                <w:sz w:val="18"/>
                <w:szCs w:val="18"/>
              </w:rPr>
              <w:t>Depends — Meltano wins on raw infra cost only</w:t>
            </w:r>
          </w:p>
        </w:tc>
      </w:tr>
    </w:tbl>
    <w:p w14:paraId="2728D535">
      <w:pPr>
        <w:spacing w:after="100"/>
      </w:pPr>
    </w:p>
    <w:p w14:paraId="7885C95E">
      <w:pPr>
        <w:spacing w:after="160" w:line="300" w:lineRule="auto"/>
      </w:pPr>
      <w:r>
        <w:rPr>
          <w:b w:val="0"/>
          <w:bCs w:val="0"/>
          <w:i w:val="0"/>
          <w:iCs w:val="0"/>
          <w:color w:val="222222"/>
          <w:sz w:val="21"/>
          <w:szCs w:val="21"/>
        </w:rPr>
        <w:t>Fivetran wins clearly below roughly 5M MAR/month — usage is often on the free tier or costs less than one engineer's part-time salary. Above roughly 10–20M MAR with many high-churn sources, Meltano's flatter compute-based cost curve begins beating Fivetran's MAR-based curve, but only if the team already has spare data engineering capacity to absorb the maintenance load.</w:t>
      </w:r>
    </w:p>
    <w:p w14:paraId="57483A5E">
      <w:pPr>
        <w:spacing w:after="160" w:line="300" w:lineRule="auto"/>
      </w:pPr>
      <w:r>
        <w:rPr>
          <w:b w:val="0"/>
          <w:bCs w:val="0"/>
          <w:i w:val="0"/>
          <w:iCs w:val="0"/>
          <w:color w:val="222222"/>
          <w:sz w:val="21"/>
          <w:szCs w:val="21"/>
        </w:rPr>
        <w:t>Lakeflow Connect is the standout option for a team already fully on Databricks. It carries a free tier, and one documented case cut ingestion cost by 98% — from a Fivetran-based Salesforce pipeline down to roughly $75/month — with only a few hours of setup. Where a source is covered by its 100+ connector catalog, it is very difficult to beat on cost.</w:t>
      </w:r>
    </w:p>
    <w:p w14:paraId="6696A331">
      <w:pPr>
        <w:pStyle w:val="3"/>
        <w:spacing w:before="320" w:after="140"/>
      </w:pPr>
      <w:r>
        <w:rPr>
          <w:b/>
          <w:bCs/>
          <w:color w:val="3B5372"/>
          <w:sz w:val="24"/>
          <w:szCs w:val="24"/>
        </w:rPr>
        <w:t>3.5 Decision Matrix</w:t>
      </w:r>
    </w:p>
    <w:p w14:paraId="15F9C49C">
      <w:pPr>
        <w:spacing w:after="160" w:line="300" w:lineRule="auto"/>
      </w:pPr>
      <w:r>
        <w:rPr>
          <w:b w:val="0"/>
          <w:bCs w:val="0"/>
          <w:i w:val="0"/>
          <w:iCs w:val="0"/>
          <w:color w:val="222222"/>
          <w:sz w:val="21"/>
          <w:szCs w:val="21"/>
        </w:rPr>
        <w:t>Each factor can be weighted 1–5 by organizational priority and scored against each tool's fit; higher weighted totals indicate better overall fit.</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3200"/>
        <w:gridCol w:w="1700"/>
        <w:gridCol w:w="1700"/>
        <w:gridCol w:w="2760"/>
      </w:tblGrid>
      <w:tr w14:paraId="168A091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3200" w:type="dxa"/>
            <w:shd w:val="clear" w:color="auto" w:fill="1B2A4A"/>
            <w:tcMar>
              <w:top w:w="100" w:type="dxa"/>
              <w:left w:w="120" w:type="dxa"/>
              <w:bottom w:w="100" w:type="dxa"/>
              <w:right w:w="120" w:type="dxa"/>
            </w:tcMar>
            <w:vAlign w:val="center"/>
          </w:tcPr>
          <w:p w14:paraId="1E97D16F">
            <w:r>
              <w:rPr>
                <w:b/>
                <w:bCs/>
                <w:color w:val="FFFFFF"/>
                <w:sz w:val="18"/>
                <w:szCs w:val="18"/>
              </w:rPr>
              <w:t>Criterion</w:t>
            </w:r>
          </w:p>
        </w:tc>
        <w:tc>
          <w:tcPr>
            <w:tcW w:w="1700" w:type="dxa"/>
            <w:shd w:val="clear" w:color="auto" w:fill="1B2A4A"/>
            <w:tcMar>
              <w:top w:w="100" w:type="dxa"/>
              <w:left w:w="120" w:type="dxa"/>
              <w:bottom w:w="100" w:type="dxa"/>
              <w:right w:w="120" w:type="dxa"/>
            </w:tcMar>
            <w:vAlign w:val="center"/>
          </w:tcPr>
          <w:p w14:paraId="673CEED2">
            <w:r>
              <w:rPr>
                <w:b/>
                <w:bCs/>
                <w:color w:val="FFFFFF"/>
                <w:sz w:val="18"/>
                <w:szCs w:val="18"/>
              </w:rPr>
              <w:t>Fivetran Score</w:t>
            </w:r>
          </w:p>
        </w:tc>
        <w:tc>
          <w:tcPr>
            <w:tcW w:w="1700" w:type="dxa"/>
            <w:shd w:val="clear" w:color="auto" w:fill="1B2A4A"/>
            <w:tcMar>
              <w:top w:w="100" w:type="dxa"/>
              <w:left w:w="120" w:type="dxa"/>
              <w:bottom w:w="100" w:type="dxa"/>
              <w:right w:w="120" w:type="dxa"/>
            </w:tcMar>
            <w:vAlign w:val="center"/>
          </w:tcPr>
          <w:p w14:paraId="28C8A35B">
            <w:r>
              <w:rPr>
                <w:b/>
                <w:bCs/>
                <w:color w:val="FFFFFF"/>
                <w:sz w:val="18"/>
                <w:szCs w:val="18"/>
              </w:rPr>
              <w:t>Meltano Score</w:t>
            </w:r>
          </w:p>
        </w:tc>
        <w:tc>
          <w:tcPr>
            <w:tcW w:w="2760" w:type="dxa"/>
            <w:shd w:val="clear" w:color="auto" w:fill="1B2A4A"/>
            <w:tcMar>
              <w:top w:w="100" w:type="dxa"/>
              <w:left w:w="120" w:type="dxa"/>
              <w:bottom w:w="100" w:type="dxa"/>
              <w:right w:w="120" w:type="dxa"/>
            </w:tcMar>
            <w:vAlign w:val="center"/>
          </w:tcPr>
          <w:p w14:paraId="1799CECD">
            <w:r>
              <w:rPr>
                <w:b/>
                <w:bCs/>
                <w:color w:val="FFFFFF"/>
                <w:sz w:val="18"/>
                <w:szCs w:val="18"/>
              </w:rPr>
              <w:t>Notes</w:t>
            </w:r>
          </w:p>
        </w:tc>
      </w:tr>
      <w:tr w14:paraId="6D865D7D">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2BB2F1AC">
            <w:pPr>
              <w:spacing w:line="260" w:lineRule="auto"/>
            </w:pPr>
            <w:r>
              <w:rPr>
                <w:b/>
                <w:bCs/>
                <w:color w:val="222222"/>
                <w:sz w:val="18"/>
                <w:szCs w:val="18"/>
              </w:rPr>
              <w:t>Speed to production</w:t>
            </w:r>
          </w:p>
        </w:tc>
        <w:tc>
          <w:tcPr>
            <w:tcW w:w="1700" w:type="dxa"/>
            <w:shd w:val="clear" w:color="auto" w:fill="FFFFFF"/>
            <w:tcMar>
              <w:top w:w="90" w:type="dxa"/>
              <w:left w:w="120" w:type="dxa"/>
              <w:bottom w:w="90" w:type="dxa"/>
              <w:right w:w="120" w:type="dxa"/>
            </w:tcMar>
            <w:vAlign w:val="center"/>
          </w:tcPr>
          <w:p w14:paraId="59598A96">
            <w:pPr>
              <w:spacing w:line="260" w:lineRule="auto"/>
            </w:pPr>
            <w:r>
              <w:rPr>
                <w:b w:val="0"/>
                <w:bCs w:val="0"/>
                <w:color w:val="222222"/>
                <w:sz w:val="18"/>
                <w:szCs w:val="18"/>
              </w:rPr>
              <w:t>5</w:t>
            </w:r>
          </w:p>
        </w:tc>
        <w:tc>
          <w:tcPr>
            <w:tcW w:w="1700" w:type="dxa"/>
            <w:shd w:val="clear" w:color="auto" w:fill="FFFFFF"/>
            <w:tcMar>
              <w:top w:w="90" w:type="dxa"/>
              <w:left w:w="120" w:type="dxa"/>
              <w:bottom w:w="90" w:type="dxa"/>
              <w:right w:w="120" w:type="dxa"/>
            </w:tcMar>
            <w:vAlign w:val="center"/>
          </w:tcPr>
          <w:p w14:paraId="68D73A0C">
            <w:pPr>
              <w:spacing w:line="260" w:lineRule="auto"/>
            </w:pPr>
            <w:r>
              <w:rPr>
                <w:b w:val="0"/>
                <w:bCs w:val="0"/>
                <w:color w:val="222222"/>
                <w:sz w:val="18"/>
                <w:szCs w:val="18"/>
              </w:rPr>
              <w:t>2</w:t>
            </w:r>
          </w:p>
        </w:tc>
        <w:tc>
          <w:tcPr>
            <w:tcW w:w="2760" w:type="dxa"/>
            <w:shd w:val="clear" w:color="auto" w:fill="FFFFFF"/>
            <w:tcMar>
              <w:top w:w="90" w:type="dxa"/>
              <w:left w:w="120" w:type="dxa"/>
              <w:bottom w:w="90" w:type="dxa"/>
              <w:right w:w="120" w:type="dxa"/>
            </w:tcMar>
            <w:vAlign w:val="center"/>
          </w:tcPr>
          <w:p w14:paraId="1B12C9A7">
            <w:pPr>
              <w:spacing w:line="260" w:lineRule="auto"/>
            </w:pPr>
            <w:r>
              <w:rPr>
                <w:b w:val="0"/>
                <w:bCs w:val="0"/>
                <w:color w:val="222222"/>
                <w:sz w:val="18"/>
                <w:szCs w:val="18"/>
              </w:rPr>
              <w:t>Fivetran wins for immediate needs</w:t>
            </w:r>
          </w:p>
        </w:tc>
      </w:tr>
      <w:tr w14:paraId="420D39B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2F5F7"/>
            <w:tcMar>
              <w:top w:w="90" w:type="dxa"/>
              <w:left w:w="120" w:type="dxa"/>
              <w:bottom w:w="90" w:type="dxa"/>
              <w:right w:w="120" w:type="dxa"/>
            </w:tcMar>
            <w:vAlign w:val="center"/>
          </w:tcPr>
          <w:p w14:paraId="1E2F006E">
            <w:pPr>
              <w:spacing w:line="260" w:lineRule="auto"/>
            </w:pPr>
            <w:r>
              <w:rPr>
                <w:b/>
                <w:bCs/>
                <w:color w:val="222222"/>
                <w:sz w:val="18"/>
                <w:szCs w:val="18"/>
              </w:rPr>
              <w:t>Long-term cost predictability</w:t>
            </w:r>
          </w:p>
        </w:tc>
        <w:tc>
          <w:tcPr>
            <w:tcW w:w="1700" w:type="dxa"/>
            <w:shd w:val="clear" w:color="auto" w:fill="F2F5F7"/>
            <w:tcMar>
              <w:top w:w="90" w:type="dxa"/>
              <w:left w:w="120" w:type="dxa"/>
              <w:bottom w:w="90" w:type="dxa"/>
              <w:right w:w="120" w:type="dxa"/>
            </w:tcMar>
            <w:vAlign w:val="center"/>
          </w:tcPr>
          <w:p w14:paraId="4CC893E0">
            <w:pPr>
              <w:spacing w:line="260" w:lineRule="auto"/>
            </w:pPr>
            <w:r>
              <w:rPr>
                <w:b w:val="0"/>
                <w:bCs w:val="0"/>
                <w:color w:val="222222"/>
                <w:sz w:val="18"/>
                <w:szCs w:val="18"/>
              </w:rPr>
              <w:t>2</w:t>
            </w:r>
          </w:p>
        </w:tc>
        <w:tc>
          <w:tcPr>
            <w:tcW w:w="1700" w:type="dxa"/>
            <w:shd w:val="clear" w:color="auto" w:fill="F2F5F7"/>
            <w:tcMar>
              <w:top w:w="90" w:type="dxa"/>
              <w:left w:w="120" w:type="dxa"/>
              <w:bottom w:w="90" w:type="dxa"/>
              <w:right w:w="120" w:type="dxa"/>
            </w:tcMar>
            <w:vAlign w:val="center"/>
          </w:tcPr>
          <w:p w14:paraId="67C11C5C">
            <w:pPr>
              <w:spacing w:line="260" w:lineRule="auto"/>
            </w:pPr>
            <w:r>
              <w:rPr>
                <w:b w:val="0"/>
                <w:bCs w:val="0"/>
                <w:color w:val="222222"/>
                <w:sz w:val="18"/>
                <w:szCs w:val="18"/>
              </w:rPr>
              <w:t>4</w:t>
            </w:r>
          </w:p>
        </w:tc>
        <w:tc>
          <w:tcPr>
            <w:tcW w:w="2760" w:type="dxa"/>
            <w:shd w:val="clear" w:color="auto" w:fill="F2F5F7"/>
            <w:tcMar>
              <w:top w:w="90" w:type="dxa"/>
              <w:left w:w="120" w:type="dxa"/>
              <w:bottom w:w="90" w:type="dxa"/>
              <w:right w:w="120" w:type="dxa"/>
            </w:tcMar>
            <w:vAlign w:val="center"/>
          </w:tcPr>
          <w:p w14:paraId="436F95DD">
            <w:pPr>
              <w:spacing w:line="260" w:lineRule="auto"/>
            </w:pPr>
            <w:r>
              <w:rPr>
                <w:b w:val="0"/>
                <w:bCs w:val="0"/>
                <w:color w:val="222222"/>
                <w:sz w:val="18"/>
                <w:szCs w:val="18"/>
              </w:rPr>
              <w:t>Meltano scales with infra, not row volume</w:t>
            </w:r>
          </w:p>
        </w:tc>
      </w:tr>
      <w:tr w14:paraId="6072AAE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75B2846C">
            <w:pPr>
              <w:spacing w:line="260" w:lineRule="auto"/>
            </w:pPr>
            <w:r>
              <w:rPr>
                <w:b/>
                <w:bCs/>
                <w:color w:val="222222"/>
                <w:sz w:val="18"/>
                <w:szCs w:val="18"/>
              </w:rPr>
              <w:t>Connector coverage (long-tail sources)</w:t>
            </w:r>
          </w:p>
        </w:tc>
        <w:tc>
          <w:tcPr>
            <w:tcW w:w="1700" w:type="dxa"/>
            <w:shd w:val="clear" w:color="auto" w:fill="FFFFFF"/>
            <w:tcMar>
              <w:top w:w="90" w:type="dxa"/>
              <w:left w:w="120" w:type="dxa"/>
              <w:bottom w:w="90" w:type="dxa"/>
              <w:right w:w="120" w:type="dxa"/>
            </w:tcMar>
            <w:vAlign w:val="center"/>
          </w:tcPr>
          <w:p w14:paraId="0E0755CB">
            <w:pPr>
              <w:spacing w:line="260" w:lineRule="auto"/>
            </w:pPr>
            <w:r>
              <w:rPr>
                <w:b w:val="0"/>
                <w:bCs w:val="0"/>
                <w:color w:val="222222"/>
                <w:sz w:val="18"/>
                <w:szCs w:val="18"/>
              </w:rPr>
              <w:t>3</w:t>
            </w:r>
          </w:p>
        </w:tc>
        <w:tc>
          <w:tcPr>
            <w:tcW w:w="1700" w:type="dxa"/>
            <w:shd w:val="clear" w:color="auto" w:fill="FFFFFF"/>
            <w:tcMar>
              <w:top w:w="90" w:type="dxa"/>
              <w:left w:w="120" w:type="dxa"/>
              <w:bottom w:w="90" w:type="dxa"/>
              <w:right w:w="120" w:type="dxa"/>
            </w:tcMar>
            <w:vAlign w:val="center"/>
          </w:tcPr>
          <w:p w14:paraId="6949B402">
            <w:pPr>
              <w:spacing w:line="260" w:lineRule="auto"/>
            </w:pPr>
            <w:r>
              <w:rPr>
                <w:b w:val="0"/>
                <w:bCs w:val="0"/>
                <w:color w:val="222222"/>
                <w:sz w:val="18"/>
                <w:szCs w:val="18"/>
              </w:rPr>
              <w:t>4</w:t>
            </w:r>
          </w:p>
        </w:tc>
        <w:tc>
          <w:tcPr>
            <w:tcW w:w="2760" w:type="dxa"/>
            <w:shd w:val="clear" w:color="auto" w:fill="FFFFFF"/>
            <w:tcMar>
              <w:top w:w="90" w:type="dxa"/>
              <w:left w:w="120" w:type="dxa"/>
              <w:bottom w:w="90" w:type="dxa"/>
              <w:right w:w="120" w:type="dxa"/>
            </w:tcMar>
            <w:vAlign w:val="center"/>
          </w:tcPr>
          <w:p w14:paraId="7E328CE1">
            <w:pPr>
              <w:spacing w:line="260" w:lineRule="auto"/>
            </w:pPr>
            <w:r>
              <w:rPr>
                <w:b w:val="0"/>
                <w:bCs w:val="0"/>
                <w:color w:val="222222"/>
                <w:sz w:val="18"/>
                <w:szCs w:val="18"/>
              </w:rPr>
              <w:t>Singer ecosystem broader but uneven quality</w:t>
            </w:r>
          </w:p>
        </w:tc>
      </w:tr>
      <w:tr w14:paraId="072D0C73">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2F5F7"/>
            <w:tcMar>
              <w:top w:w="90" w:type="dxa"/>
              <w:left w:w="120" w:type="dxa"/>
              <w:bottom w:w="90" w:type="dxa"/>
              <w:right w:w="120" w:type="dxa"/>
            </w:tcMar>
            <w:vAlign w:val="center"/>
          </w:tcPr>
          <w:p w14:paraId="674DB777">
            <w:pPr>
              <w:spacing w:line="260" w:lineRule="auto"/>
            </w:pPr>
            <w:r>
              <w:rPr>
                <w:b/>
                <w:bCs/>
                <w:color w:val="222222"/>
                <w:sz w:val="18"/>
                <w:szCs w:val="18"/>
              </w:rPr>
              <w:t>Need for CDC on core DBs</w:t>
            </w:r>
          </w:p>
        </w:tc>
        <w:tc>
          <w:tcPr>
            <w:tcW w:w="1700" w:type="dxa"/>
            <w:shd w:val="clear" w:color="auto" w:fill="F2F5F7"/>
            <w:tcMar>
              <w:top w:w="90" w:type="dxa"/>
              <w:left w:w="120" w:type="dxa"/>
              <w:bottom w:w="90" w:type="dxa"/>
              <w:right w:w="120" w:type="dxa"/>
            </w:tcMar>
            <w:vAlign w:val="center"/>
          </w:tcPr>
          <w:p w14:paraId="7A634ACE">
            <w:pPr>
              <w:spacing w:line="260" w:lineRule="auto"/>
            </w:pPr>
            <w:r>
              <w:rPr>
                <w:b w:val="0"/>
                <w:bCs w:val="0"/>
                <w:color w:val="222222"/>
                <w:sz w:val="18"/>
                <w:szCs w:val="18"/>
              </w:rPr>
              <w:t>5</w:t>
            </w:r>
          </w:p>
        </w:tc>
        <w:tc>
          <w:tcPr>
            <w:tcW w:w="1700" w:type="dxa"/>
            <w:shd w:val="clear" w:color="auto" w:fill="F2F5F7"/>
            <w:tcMar>
              <w:top w:w="90" w:type="dxa"/>
              <w:left w:w="120" w:type="dxa"/>
              <w:bottom w:w="90" w:type="dxa"/>
              <w:right w:w="120" w:type="dxa"/>
            </w:tcMar>
            <w:vAlign w:val="center"/>
          </w:tcPr>
          <w:p w14:paraId="61D1476D">
            <w:pPr>
              <w:spacing w:line="260" w:lineRule="auto"/>
            </w:pPr>
            <w:r>
              <w:rPr>
                <w:b w:val="0"/>
                <w:bCs w:val="0"/>
                <w:color w:val="222222"/>
                <w:sz w:val="18"/>
                <w:szCs w:val="18"/>
              </w:rPr>
              <w:t>3</w:t>
            </w:r>
          </w:p>
        </w:tc>
        <w:tc>
          <w:tcPr>
            <w:tcW w:w="2760" w:type="dxa"/>
            <w:shd w:val="clear" w:color="auto" w:fill="F2F5F7"/>
            <w:tcMar>
              <w:top w:w="90" w:type="dxa"/>
              <w:left w:w="120" w:type="dxa"/>
              <w:bottom w:w="90" w:type="dxa"/>
              <w:right w:w="120" w:type="dxa"/>
            </w:tcMar>
            <w:vAlign w:val="center"/>
          </w:tcPr>
          <w:p w14:paraId="300F5495">
            <w:pPr>
              <w:spacing w:line="260" w:lineRule="auto"/>
            </w:pPr>
            <w:r>
              <w:rPr>
                <w:b w:val="0"/>
                <w:bCs w:val="0"/>
                <w:color w:val="222222"/>
                <w:sz w:val="18"/>
                <w:szCs w:val="18"/>
              </w:rPr>
              <w:t>Fivetran's CDC is more turnkey</w:t>
            </w:r>
          </w:p>
        </w:tc>
      </w:tr>
      <w:tr w14:paraId="2EFC8BFB">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56851DBD">
            <w:pPr>
              <w:spacing w:line="260" w:lineRule="auto"/>
            </w:pPr>
            <w:r>
              <w:rPr>
                <w:b/>
                <w:bCs/>
                <w:color w:val="222222"/>
                <w:sz w:val="18"/>
                <w:szCs w:val="18"/>
              </w:rPr>
              <w:t>Compliance requirements (HIPAA/SOC2)</w:t>
            </w:r>
          </w:p>
        </w:tc>
        <w:tc>
          <w:tcPr>
            <w:tcW w:w="1700" w:type="dxa"/>
            <w:shd w:val="clear" w:color="auto" w:fill="FFFFFF"/>
            <w:tcMar>
              <w:top w:w="90" w:type="dxa"/>
              <w:left w:w="120" w:type="dxa"/>
              <w:bottom w:w="90" w:type="dxa"/>
              <w:right w:w="120" w:type="dxa"/>
            </w:tcMar>
            <w:vAlign w:val="center"/>
          </w:tcPr>
          <w:p w14:paraId="2B177E82">
            <w:pPr>
              <w:spacing w:line="260" w:lineRule="auto"/>
            </w:pPr>
            <w:r>
              <w:rPr>
                <w:b w:val="0"/>
                <w:bCs w:val="0"/>
                <w:color w:val="222222"/>
                <w:sz w:val="18"/>
                <w:szCs w:val="18"/>
              </w:rPr>
              <w:t>5</w:t>
            </w:r>
          </w:p>
        </w:tc>
        <w:tc>
          <w:tcPr>
            <w:tcW w:w="1700" w:type="dxa"/>
            <w:shd w:val="clear" w:color="auto" w:fill="FFFFFF"/>
            <w:tcMar>
              <w:top w:w="90" w:type="dxa"/>
              <w:left w:w="120" w:type="dxa"/>
              <w:bottom w:w="90" w:type="dxa"/>
              <w:right w:w="120" w:type="dxa"/>
            </w:tcMar>
            <w:vAlign w:val="center"/>
          </w:tcPr>
          <w:p w14:paraId="1FE209EF">
            <w:pPr>
              <w:spacing w:line="260" w:lineRule="auto"/>
            </w:pPr>
            <w:r>
              <w:rPr>
                <w:b w:val="0"/>
                <w:bCs w:val="0"/>
                <w:color w:val="222222"/>
                <w:sz w:val="18"/>
                <w:szCs w:val="18"/>
              </w:rPr>
              <w:t>2</w:t>
            </w:r>
          </w:p>
        </w:tc>
        <w:tc>
          <w:tcPr>
            <w:tcW w:w="2760" w:type="dxa"/>
            <w:shd w:val="clear" w:color="auto" w:fill="FFFFFF"/>
            <w:tcMar>
              <w:top w:w="90" w:type="dxa"/>
              <w:left w:w="120" w:type="dxa"/>
              <w:bottom w:w="90" w:type="dxa"/>
              <w:right w:w="120" w:type="dxa"/>
            </w:tcMar>
            <w:vAlign w:val="center"/>
          </w:tcPr>
          <w:p w14:paraId="34E9231F">
            <w:pPr>
              <w:spacing w:line="260" w:lineRule="auto"/>
            </w:pPr>
            <w:r>
              <w:rPr>
                <w:b w:val="0"/>
                <w:bCs w:val="0"/>
                <w:color w:val="222222"/>
                <w:sz w:val="18"/>
                <w:szCs w:val="18"/>
              </w:rPr>
              <w:t>Fivetran ships compliance out of the box</w:t>
            </w:r>
          </w:p>
        </w:tc>
      </w:tr>
      <w:tr w14:paraId="4F3C6C02">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2F5F7"/>
            <w:tcMar>
              <w:top w:w="90" w:type="dxa"/>
              <w:left w:w="120" w:type="dxa"/>
              <w:bottom w:w="90" w:type="dxa"/>
              <w:right w:w="120" w:type="dxa"/>
            </w:tcMar>
            <w:vAlign w:val="center"/>
          </w:tcPr>
          <w:p w14:paraId="73AF907C">
            <w:pPr>
              <w:spacing w:line="260" w:lineRule="auto"/>
            </w:pPr>
            <w:r>
              <w:rPr>
                <w:b/>
                <w:bCs/>
                <w:color w:val="222222"/>
                <w:sz w:val="18"/>
                <w:szCs w:val="18"/>
              </w:rPr>
              <w:t>DataOps maturity (Git/CI-CD native)</w:t>
            </w:r>
          </w:p>
        </w:tc>
        <w:tc>
          <w:tcPr>
            <w:tcW w:w="1700" w:type="dxa"/>
            <w:shd w:val="clear" w:color="auto" w:fill="F2F5F7"/>
            <w:tcMar>
              <w:top w:w="90" w:type="dxa"/>
              <w:left w:w="120" w:type="dxa"/>
              <w:bottom w:w="90" w:type="dxa"/>
              <w:right w:w="120" w:type="dxa"/>
            </w:tcMar>
            <w:vAlign w:val="center"/>
          </w:tcPr>
          <w:p w14:paraId="2DD9D0CF">
            <w:pPr>
              <w:spacing w:line="260" w:lineRule="auto"/>
            </w:pPr>
            <w:r>
              <w:rPr>
                <w:b w:val="0"/>
                <w:bCs w:val="0"/>
                <w:color w:val="222222"/>
                <w:sz w:val="18"/>
                <w:szCs w:val="18"/>
              </w:rPr>
              <w:t>2</w:t>
            </w:r>
          </w:p>
        </w:tc>
        <w:tc>
          <w:tcPr>
            <w:tcW w:w="1700" w:type="dxa"/>
            <w:shd w:val="clear" w:color="auto" w:fill="F2F5F7"/>
            <w:tcMar>
              <w:top w:w="90" w:type="dxa"/>
              <w:left w:w="120" w:type="dxa"/>
              <w:bottom w:w="90" w:type="dxa"/>
              <w:right w:w="120" w:type="dxa"/>
            </w:tcMar>
            <w:vAlign w:val="center"/>
          </w:tcPr>
          <w:p w14:paraId="05896E26">
            <w:pPr>
              <w:spacing w:line="260" w:lineRule="auto"/>
            </w:pPr>
            <w:r>
              <w:rPr>
                <w:b w:val="0"/>
                <w:bCs w:val="0"/>
                <w:color w:val="222222"/>
                <w:sz w:val="18"/>
                <w:szCs w:val="18"/>
              </w:rPr>
              <w:t>5</w:t>
            </w:r>
          </w:p>
        </w:tc>
        <w:tc>
          <w:tcPr>
            <w:tcW w:w="2760" w:type="dxa"/>
            <w:shd w:val="clear" w:color="auto" w:fill="F2F5F7"/>
            <w:tcMar>
              <w:top w:w="90" w:type="dxa"/>
              <w:left w:w="120" w:type="dxa"/>
              <w:bottom w:w="90" w:type="dxa"/>
              <w:right w:w="120" w:type="dxa"/>
            </w:tcMar>
            <w:vAlign w:val="center"/>
          </w:tcPr>
          <w:p w14:paraId="5799FDA4">
            <w:pPr>
              <w:spacing w:line="260" w:lineRule="auto"/>
            </w:pPr>
            <w:r>
              <w:rPr>
                <w:b w:val="0"/>
                <w:bCs w:val="0"/>
                <w:color w:val="222222"/>
                <w:sz w:val="18"/>
                <w:szCs w:val="18"/>
              </w:rPr>
              <w:t>Meltano fits DataOps-native teams</w:t>
            </w:r>
          </w:p>
        </w:tc>
      </w:tr>
      <w:tr w14:paraId="6BB4E8F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0935D343">
            <w:pPr>
              <w:spacing w:line="260" w:lineRule="auto"/>
            </w:pPr>
            <w:r>
              <w:rPr>
                <w:b/>
                <w:bCs/>
                <w:color w:val="222222"/>
                <w:sz w:val="18"/>
                <w:szCs w:val="18"/>
              </w:rPr>
              <w:t>Desire to avoid vendor lock-in</w:t>
            </w:r>
          </w:p>
        </w:tc>
        <w:tc>
          <w:tcPr>
            <w:tcW w:w="1700" w:type="dxa"/>
            <w:shd w:val="clear" w:color="auto" w:fill="FFFFFF"/>
            <w:tcMar>
              <w:top w:w="90" w:type="dxa"/>
              <w:left w:w="120" w:type="dxa"/>
              <w:bottom w:w="90" w:type="dxa"/>
              <w:right w:w="120" w:type="dxa"/>
            </w:tcMar>
            <w:vAlign w:val="center"/>
          </w:tcPr>
          <w:p w14:paraId="4948165A">
            <w:pPr>
              <w:spacing w:line="260" w:lineRule="auto"/>
            </w:pPr>
            <w:r>
              <w:rPr>
                <w:b w:val="0"/>
                <w:bCs w:val="0"/>
                <w:color w:val="222222"/>
                <w:sz w:val="18"/>
                <w:szCs w:val="18"/>
              </w:rPr>
              <w:t>1</w:t>
            </w:r>
          </w:p>
        </w:tc>
        <w:tc>
          <w:tcPr>
            <w:tcW w:w="1700" w:type="dxa"/>
            <w:shd w:val="clear" w:color="auto" w:fill="FFFFFF"/>
            <w:tcMar>
              <w:top w:w="90" w:type="dxa"/>
              <w:left w:w="120" w:type="dxa"/>
              <w:bottom w:w="90" w:type="dxa"/>
              <w:right w:w="120" w:type="dxa"/>
            </w:tcMar>
            <w:vAlign w:val="center"/>
          </w:tcPr>
          <w:p w14:paraId="146E9924">
            <w:pPr>
              <w:spacing w:line="260" w:lineRule="auto"/>
            </w:pPr>
            <w:r>
              <w:rPr>
                <w:b w:val="0"/>
                <w:bCs w:val="0"/>
                <w:color w:val="222222"/>
                <w:sz w:val="18"/>
                <w:szCs w:val="18"/>
              </w:rPr>
              <w:t>5</w:t>
            </w:r>
          </w:p>
        </w:tc>
        <w:tc>
          <w:tcPr>
            <w:tcW w:w="2760" w:type="dxa"/>
            <w:shd w:val="clear" w:color="auto" w:fill="FFFFFF"/>
            <w:tcMar>
              <w:top w:w="90" w:type="dxa"/>
              <w:left w:w="120" w:type="dxa"/>
              <w:bottom w:w="90" w:type="dxa"/>
              <w:right w:w="120" w:type="dxa"/>
            </w:tcMar>
            <w:vAlign w:val="center"/>
          </w:tcPr>
          <w:p w14:paraId="601785BB">
            <w:pPr>
              <w:spacing w:line="260" w:lineRule="auto"/>
            </w:pPr>
            <w:r>
              <w:rPr>
                <w:b w:val="0"/>
                <w:bCs w:val="0"/>
                <w:color w:val="222222"/>
                <w:sz w:val="18"/>
                <w:szCs w:val="18"/>
              </w:rPr>
              <w:t>Singer spec is portable</w:t>
            </w:r>
          </w:p>
        </w:tc>
      </w:tr>
      <w:tr w14:paraId="412BA71C">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3200" w:type="dxa"/>
            <w:shd w:val="clear" w:color="auto" w:fill="F2F5F7"/>
            <w:tcMar>
              <w:top w:w="90" w:type="dxa"/>
              <w:left w:w="120" w:type="dxa"/>
              <w:bottom w:w="90" w:type="dxa"/>
              <w:right w:w="120" w:type="dxa"/>
            </w:tcMar>
            <w:vAlign w:val="center"/>
          </w:tcPr>
          <w:p w14:paraId="63262E02">
            <w:pPr>
              <w:spacing w:line="260" w:lineRule="auto"/>
            </w:pPr>
            <w:r>
              <w:rPr>
                <w:b/>
                <w:bCs/>
                <w:color w:val="222222"/>
                <w:sz w:val="18"/>
                <w:szCs w:val="18"/>
              </w:rPr>
              <w:t>Budget certainty (fixed vs. variable)</w:t>
            </w:r>
          </w:p>
        </w:tc>
        <w:tc>
          <w:tcPr>
            <w:tcW w:w="1700" w:type="dxa"/>
            <w:shd w:val="clear" w:color="auto" w:fill="F2F5F7"/>
            <w:tcMar>
              <w:top w:w="90" w:type="dxa"/>
              <w:left w:w="120" w:type="dxa"/>
              <w:bottom w:w="90" w:type="dxa"/>
              <w:right w:w="120" w:type="dxa"/>
            </w:tcMar>
            <w:vAlign w:val="center"/>
          </w:tcPr>
          <w:p w14:paraId="7C8520A3">
            <w:pPr>
              <w:spacing w:line="260" w:lineRule="auto"/>
            </w:pPr>
            <w:r>
              <w:rPr>
                <w:b w:val="0"/>
                <w:bCs w:val="0"/>
                <w:color w:val="222222"/>
                <w:sz w:val="18"/>
                <w:szCs w:val="18"/>
              </w:rPr>
              <w:t>2</w:t>
            </w:r>
          </w:p>
        </w:tc>
        <w:tc>
          <w:tcPr>
            <w:tcW w:w="1700" w:type="dxa"/>
            <w:shd w:val="clear" w:color="auto" w:fill="F2F5F7"/>
            <w:tcMar>
              <w:top w:w="90" w:type="dxa"/>
              <w:left w:w="120" w:type="dxa"/>
              <w:bottom w:w="90" w:type="dxa"/>
              <w:right w:w="120" w:type="dxa"/>
            </w:tcMar>
            <w:vAlign w:val="center"/>
          </w:tcPr>
          <w:p w14:paraId="447E3C92">
            <w:pPr>
              <w:spacing w:line="260" w:lineRule="auto"/>
            </w:pPr>
            <w:r>
              <w:rPr>
                <w:b w:val="0"/>
                <w:bCs w:val="0"/>
                <w:color w:val="222222"/>
                <w:sz w:val="18"/>
                <w:szCs w:val="18"/>
              </w:rPr>
              <w:t>4</w:t>
            </w:r>
          </w:p>
        </w:tc>
        <w:tc>
          <w:tcPr>
            <w:tcW w:w="2760" w:type="dxa"/>
            <w:shd w:val="clear" w:color="auto" w:fill="F2F5F7"/>
            <w:tcMar>
              <w:top w:w="90" w:type="dxa"/>
              <w:left w:w="120" w:type="dxa"/>
              <w:bottom w:w="90" w:type="dxa"/>
              <w:right w:w="120" w:type="dxa"/>
            </w:tcMar>
            <w:vAlign w:val="center"/>
          </w:tcPr>
          <w:p w14:paraId="3BB6E51D">
            <w:pPr>
              <w:spacing w:line="260" w:lineRule="auto"/>
            </w:pPr>
            <w:r>
              <w:rPr>
                <w:b w:val="0"/>
                <w:bCs w:val="0"/>
                <w:color w:val="222222"/>
                <w:sz w:val="18"/>
                <w:szCs w:val="18"/>
              </w:rPr>
              <w:t>Meltano = fixed headcount cost</w:t>
            </w:r>
          </w:p>
        </w:tc>
      </w:tr>
    </w:tbl>
    <w:p w14:paraId="5EAA9C67">
      <w:pPr>
        <w:spacing w:after="100"/>
      </w:pPr>
    </w:p>
    <w:tbl>
      <w:tblPr>
        <w:tblStyle w:val="9"/>
        <w:tblW w:w="5000" w:type="pct"/>
        <w:tblInd w:w="0" w:type="dxa"/>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D7F2621">
        <w:tblPrEx>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5F7"/>
            <w:tcMar>
              <w:top w:w="160" w:type="dxa"/>
              <w:left w:w="200" w:type="dxa"/>
              <w:bottom w:w="160" w:type="dxa"/>
              <w:right w:w="200" w:type="dxa"/>
            </w:tcMar>
          </w:tcPr>
          <w:p w14:paraId="6D0D1730">
            <w:pPr>
              <w:spacing w:after="60"/>
            </w:pPr>
            <w:r>
              <w:rPr>
                <w:b/>
                <w:bCs/>
                <w:color w:val="1B2A4A"/>
                <w:sz w:val="20"/>
                <w:szCs w:val="20"/>
              </w:rPr>
              <w:t>Common real-world pattern</w:t>
            </w:r>
          </w:p>
          <w:p w14:paraId="7D107978">
            <w:pPr>
              <w:spacing w:after="0" w:line="280" w:lineRule="auto"/>
            </w:pPr>
            <w:r>
              <w:rPr>
                <w:color w:val="222222"/>
                <w:sz w:val="20"/>
                <w:szCs w:val="20"/>
              </w:rPr>
              <w:t>Fivetran for core, high-value CDC sources (production databases, Salesforce, NetSuite) combined with Meltano for custom or niche internal sources, where writing a Singer tap is cheaper than paying Fivetran's connector and MAR pricing for a low-volume source.</w:t>
            </w:r>
          </w:p>
        </w:tc>
      </w:tr>
    </w:tbl>
    <w:p w14:paraId="047E193E">
      <w:pPr>
        <w:pStyle w:val="3"/>
        <w:spacing w:before="320" w:after="140"/>
      </w:pPr>
      <w:r>
        <w:rPr>
          <w:b/>
          <w:bCs/>
          <w:color w:val="3B5372"/>
          <w:sz w:val="24"/>
          <w:szCs w:val="24"/>
        </w:rPr>
        <w:t>3.6 Transformation Capability Within Meltano</w:t>
      </w:r>
    </w:p>
    <w:p w14:paraId="561AA163">
      <w:pPr>
        <w:spacing w:after="160" w:line="300" w:lineRule="auto"/>
      </w:pPr>
      <w:r>
        <w:rPr>
          <w:b w:val="0"/>
          <w:bCs w:val="0"/>
          <w:i w:val="0"/>
          <w:iCs w:val="0"/>
          <w:color w:val="222222"/>
          <w:sz w:val="21"/>
          <w:szCs w:val="21"/>
        </w:rPr>
        <w:t>Meltano itself does not perform transformation — it orchestrates dbt-core as the transformation layer, so its transformation ceiling is dbt-core's ceiling. Meltano handles Extract and Load via Singer taps/targets, while dbt-core (wired in via meltano.yml) handles Transform, typically run together as a single command or split into orchestrated steps.</w:t>
      </w:r>
    </w:p>
    <w:p w14:paraId="67F615EB">
      <w:pPr>
        <w:spacing w:after="160" w:line="300" w:lineRule="auto"/>
      </w:pPr>
      <w:r>
        <w:rPr>
          <w:b w:val="0"/>
          <w:bCs w:val="0"/>
          <w:i w:val="0"/>
          <w:iCs w:val="0"/>
          <w:color w:val="222222"/>
          <w:sz w:val="21"/>
          <w:szCs w:val="21"/>
        </w:rPr>
        <w:t>In practice, this means full SQL-based modeling, incremental materializations, Jinja macros, dbt Python models (where the warehouse supports them), custom packages, testing, SCD Type 2 snapshots, and DAG-based lineage are all fully supported — the same ceiling as any standalone dbt-core project. The one architectural constraint is that Meltano follows an ELT pattern: complex logic belongs after load, inside the warehouse, via dbt. Transforming data mid-flight, before it lands, is outside Meltano's design pattern and would require custom Singer target/tap logic — an awkward fit, mirroring the same separation of concerns used in a Fivetran-plus-dbt-Cloud architecture.</w:t>
      </w:r>
    </w:p>
    <w:p w14:paraId="392BEC87">
      <w:pPr>
        <w:pStyle w:val="3"/>
        <w:spacing w:before="320" w:after="140"/>
      </w:pPr>
      <w:r>
        <w:rPr>
          <w:b/>
          <w:bCs/>
          <w:color w:val="3B5372"/>
          <w:sz w:val="24"/>
          <w:szCs w:val="24"/>
        </w:rPr>
        <w:t>3.7 Orchestration Requirements</w:t>
      </w:r>
    </w:p>
    <w:p w14:paraId="7222C2F5">
      <w:pPr>
        <w:spacing w:after="160" w:line="300" w:lineRule="auto"/>
      </w:pPr>
      <w:r>
        <w:rPr>
          <w:b w:val="0"/>
          <w:bCs w:val="0"/>
          <w:i w:val="0"/>
          <w:iCs w:val="0"/>
          <w:color w:val="222222"/>
          <w:sz w:val="21"/>
          <w:szCs w:val="21"/>
        </w:rPr>
        <w:t>Within a single Meltano pipeline (tap → target → dbt), Meltano's own scheduler handles sequencing natively. Across pipelines — for example, ensuring Pipeline B does not start until Pipeline A finishes — an external orchestrator is required, since Meltano has no built-in cross-pipeline dependency graph, retries, backfill logic, or conditional branching.</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4200"/>
        <w:gridCol w:w="5160"/>
      </w:tblGrid>
      <w:tr w14:paraId="6FE9EE03">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4200" w:type="dxa"/>
            <w:shd w:val="clear" w:color="auto" w:fill="1B2A4A"/>
            <w:tcMar>
              <w:top w:w="100" w:type="dxa"/>
              <w:left w:w="120" w:type="dxa"/>
              <w:bottom w:w="100" w:type="dxa"/>
              <w:right w:w="120" w:type="dxa"/>
            </w:tcMar>
            <w:vAlign w:val="center"/>
          </w:tcPr>
          <w:p w14:paraId="6DDC0362">
            <w:r>
              <w:rPr>
                <w:b/>
                <w:bCs/>
                <w:color w:val="FFFFFF"/>
                <w:sz w:val="18"/>
                <w:szCs w:val="18"/>
              </w:rPr>
              <w:t>Need</w:t>
            </w:r>
          </w:p>
        </w:tc>
        <w:tc>
          <w:tcPr>
            <w:tcW w:w="5160" w:type="dxa"/>
            <w:shd w:val="clear" w:color="auto" w:fill="1B2A4A"/>
            <w:tcMar>
              <w:top w:w="100" w:type="dxa"/>
              <w:left w:w="120" w:type="dxa"/>
              <w:bottom w:w="100" w:type="dxa"/>
              <w:right w:w="120" w:type="dxa"/>
            </w:tcMar>
            <w:vAlign w:val="center"/>
          </w:tcPr>
          <w:p w14:paraId="343A8D22">
            <w:r>
              <w:rPr>
                <w:b/>
                <w:bCs/>
                <w:color w:val="FFFFFF"/>
                <w:sz w:val="18"/>
                <w:szCs w:val="18"/>
              </w:rPr>
              <w:t>Why Meltano Alone Cannot Do It</w:t>
            </w:r>
          </w:p>
        </w:tc>
      </w:tr>
      <w:tr w14:paraId="5B1F988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7D578617">
            <w:pPr>
              <w:spacing w:line="260" w:lineRule="auto"/>
            </w:pPr>
            <w:r>
              <w:rPr>
                <w:b/>
                <w:bCs/>
                <w:color w:val="222222"/>
                <w:sz w:val="18"/>
                <w:szCs w:val="18"/>
              </w:rPr>
              <w:t>Run pipeline B only after pipeline A succeeds</w:t>
            </w:r>
          </w:p>
        </w:tc>
        <w:tc>
          <w:tcPr>
            <w:tcW w:w="5160" w:type="dxa"/>
            <w:shd w:val="clear" w:color="auto" w:fill="FFFFFF"/>
            <w:tcMar>
              <w:top w:w="90" w:type="dxa"/>
              <w:left w:w="120" w:type="dxa"/>
              <w:bottom w:w="90" w:type="dxa"/>
              <w:right w:w="120" w:type="dxa"/>
            </w:tcMar>
            <w:vAlign w:val="center"/>
          </w:tcPr>
          <w:p w14:paraId="73345059">
            <w:pPr>
              <w:spacing w:line="260" w:lineRule="auto"/>
            </w:pPr>
            <w:r>
              <w:rPr>
                <w:b w:val="0"/>
                <w:bCs w:val="0"/>
                <w:color w:val="222222"/>
                <w:sz w:val="18"/>
                <w:szCs w:val="18"/>
              </w:rPr>
              <w:t>No cross-job dependency graph</w:t>
            </w:r>
          </w:p>
        </w:tc>
      </w:tr>
      <w:tr w14:paraId="260E056A">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2F5F7"/>
            <w:tcMar>
              <w:top w:w="90" w:type="dxa"/>
              <w:left w:w="120" w:type="dxa"/>
              <w:bottom w:w="90" w:type="dxa"/>
              <w:right w:w="120" w:type="dxa"/>
            </w:tcMar>
            <w:vAlign w:val="center"/>
          </w:tcPr>
          <w:p w14:paraId="60C6BDF6">
            <w:pPr>
              <w:spacing w:line="260" w:lineRule="auto"/>
            </w:pPr>
            <w:r>
              <w:rPr>
                <w:b/>
                <w:bCs/>
                <w:color w:val="222222"/>
                <w:sz w:val="18"/>
                <w:szCs w:val="18"/>
              </w:rPr>
              <w:t>Fan-in / fan-out across multiple sources</w:t>
            </w:r>
          </w:p>
        </w:tc>
        <w:tc>
          <w:tcPr>
            <w:tcW w:w="5160" w:type="dxa"/>
            <w:shd w:val="clear" w:color="auto" w:fill="F2F5F7"/>
            <w:tcMar>
              <w:top w:w="90" w:type="dxa"/>
              <w:left w:w="120" w:type="dxa"/>
              <w:bottom w:w="90" w:type="dxa"/>
              <w:right w:w="120" w:type="dxa"/>
            </w:tcMar>
            <w:vAlign w:val="center"/>
          </w:tcPr>
          <w:p w14:paraId="570EB97B">
            <w:pPr>
              <w:spacing w:line="260" w:lineRule="auto"/>
            </w:pPr>
            <w:r>
              <w:rPr>
                <w:b w:val="0"/>
                <w:bCs w:val="0"/>
                <w:color w:val="222222"/>
                <w:sz w:val="18"/>
                <w:szCs w:val="18"/>
              </w:rPr>
              <w:t>No DAG engine</w:t>
            </w:r>
          </w:p>
        </w:tc>
      </w:tr>
      <w:tr w14:paraId="43D1C7B8">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6ADBA251">
            <w:pPr>
              <w:spacing w:line="260" w:lineRule="auto"/>
            </w:pPr>
            <w:r>
              <w:rPr>
                <w:b/>
                <w:bCs/>
                <w:color w:val="222222"/>
                <w:sz w:val="18"/>
                <w:szCs w:val="18"/>
              </w:rPr>
              <w:t>Retries, alerting, SLAs, backfills</w:t>
            </w:r>
          </w:p>
        </w:tc>
        <w:tc>
          <w:tcPr>
            <w:tcW w:w="5160" w:type="dxa"/>
            <w:shd w:val="clear" w:color="auto" w:fill="FFFFFF"/>
            <w:tcMar>
              <w:top w:w="90" w:type="dxa"/>
              <w:left w:w="120" w:type="dxa"/>
              <w:bottom w:w="90" w:type="dxa"/>
              <w:right w:w="120" w:type="dxa"/>
            </w:tcMar>
            <w:vAlign w:val="center"/>
          </w:tcPr>
          <w:p w14:paraId="6F3A355A">
            <w:pPr>
              <w:spacing w:line="260" w:lineRule="auto"/>
            </w:pPr>
            <w:r>
              <w:rPr>
                <w:b w:val="0"/>
                <w:bCs w:val="0"/>
                <w:color w:val="222222"/>
                <w:sz w:val="18"/>
                <w:szCs w:val="18"/>
              </w:rPr>
              <w:t>Not built into Meltano's scheduler</w:t>
            </w:r>
          </w:p>
        </w:tc>
      </w:tr>
      <w:tr w14:paraId="0A7D55B0">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2F5F7"/>
            <w:tcMar>
              <w:top w:w="90" w:type="dxa"/>
              <w:left w:w="120" w:type="dxa"/>
              <w:bottom w:w="90" w:type="dxa"/>
              <w:right w:w="120" w:type="dxa"/>
            </w:tcMar>
            <w:vAlign w:val="center"/>
          </w:tcPr>
          <w:p w14:paraId="5883422A">
            <w:pPr>
              <w:spacing w:line="260" w:lineRule="auto"/>
            </w:pPr>
            <w:r>
              <w:rPr>
                <w:b/>
                <w:bCs/>
                <w:color w:val="222222"/>
                <w:sz w:val="18"/>
                <w:szCs w:val="18"/>
              </w:rPr>
              <w:t>Cross-tool dependencies (e.g., wait for a file, then trigger)</w:t>
            </w:r>
          </w:p>
        </w:tc>
        <w:tc>
          <w:tcPr>
            <w:tcW w:w="5160" w:type="dxa"/>
            <w:shd w:val="clear" w:color="auto" w:fill="F2F5F7"/>
            <w:tcMar>
              <w:top w:w="90" w:type="dxa"/>
              <w:left w:w="120" w:type="dxa"/>
              <w:bottom w:w="90" w:type="dxa"/>
              <w:right w:w="120" w:type="dxa"/>
            </w:tcMar>
            <w:vAlign w:val="center"/>
          </w:tcPr>
          <w:p w14:paraId="35102CAD">
            <w:pPr>
              <w:spacing w:line="260" w:lineRule="auto"/>
            </w:pPr>
            <w:r>
              <w:rPr>
                <w:b w:val="0"/>
                <w:bCs w:val="0"/>
                <w:color w:val="222222"/>
                <w:sz w:val="18"/>
                <w:szCs w:val="18"/>
              </w:rPr>
              <w:t>Meltano does not sense external state</w:t>
            </w:r>
          </w:p>
        </w:tc>
      </w:tr>
      <w:tr w14:paraId="0774E78B">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4200" w:type="dxa"/>
            <w:shd w:val="clear" w:color="auto" w:fill="FFFFFF"/>
            <w:tcMar>
              <w:top w:w="90" w:type="dxa"/>
              <w:left w:w="120" w:type="dxa"/>
              <w:bottom w:w="90" w:type="dxa"/>
              <w:right w:w="120" w:type="dxa"/>
            </w:tcMar>
            <w:vAlign w:val="center"/>
          </w:tcPr>
          <w:p w14:paraId="74C49356">
            <w:pPr>
              <w:spacing w:line="260" w:lineRule="auto"/>
            </w:pPr>
            <w:r>
              <w:rPr>
                <w:b/>
                <w:bCs/>
                <w:color w:val="222222"/>
                <w:sz w:val="18"/>
                <w:szCs w:val="18"/>
              </w:rPr>
              <w:t>Central visibility across many pipelines</w:t>
            </w:r>
          </w:p>
        </w:tc>
        <w:tc>
          <w:tcPr>
            <w:tcW w:w="5160" w:type="dxa"/>
            <w:shd w:val="clear" w:color="auto" w:fill="FFFFFF"/>
            <w:tcMar>
              <w:top w:w="90" w:type="dxa"/>
              <w:left w:w="120" w:type="dxa"/>
              <w:bottom w:w="90" w:type="dxa"/>
              <w:right w:w="120" w:type="dxa"/>
            </w:tcMar>
            <w:vAlign w:val="center"/>
          </w:tcPr>
          <w:p w14:paraId="44E5A762">
            <w:pPr>
              <w:spacing w:line="260" w:lineRule="auto"/>
            </w:pPr>
            <w:r>
              <w:rPr>
                <w:b w:val="0"/>
                <w:bCs w:val="0"/>
                <w:color w:val="222222"/>
                <w:sz w:val="18"/>
                <w:szCs w:val="18"/>
              </w:rPr>
              <w:t>Scheduler is per-project, not a control plane</w:t>
            </w:r>
          </w:p>
        </w:tc>
      </w:tr>
    </w:tbl>
    <w:p w14:paraId="7905650F">
      <w:pPr>
        <w:spacing w:after="100"/>
      </w:pPr>
    </w:p>
    <w:p w14:paraId="496F14EC">
      <w:pPr>
        <w:spacing w:after="160" w:line="300" w:lineRule="auto"/>
      </w:pPr>
      <w:r>
        <w:rPr>
          <w:b w:val="0"/>
          <w:bCs w:val="0"/>
          <w:i w:val="0"/>
          <w:iCs w:val="0"/>
          <w:color w:val="222222"/>
          <w:sz w:val="21"/>
          <w:szCs w:val="21"/>
        </w:rPr>
        <w:t>The common pattern is for Airflow, Dagster, or Prefect to call Meltano as a task rather than the reverse. Dagster is worth calling out specifically: it has first-class Meltano integration (dagster-meltano) that auto-generates Dagster assets from a project's taps, targets, and dbt models, so the dbt lineage graph becomes native Dagster asset dependencies — often a smoother fit than Airflow for a team starting fresh.</w:t>
      </w:r>
    </w:p>
    <w:p w14:paraId="262F0A6A">
      <w:pPr>
        <w:pStyle w:val="3"/>
        <w:spacing w:before="320" w:after="140"/>
      </w:pPr>
      <w:r>
        <w:rPr>
          <w:b/>
          <w:bCs/>
          <w:color w:val="3B5372"/>
          <w:sz w:val="24"/>
          <w:szCs w:val="24"/>
        </w:rPr>
        <w:t>3.8 Recommendation</w:t>
      </w:r>
    </w:p>
    <w:p w14:paraId="43167E17">
      <w:pPr>
        <w:pStyle w:val="16"/>
        <w:numPr>
          <w:ilvl w:val="0"/>
          <w:numId w:val="1"/>
        </w:numPr>
        <w:spacing w:after="90" w:line="280" w:lineRule="auto"/>
      </w:pPr>
      <w:r>
        <w:rPr>
          <w:color w:val="222222"/>
          <w:sz w:val="21"/>
          <w:szCs w:val="21"/>
        </w:rPr>
        <w:t>Check Lakeflow Connect's connector catalog first for the organization's actual sources. Salesforce, SQL Server, Workday, ServiceNow, and CDC-heavy database sources are already well covered, with Postgres, MySQL, Oracle, and NetSuite on the roadmap. Where sources are covered, use it — it offers native Unity Catalog governance, serverless operation, no separate platform to license, and materially lower cost than Fivetran for the same job.</w:t>
      </w:r>
    </w:p>
    <w:p w14:paraId="316156A1">
      <w:pPr>
        <w:pStyle w:val="16"/>
        <w:numPr>
          <w:ilvl w:val="0"/>
          <w:numId w:val="1"/>
        </w:numPr>
        <w:spacing w:after="90" w:line="280" w:lineRule="auto"/>
      </w:pPr>
      <w:r>
        <w:rPr>
          <w:color w:val="222222"/>
          <w:sz w:val="21"/>
          <w:szCs w:val="21"/>
        </w:rPr>
        <w:t>For sources Lakeflow Connect does not yet cover, bring in Fivetran for just those sources. Its connector breadth (150+) remains ahead of Databricks' native list — use it as a gap-filler, not as the foundation of the ingestion layer.</w:t>
      </w:r>
    </w:p>
    <w:p w14:paraId="725B669F">
      <w:pPr>
        <w:pStyle w:val="16"/>
        <w:numPr>
          <w:ilvl w:val="0"/>
          <w:numId w:val="1"/>
        </w:numPr>
        <w:spacing w:after="90" w:line="280" w:lineRule="auto"/>
      </w:pPr>
      <w:r>
        <w:rPr>
          <w:color w:val="222222"/>
          <w:sz w:val="21"/>
          <w:szCs w:val="21"/>
        </w:rPr>
        <w:t>Skip Meltano unless the team has spare engineering capacity and a specific need — Singer-protocol support, or a firm requirement to avoid vendor lock-in — that neither Lakeflow Connect nor Fivetran meets.</w:t>
      </w:r>
    </w:p>
    <w:p w14:paraId="264F94EA">
      <w:pPr>
        <w:spacing w:after="60"/>
      </w:pPr>
    </w:p>
    <w:tbl>
      <w:tblPr>
        <w:tblStyle w:val="9"/>
        <w:tblW w:w="5000" w:type="pct"/>
        <w:tblInd w:w="0" w:type="dxa"/>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E69A7F3">
        <w:tblPrEx>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5F7"/>
            <w:tcMar>
              <w:top w:w="160" w:type="dxa"/>
              <w:left w:w="200" w:type="dxa"/>
              <w:bottom w:w="160" w:type="dxa"/>
              <w:right w:w="200" w:type="dxa"/>
            </w:tcMar>
          </w:tcPr>
          <w:p w14:paraId="1160F782">
            <w:pPr>
              <w:spacing w:after="60"/>
            </w:pPr>
            <w:r>
              <w:rPr>
                <w:b/>
                <w:bCs/>
                <w:color w:val="1B2A4A"/>
                <w:sz w:val="20"/>
                <w:szCs w:val="20"/>
              </w:rPr>
              <w:t>Forward-looking note</w:t>
            </w:r>
          </w:p>
          <w:p w14:paraId="63587A39">
            <w:pPr>
              <w:spacing w:after="0" w:line="280" w:lineRule="auto"/>
            </w:pPr>
            <w:r>
              <w:rPr>
                <w:color w:val="222222"/>
                <w:sz w:val="20"/>
                <w:szCs w:val="20"/>
              </w:rPr>
              <w:t>Lakeflow Connect is also the ingestion path Databricks is explicitly building toward its agentic pipeline vision (Genie Code, agentic pipeline authoring), making it the more future-aligned bet for a team already moving in that direction.</w:t>
            </w:r>
          </w:p>
        </w:tc>
      </w:tr>
    </w:tbl>
    <w:p w14:paraId="18CC12DC">
      <w:r>
        <w:br w:type="page"/>
      </w:r>
    </w:p>
    <w:p w14:paraId="058ED917">
      <w:pPr>
        <w:pStyle w:val="2"/>
        <w:pBdr>
          <w:bottom w:val="single" w:color="D8DEE4" w:sz="4" w:space="6"/>
        </w:pBdr>
        <w:spacing w:before="480" w:after="200"/>
      </w:pPr>
      <w:r>
        <w:rPr>
          <w:b/>
          <w:bCs/>
          <w:color w:val="1B2A4A"/>
          <w:sz w:val="30"/>
          <w:szCs w:val="30"/>
        </w:rPr>
        <w:t>Section 4 — Databricks Component Strategy by Persona &amp; Reference Architecture</w:t>
      </w:r>
    </w:p>
    <w:p w14:paraId="7B7A277F">
      <w:pPr>
        <w:spacing w:after="220"/>
      </w:pPr>
      <w:r>
        <w:rPr>
          <w:i/>
          <w:iCs/>
          <w:color w:val="5B6B7A"/>
          <w:sz w:val="22"/>
          <w:szCs w:val="22"/>
        </w:rPr>
        <w:t>Extending the transformation, ingestion, and orchestration decisions in Sections 1–3 into a full service-selection map across data engineering, analytics, and ML/feature engineering — with best-fit rationale and limitations for each component.</w:t>
      </w:r>
    </w:p>
    <w:p w14:paraId="66569958">
      <w:pPr>
        <w:pStyle w:val="3"/>
        <w:spacing w:before="320" w:after="140"/>
      </w:pPr>
      <w:r>
        <w:rPr>
          <w:b/>
          <w:bCs/>
          <w:color w:val="3B5372"/>
          <w:sz w:val="24"/>
          <w:szCs w:val="24"/>
        </w:rPr>
        <w:t>4.1 Core Spine — Already Decided</w:t>
      </w:r>
    </w:p>
    <w:p w14:paraId="69DC351B">
      <w:pPr>
        <w:spacing w:after="160" w:line="300" w:lineRule="auto"/>
      </w:pPr>
      <w:r>
        <w:rPr>
          <w:b w:val="0"/>
          <w:bCs w:val="0"/>
          <w:i w:val="0"/>
          <w:iCs w:val="0"/>
          <w:color w:val="222222"/>
          <w:sz w:val="21"/>
          <w:szCs w:val="21"/>
        </w:rPr>
        <w:t>The following three decisions, established in Sections 1–3, form the backbone that every persona's tooling builds on top of:</w:t>
      </w:r>
    </w:p>
    <w:p w14:paraId="387F0202">
      <w:pPr>
        <w:pStyle w:val="16"/>
        <w:numPr>
          <w:ilvl w:val="0"/>
          <w:numId w:val="1"/>
        </w:numPr>
        <w:spacing w:after="90" w:line="280" w:lineRule="auto"/>
      </w:pPr>
      <w:r>
        <w:rPr>
          <w:b/>
          <w:bCs/>
          <w:color w:val="1B2A4A"/>
          <w:sz w:val="21"/>
          <w:szCs w:val="21"/>
        </w:rPr>
        <w:t xml:space="preserve">Ingestion: </w:t>
      </w:r>
      <w:r>
        <w:rPr>
          <w:color w:val="222222"/>
          <w:sz w:val="21"/>
          <w:szCs w:val="21"/>
        </w:rPr>
        <w:t>Lakeflow Connect as the primary path via native connectors, with Fivetran as a gap-filler for sources it does not yet cover.</w:t>
      </w:r>
    </w:p>
    <w:p w14:paraId="5C913013">
      <w:pPr>
        <w:pStyle w:val="16"/>
        <w:numPr>
          <w:ilvl w:val="0"/>
          <w:numId w:val="1"/>
        </w:numPr>
        <w:spacing w:after="90" w:line="280" w:lineRule="auto"/>
      </w:pPr>
      <w:r>
        <w:rPr>
          <w:b/>
          <w:bCs/>
          <w:color w:val="1B2A4A"/>
          <w:sz w:val="21"/>
          <w:szCs w:val="21"/>
        </w:rPr>
        <w:t xml:space="preserve">Transformation: </w:t>
      </w:r>
      <w:r>
        <w:rPr>
          <w:color w:val="222222"/>
          <w:sz w:val="21"/>
          <w:szCs w:val="21"/>
        </w:rPr>
        <w:t>Lakeflow Declarative Pipelines — also referred to as Spark Declarative Pipelines (SDP) — own bronze → silver; dbt owns silver → gold.</w:t>
      </w:r>
    </w:p>
    <w:p w14:paraId="69ED66BB">
      <w:pPr>
        <w:pStyle w:val="16"/>
        <w:numPr>
          <w:ilvl w:val="0"/>
          <w:numId w:val="1"/>
        </w:numPr>
        <w:spacing w:after="90" w:line="280" w:lineRule="auto"/>
      </w:pPr>
      <w:r>
        <w:rPr>
          <w:b/>
          <w:bCs/>
          <w:color w:val="1B2A4A"/>
          <w:sz w:val="21"/>
          <w:szCs w:val="21"/>
        </w:rPr>
        <w:t xml:space="preserve">Orchestration: </w:t>
      </w:r>
      <w:r>
        <w:rPr>
          <w:color w:val="222222"/>
          <w:sz w:val="21"/>
          <w:szCs w:val="21"/>
        </w:rPr>
        <w:t>Lakeflow Jobs as the single DAG spanning ingestion, SDP pipelines, dbt runs, and ML jobs, consolidating what would otherwise require a separate tool such as Airflow.</w:t>
      </w:r>
    </w:p>
    <w:p w14:paraId="0A4E7184">
      <w:pPr>
        <w:spacing w:after="160" w:line="300" w:lineRule="auto"/>
      </w:pPr>
      <w:r>
        <w:rPr>
          <w:b w:val="0"/>
          <w:bCs w:val="0"/>
          <w:i w:val="0"/>
          <w:iCs w:val="0"/>
          <w:color w:val="222222"/>
          <w:sz w:val="21"/>
          <w:szCs w:val="21"/>
        </w:rPr>
        <w:t>Sections 4.2 to 4.4 below extend this spine to show which additional Databricks components each persona uses on top of it, why each is the best-fit choice, and what limitation a team lead should actively manage rather than discover later.</w:t>
      </w:r>
    </w:p>
    <w:p w14:paraId="12EDC149">
      <w:pPr>
        <w:pStyle w:val="3"/>
        <w:spacing w:before="320" w:after="140"/>
      </w:pPr>
      <w:r>
        <w:rPr>
          <w:b/>
          <w:bCs/>
          <w:color w:val="3B5372"/>
          <w:sz w:val="24"/>
          <w:szCs w:val="24"/>
        </w:rPr>
        <w:t>4.2 Data Engineers</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100"/>
        <w:gridCol w:w="1800"/>
        <w:gridCol w:w="2880"/>
        <w:gridCol w:w="2580"/>
      </w:tblGrid>
      <w:tr w14:paraId="2607568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100" w:type="dxa"/>
            <w:shd w:val="clear" w:color="auto" w:fill="1B2A4A"/>
            <w:tcMar>
              <w:top w:w="100" w:type="dxa"/>
              <w:left w:w="120" w:type="dxa"/>
              <w:bottom w:w="100" w:type="dxa"/>
              <w:right w:w="120" w:type="dxa"/>
            </w:tcMar>
            <w:vAlign w:val="center"/>
          </w:tcPr>
          <w:p w14:paraId="34400148">
            <w:r>
              <w:rPr>
                <w:b/>
                <w:bCs/>
                <w:color w:val="FFFFFF"/>
                <w:sz w:val="18"/>
                <w:szCs w:val="18"/>
              </w:rPr>
              <w:t>Component</w:t>
            </w:r>
          </w:p>
        </w:tc>
        <w:tc>
          <w:tcPr>
            <w:tcW w:w="1800" w:type="dxa"/>
            <w:shd w:val="clear" w:color="auto" w:fill="1B2A4A"/>
            <w:tcMar>
              <w:top w:w="100" w:type="dxa"/>
              <w:left w:w="120" w:type="dxa"/>
              <w:bottom w:w="100" w:type="dxa"/>
              <w:right w:w="120" w:type="dxa"/>
            </w:tcMar>
            <w:vAlign w:val="center"/>
          </w:tcPr>
          <w:p w14:paraId="630E4225">
            <w:r>
              <w:rPr>
                <w:b/>
                <w:bCs/>
                <w:color w:val="FFFFFF"/>
                <w:sz w:val="18"/>
                <w:szCs w:val="18"/>
              </w:rPr>
              <w:t>Role</w:t>
            </w:r>
          </w:p>
        </w:tc>
        <w:tc>
          <w:tcPr>
            <w:tcW w:w="2880" w:type="dxa"/>
            <w:shd w:val="clear" w:color="auto" w:fill="1B2A4A"/>
            <w:tcMar>
              <w:top w:w="100" w:type="dxa"/>
              <w:left w:w="120" w:type="dxa"/>
              <w:bottom w:w="100" w:type="dxa"/>
              <w:right w:w="120" w:type="dxa"/>
            </w:tcMar>
            <w:vAlign w:val="center"/>
          </w:tcPr>
          <w:p w14:paraId="1AC0835F">
            <w:r>
              <w:rPr>
                <w:b/>
                <w:bCs/>
                <w:color w:val="FFFFFF"/>
                <w:sz w:val="18"/>
                <w:szCs w:val="18"/>
              </w:rPr>
              <w:t>Why It's the Best Fit</w:t>
            </w:r>
          </w:p>
        </w:tc>
        <w:tc>
          <w:tcPr>
            <w:tcW w:w="2580" w:type="dxa"/>
            <w:shd w:val="clear" w:color="auto" w:fill="1B2A4A"/>
            <w:tcMar>
              <w:top w:w="100" w:type="dxa"/>
              <w:left w:w="120" w:type="dxa"/>
              <w:bottom w:w="100" w:type="dxa"/>
              <w:right w:w="120" w:type="dxa"/>
            </w:tcMar>
            <w:vAlign w:val="center"/>
          </w:tcPr>
          <w:p w14:paraId="17F968A6">
            <w:r>
              <w:rPr>
                <w:b/>
                <w:bCs/>
                <w:color w:val="FFFFFF"/>
                <w:sz w:val="18"/>
                <w:szCs w:val="18"/>
              </w:rPr>
              <w:t>Limitation to Manage</w:t>
            </w:r>
          </w:p>
        </w:tc>
      </w:tr>
      <w:tr w14:paraId="539A2EDB">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08C54896">
            <w:pPr>
              <w:spacing w:line="260" w:lineRule="auto"/>
            </w:pPr>
            <w:r>
              <w:rPr>
                <w:b/>
                <w:bCs/>
                <w:color w:val="222222"/>
                <w:sz w:val="18"/>
                <w:szCs w:val="18"/>
              </w:rPr>
              <w:t>Lakeflow Declarative Pipelines (SDP)</w:t>
            </w:r>
          </w:p>
        </w:tc>
        <w:tc>
          <w:tcPr>
            <w:tcW w:w="1800" w:type="dxa"/>
            <w:shd w:val="clear" w:color="auto" w:fill="FFFFFF"/>
            <w:tcMar>
              <w:top w:w="90" w:type="dxa"/>
              <w:left w:w="120" w:type="dxa"/>
              <w:bottom w:w="90" w:type="dxa"/>
              <w:right w:w="120" w:type="dxa"/>
            </w:tcMar>
            <w:vAlign w:val="center"/>
          </w:tcPr>
          <w:p w14:paraId="09AE29A5">
            <w:pPr>
              <w:spacing w:line="260" w:lineRule="auto"/>
            </w:pPr>
            <w:r>
              <w:rPr>
                <w:b w:val="0"/>
                <w:bCs w:val="0"/>
                <w:color w:val="222222"/>
                <w:sz w:val="18"/>
                <w:szCs w:val="18"/>
              </w:rPr>
              <w:t>Primary transformation engine, bronze → silver</w:t>
            </w:r>
          </w:p>
        </w:tc>
        <w:tc>
          <w:tcPr>
            <w:tcW w:w="2880" w:type="dxa"/>
            <w:shd w:val="clear" w:color="auto" w:fill="FFFFFF"/>
            <w:tcMar>
              <w:top w:w="90" w:type="dxa"/>
              <w:left w:w="120" w:type="dxa"/>
              <w:bottom w:w="90" w:type="dxa"/>
              <w:right w:w="120" w:type="dxa"/>
            </w:tcMar>
            <w:vAlign w:val="center"/>
          </w:tcPr>
          <w:p w14:paraId="552B40D7">
            <w:pPr>
              <w:spacing w:line="260" w:lineRule="auto"/>
            </w:pPr>
            <w:r>
              <w:rPr>
                <w:b w:val="0"/>
                <w:bCs w:val="0"/>
                <w:color w:val="222222"/>
                <w:sz w:val="18"/>
                <w:szCs w:val="18"/>
              </w:rPr>
              <w:t>Automatic incremental processing and inline quality gates remove hand-written merge logic; unifies batch and streaming in one model</w:t>
            </w:r>
          </w:p>
        </w:tc>
        <w:tc>
          <w:tcPr>
            <w:tcW w:w="2580" w:type="dxa"/>
            <w:shd w:val="clear" w:color="auto" w:fill="FFFFFF"/>
            <w:tcMar>
              <w:top w:w="90" w:type="dxa"/>
              <w:left w:w="120" w:type="dxa"/>
              <w:bottom w:w="90" w:type="dxa"/>
              <w:right w:w="120" w:type="dxa"/>
            </w:tcMar>
            <w:vAlign w:val="center"/>
          </w:tcPr>
          <w:p w14:paraId="10292D59">
            <w:pPr>
              <w:spacing w:line="260" w:lineRule="auto"/>
            </w:pPr>
            <w:r>
              <w:rPr>
                <w:b w:val="0"/>
                <w:bCs w:val="0"/>
                <w:color w:val="222222"/>
                <w:sz w:val="18"/>
                <w:szCs w:val="18"/>
              </w:rPr>
              <w:t>Still maturing relative to dbt's testing/documentation ecosystem; less portable outside Databricks</w:t>
            </w:r>
          </w:p>
        </w:tc>
      </w:tr>
      <w:tr w14:paraId="6C7233E6">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2F5F7"/>
            <w:tcMar>
              <w:top w:w="90" w:type="dxa"/>
              <w:left w:w="120" w:type="dxa"/>
              <w:bottom w:w="90" w:type="dxa"/>
              <w:right w:w="120" w:type="dxa"/>
            </w:tcMar>
            <w:vAlign w:val="center"/>
          </w:tcPr>
          <w:p w14:paraId="076AA529">
            <w:pPr>
              <w:spacing w:line="260" w:lineRule="auto"/>
            </w:pPr>
            <w:r>
              <w:rPr>
                <w:b/>
                <w:bCs/>
                <w:color w:val="222222"/>
                <w:sz w:val="18"/>
                <w:szCs w:val="18"/>
              </w:rPr>
              <w:t>Lakeflow Jobs</w:t>
            </w:r>
          </w:p>
        </w:tc>
        <w:tc>
          <w:tcPr>
            <w:tcW w:w="1800" w:type="dxa"/>
            <w:shd w:val="clear" w:color="auto" w:fill="F2F5F7"/>
            <w:tcMar>
              <w:top w:w="90" w:type="dxa"/>
              <w:left w:w="120" w:type="dxa"/>
              <w:bottom w:w="90" w:type="dxa"/>
              <w:right w:w="120" w:type="dxa"/>
            </w:tcMar>
            <w:vAlign w:val="center"/>
          </w:tcPr>
          <w:p w14:paraId="0F76887D">
            <w:pPr>
              <w:spacing w:line="260" w:lineRule="auto"/>
            </w:pPr>
            <w:r>
              <w:rPr>
                <w:b w:val="0"/>
                <w:bCs w:val="0"/>
                <w:color w:val="222222"/>
                <w:sz w:val="18"/>
                <w:szCs w:val="18"/>
              </w:rPr>
              <w:t>Orchestration across the full pipeline</w:t>
            </w:r>
          </w:p>
        </w:tc>
        <w:tc>
          <w:tcPr>
            <w:tcW w:w="2880" w:type="dxa"/>
            <w:shd w:val="clear" w:color="auto" w:fill="F2F5F7"/>
            <w:tcMar>
              <w:top w:w="90" w:type="dxa"/>
              <w:left w:w="120" w:type="dxa"/>
              <w:bottom w:w="90" w:type="dxa"/>
              <w:right w:w="120" w:type="dxa"/>
            </w:tcMar>
            <w:vAlign w:val="center"/>
          </w:tcPr>
          <w:p w14:paraId="0AE48E11">
            <w:pPr>
              <w:spacing w:line="260" w:lineRule="auto"/>
            </w:pPr>
            <w:r>
              <w:rPr>
                <w:b w:val="0"/>
                <w:bCs w:val="0"/>
                <w:color w:val="222222"/>
                <w:sz w:val="18"/>
                <w:szCs w:val="18"/>
              </w:rPr>
              <w:t>Consolidates ingestion, SDP, dbt, and ML steps into one native DAG with retries and agent triggers</w:t>
            </w:r>
          </w:p>
        </w:tc>
        <w:tc>
          <w:tcPr>
            <w:tcW w:w="2580" w:type="dxa"/>
            <w:shd w:val="clear" w:color="auto" w:fill="F2F5F7"/>
            <w:tcMar>
              <w:top w:w="90" w:type="dxa"/>
              <w:left w:w="120" w:type="dxa"/>
              <w:bottom w:w="90" w:type="dxa"/>
              <w:right w:w="120" w:type="dxa"/>
            </w:tcMar>
            <w:vAlign w:val="center"/>
          </w:tcPr>
          <w:p w14:paraId="1E13D707">
            <w:pPr>
              <w:spacing w:line="260" w:lineRule="auto"/>
            </w:pPr>
            <w:r>
              <w:rPr>
                <w:b w:val="0"/>
                <w:bCs w:val="0"/>
                <w:color w:val="222222"/>
                <w:sz w:val="18"/>
                <w:szCs w:val="18"/>
              </w:rPr>
              <w:t>Databricks-locked; large multi-team DAG tooling is less battle-tested at extreme scale than Airflow</w:t>
            </w:r>
          </w:p>
        </w:tc>
      </w:tr>
      <w:tr w14:paraId="5EE391F8">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72D95E81">
            <w:pPr>
              <w:spacing w:line="260" w:lineRule="auto"/>
            </w:pPr>
            <w:r>
              <w:rPr>
                <w:b/>
                <w:bCs/>
                <w:color w:val="222222"/>
                <w:sz w:val="18"/>
                <w:szCs w:val="18"/>
              </w:rPr>
              <w:t>Genie Code</w:t>
            </w:r>
          </w:p>
        </w:tc>
        <w:tc>
          <w:tcPr>
            <w:tcW w:w="1800" w:type="dxa"/>
            <w:shd w:val="clear" w:color="auto" w:fill="FFFFFF"/>
            <w:tcMar>
              <w:top w:w="90" w:type="dxa"/>
              <w:left w:w="120" w:type="dxa"/>
              <w:bottom w:w="90" w:type="dxa"/>
              <w:right w:w="120" w:type="dxa"/>
            </w:tcMar>
            <w:vAlign w:val="center"/>
          </w:tcPr>
          <w:p w14:paraId="0A8064DF">
            <w:pPr>
              <w:spacing w:line="260" w:lineRule="auto"/>
            </w:pPr>
            <w:r>
              <w:rPr>
                <w:b w:val="0"/>
                <w:bCs w:val="0"/>
                <w:color w:val="222222"/>
                <w:sz w:val="18"/>
                <w:szCs w:val="18"/>
              </w:rPr>
              <w:t>AI-assisted pipeline and connector generation</w:t>
            </w:r>
          </w:p>
        </w:tc>
        <w:tc>
          <w:tcPr>
            <w:tcW w:w="2880" w:type="dxa"/>
            <w:shd w:val="clear" w:color="auto" w:fill="FFFFFF"/>
            <w:tcMar>
              <w:top w:w="90" w:type="dxa"/>
              <w:left w:w="120" w:type="dxa"/>
              <w:bottom w:w="90" w:type="dxa"/>
              <w:right w:w="120" w:type="dxa"/>
            </w:tcMar>
            <w:vAlign w:val="center"/>
          </w:tcPr>
          <w:p w14:paraId="6F3C3CFE">
            <w:pPr>
              <w:spacing w:line="260" w:lineRule="auto"/>
            </w:pPr>
            <w:r>
              <w:rPr>
                <w:b w:val="0"/>
                <w:bCs w:val="0"/>
                <w:color w:val="222222"/>
                <w:sz w:val="18"/>
                <w:szCs w:val="18"/>
              </w:rPr>
              <w:t>Full context across ingestion, transformation, and orchestration speeds up routine build work</w:t>
            </w:r>
          </w:p>
        </w:tc>
        <w:tc>
          <w:tcPr>
            <w:tcW w:w="2580" w:type="dxa"/>
            <w:shd w:val="clear" w:color="auto" w:fill="FFFFFF"/>
            <w:tcMar>
              <w:top w:w="90" w:type="dxa"/>
              <w:left w:w="120" w:type="dxa"/>
              <w:bottom w:w="90" w:type="dxa"/>
              <w:right w:w="120" w:type="dxa"/>
            </w:tcMar>
            <w:vAlign w:val="center"/>
          </w:tcPr>
          <w:p w14:paraId="59BA3B5D">
            <w:pPr>
              <w:spacing w:line="260" w:lineRule="auto"/>
            </w:pPr>
            <w:r>
              <w:rPr>
                <w:b w:val="0"/>
                <w:bCs w:val="0"/>
                <w:color w:val="222222"/>
                <w:sz w:val="18"/>
                <w:szCs w:val="18"/>
              </w:rPr>
              <w:t>Generated output still requires engineering review before production use</w:t>
            </w:r>
          </w:p>
        </w:tc>
      </w:tr>
      <w:tr w14:paraId="75BD2BB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2F5F7"/>
            <w:tcMar>
              <w:top w:w="90" w:type="dxa"/>
              <w:left w:w="120" w:type="dxa"/>
              <w:bottom w:w="90" w:type="dxa"/>
              <w:right w:w="120" w:type="dxa"/>
            </w:tcMar>
            <w:vAlign w:val="center"/>
          </w:tcPr>
          <w:p w14:paraId="425891DA">
            <w:pPr>
              <w:spacing w:line="260" w:lineRule="auto"/>
            </w:pPr>
            <w:r>
              <w:rPr>
                <w:b/>
                <w:bCs/>
                <w:color w:val="222222"/>
                <w:sz w:val="18"/>
                <w:szCs w:val="18"/>
              </w:rPr>
              <w:t>Unity Catalog</w:t>
            </w:r>
          </w:p>
        </w:tc>
        <w:tc>
          <w:tcPr>
            <w:tcW w:w="1800" w:type="dxa"/>
            <w:shd w:val="clear" w:color="auto" w:fill="F2F5F7"/>
            <w:tcMar>
              <w:top w:w="90" w:type="dxa"/>
              <w:left w:w="120" w:type="dxa"/>
              <w:bottom w:w="90" w:type="dxa"/>
              <w:right w:w="120" w:type="dxa"/>
            </w:tcMar>
            <w:vAlign w:val="center"/>
          </w:tcPr>
          <w:p w14:paraId="428D170F">
            <w:pPr>
              <w:spacing w:line="260" w:lineRule="auto"/>
            </w:pPr>
            <w:r>
              <w:rPr>
                <w:b w:val="0"/>
                <w:bCs w:val="0"/>
                <w:color w:val="222222"/>
                <w:sz w:val="18"/>
                <w:szCs w:val="18"/>
              </w:rPr>
              <w:t>Schema, permissions, and lineage management</w:t>
            </w:r>
          </w:p>
        </w:tc>
        <w:tc>
          <w:tcPr>
            <w:tcW w:w="2880" w:type="dxa"/>
            <w:shd w:val="clear" w:color="auto" w:fill="F2F5F7"/>
            <w:tcMar>
              <w:top w:w="90" w:type="dxa"/>
              <w:left w:w="120" w:type="dxa"/>
              <w:bottom w:w="90" w:type="dxa"/>
              <w:right w:w="120" w:type="dxa"/>
            </w:tcMar>
            <w:vAlign w:val="center"/>
          </w:tcPr>
          <w:p w14:paraId="59DC1350">
            <w:pPr>
              <w:spacing w:line="260" w:lineRule="auto"/>
            </w:pPr>
            <w:r>
              <w:rPr>
                <w:b w:val="0"/>
                <w:bCs w:val="0"/>
                <w:color w:val="222222"/>
                <w:sz w:val="18"/>
                <w:szCs w:val="18"/>
              </w:rPr>
              <w:t>Single governance layer shared across every other persona — no separate catalog to maintain</w:t>
            </w:r>
          </w:p>
        </w:tc>
        <w:tc>
          <w:tcPr>
            <w:tcW w:w="2580" w:type="dxa"/>
            <w:shd w:val="clear" w:color="auto" w:fill="F2F5F7"/>
            <w:tcMar>
              <w:top w:w="90" w:type="dxa"/>
              <w:left w:w="120" w:type="dxa"/>
              <w:bottom w:w="90" w:type="dxa"/>
              <w:right w:w="120" w:type="dxa"/>
            </w:tcMar>
            <w:vAlign w:val="center"/>
          </w:tcPr>
          <w:p w14:paraId="16AB65F9">
            <w:pPr>
              <w:spacing w:line="260" w:lineRule="auto"/>
            </w:pPr>
            <w:r>
              <w:rPr>
                <w:b w:val="0"/>
                <w:bCs w:val="0"/>
                <w:color w:val="222222"/>
                <w:sz w:val="18"/>
                <w:szCs w:val="18"/>
              </w:rPr>
              <w:t>Full value depends on disciplined metadata and access-policy upkeep</w:t>
            </w:r>
          </w:p>
        </w:tc>
      </w:tr>
    </w:tbl>
    <w:p w14:paraId="249374DE">
      <w:pPr>
        <w:pStyle w:val="3"/>
        <w:spacing w:before="320" w:after="140"/>
      </w:pPr>
      <w:r>
        <w:rPr>
          <w:b/>
          <w:bCs/>
          <w:color w:val="3B5372"/>
          <w:sz w:val="24"/>
          <w:szCs w:val="24"/>
        </w:rPr>
        <w:t>4.3 Data Analysts</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100"/>
        <w:gridCol w:w="1800"/>
        <w:gridCol w:w="2880"/>
        <w:gridCol w:w="2580"/>
      </w:tblGrid>
      <w:tr w14:paraId="665FA62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100" w:type="dxa"/>
            <w:shd w:val="clear" w:color="auto" w:fill="1B2A4A"/>
            <w:tcMar>
              <w:top w:w="100" w:type="dxa"/>
              <w:left w:w="120" w:type="dxa"/>
              <w:bottom w:w="100" w:type="dxa"/>
              <w:right w:w="120" w:type="dxa"/>
            </w:tcMar>
            <w:vAlign w:val="center"/>
          </w:tcPr>
          <w:p w14:paraId="60057E3D">
            <w:r>
              <w:rPr>
                <w:b/>
                <w:bCs/>
                <w:color w:val="FFFFFF"/>
                <w:sz w:val="18"/>
                <w:szCs w:val="18"/>
              </w:rPr>
              <w:t>Component</w:t>
            </w:r>
          </w:p>
        </w:tc>
        <w:tc>
          <w:tcPr>
            <w:tcW w:w="1800" w:type="dxa"/>
            <w:shd w:val="clear" w:color="auto" w:fill="1B2A4A"/>
            <w:tcMar>
              <w:top w:w="100" w:type="dxa"/>
              <w:left w:w="120" w:type="dxa"/>
              <w:bottom w:w="100" w:type="dxa"/>
              <w:right w:w="120" w:type="dxa"/>
            </w:tcMar>
            <w:vAlign w:val="center"/>
          </w:tcPr>
          <w:p w14:paraId="180CD271">
            <w:r>
              <w:rPr>
                <w:b/>
                <w:bCs/>
                <w:color w:val="FFFFFF"/>
                <w:sz w:val="18"/>
                <w:szCs w:val="18"/>
              </w:rPr>
              <w:t>Role</w:t>
            </w:r>
          </w:p>
        </w:tc>
        <w:tc>
          <w:tcPr>
            <w:tcW w:w="2880" w:type="dxa"/>
            <w:shd w:val="clear" w:color="auto" w:fill="1B2A4A"/>
            <w:tcMar>
              <w:top w:w="100" w:type="dxa"/>
              <w:left w:w="120" w:type="dxa"/>
              <w:bottom w:w="100" w:type="dxa"/>
              <w:right w:w="120" w:type="dxa"/>
            </w:tcMar>
            <w:vAlign w:val="center"/>
          </w:tcPr>
          <w:p w14:paraId="19B290CA">
            <w:r>
              <w:rPr>
                <w:b/>
                <w:bCs/>
                <w:color w:val="FFFFFF"/>
                <w:sz w:val="18"/>
                <w:szCs w:val="18"/>
              </w:rPr>
              <w:t>Why It's the Best Fit</w:t>
            </w:r>
          </w:p>
        </w:tc>
        <w:tc>
          <w:tcPr>
            <w:tcW w:w="2580" w:type="dxa"/>
            <w:shd w:val="clear" w:color="auto" w:fill="1B2A4A"/>
            <w:tcMar>
              <w:top w:w="100" w:type="dxa"/>
              <w:left w:w="120" w:type="dxa"/>
              <w:bottom w:w="100" w:type="dxa"/>
              <w:right w:w="120" w:type="dxa"/>
            </w:tcMar>
            <w:vAlign w:val="center"/>
          </w:tcPr>
          <w:p w14:paraId="7F77F896">
            <w:r>
              <w:rPr>
                <w:b/>
                <w:bCs/>
                <w:color w:val="FFFFFF"/>
                <w:sz w:val="18"/>
                <w:szCs w:val="18"/>
              </w:rPr>
              <w:t>Limitation to Manage</w:t>
            </w:r>
          </w:p>
        </w:tc>
      </w:tr>
      <w:tr w14:paraId="385D055A">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013A4E11">
            <w:pPr>
              <w:spacing w:line="260" w:lineRule="auto"/>
            </w:pPr>
            <w:r>
              <w:rPr>
                <w:b/>
                <w:bCs/>
                <w:color w:val="222222"/>
                <w:sz w:val="18"/>
                <w:szCs w:val="18"/>
              </w:rPr>
              <w:t>Databricks SQL (Serverless Warehouses)</w:t>
            </w:r>
          </w:p>
        </w:tc>
        <w:tc>
          <w:tcPr>
            <w:tcW w:w="1800" w:type="dxa"/>
            <w:shd w:val="clear" w:color="auto" w:fill="FFFFFF"/>
            <w:tcMar>
              <w:top w:w="90" w:type="dxa"/>
              <w:left w:w="120" w:type="dxa"/>
              <w:bottom w:w="90" w:type="dxa"/>
              <w:right w:w="120" w:type="dxa"/>
            </w:tcMar>
            <w:vAlign w:val="center"/>
          </w:tcPr>
          <w:p w14:paraId="6D0474FC">
            <w:pPr>
              <w:spacing w:line="260" w:lineRule="auto"/>
            </w:pPr>
            <w:r>
              <w:rPr>
                <w:b w:val="0"/>
                <w:bCs w:val="0"/>
                <w:color w:val="222222"/>
                <w:sz w:val="18"/>
                <w:szCs w:val="18"/>
              </w:rPr>
              <w:t>Primary query engine</w:t>
            </w:r>
          </w:p>
        </w:tc>
        <w:tc>
          <w:tcPr>
            <w:tcW w:w="2880" w:type="dxa"/>
            <w:shd w:val="clear" w:color="auto" w:fill="FFFFFF"/>
            <w:tcMar>
              <w:top w:w="90" w:type="dxa"/>
              <w:left w:w="120" w:type="dxa"/>
              <w:bottom w:w="90" w:type="dxa"/>
              <w:right w:w="120" w:type="dxa"/>
            </w:tcMar>
            <w:vAlign w:val="center"/>
          </w:tcPr>
          <w:p w14:paraId="0C6DCFE2">
            <w:pPr>
              <w:spacing w:line="260" w:lineRule="auto"/>
            </w:pPr>
            <w:r>
              <w:rPr>
                <w:b w:val="0"/>
                <w:bCs w:val="0"/>
                <w:color w:val="222222"/>
                <w:sz w:val="18"/>
                <w:szCs w:val="18"/>
              </w:rPr>
              <w:t>Elastic, pay-per-query, Photon-accelerated — no cluster management for analysts</w:t>
            </w:r>
          </w:p>
        </w:tc>
        <w:tc>
          <w:tcPr>
            <w:tcW w:w="2580" w:type="dxa"/>
            <w:shd w:val="clear" w:color="auto" w:fill="FFFFFF"/>
            <w:tcMar>
              <w:top w:w="90" w:type="dxa"/>
              <w:left w:w="120" w:type="dxa"/>
              <w:bottom w:w="90" w:type="dxa"/>
              <w:right w:w="120" w:type="dxa"/>
            </w:tcMar>
            <w:vAlign w:val="center"/>
          </w:tcPr>
          <w:p w14:paraId="0999A260">
            <w:pPr>
              <w:spacing w:line="260" w:lineRule="auto"/>
            </w:pPr>
            <w:r>
              <w:rPr>
                <w:b w:val="0"/>
                <w:bCs w:val="0"/>
                <w:color w:val="222222"/>
                <w:sz w:val="18"/>
                <w:szCs w:val="18"/>
              </w:rPr>
              <w:t>Still a less polished out-of-the-box BI experience for non-technical business users than a dedicated warehouse UX (see Section 2)</w:t>
            </w:r>
          </w:p>
        </w:tc>
      </w:tr>
      <w:tr w14:paraId="6624B707">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2F5F7"/>
            <w:tcMar>
              <w:top w:w="90" w:type="dxa"/>
              <w:left w:w="120" w:type="dxa"/>
              <w:bottom w:w="90" w:type="dxa"/>
              <w:right w:w="120" w:type="dxa"/>
            </w:tcMar>
            <w:vAlign w:val="center"/>
          </w:tcPr>
          <w:p w14:paraId="3B3B354D">
            <w:pPr>
              <w:spacing w:line="260" w:lineRule="auto"/>
            </w:pPr>
            <w:r>
              <w:rPr>
                <w:b/>
                <w:bCs/>
                <w:color w:val="222222"/>
                <w:sz w:val="18"/>
                <w:szCs w:val="18"/>
              </w:rPr>
              <w:t>Genie (NL-to-SQL)</w:t>
            </w:r>
          </w:p>
        </w:tc>
        <w:tc>
          <w:tcPr>
            <w:tcW w:w="1800" w:type="dxa"/>
            <w:shd w:val="clear" w:color="auto" w:fill="F2F5F7"/>
            <w:tcMar>
              <w:top w:w="90" w:type="dxa"/>
              <w:left w:w="120" w:type="dxa"/>
              <w:bottom w:w="90" w:type="dxa"/>
              <w:right w:w="120" w:type="dxa"/>
            </w:tcMar>
            <w:vAlign w:val="center"/>
          </w:tcPr>
          <w:p w14:paraId="26587EE3">
            <w:pPr>
              <w:spacing w:line="260" w:lineRule="auto"/>
            </w:pPr>
            <w:r>
              <w:rPr>
                <w:b w:val="0"/>
                <w:bCs w:val="0"/>
                <w:color w:val="222222"/>
                <w:sz w:val="18"/>
                <w:szCs w:val="18"/>
              </w:rPr>
              <w:t>Natural-language querying grounded in Genie Ontology</w:t>
            </w:r>
          </w:p>
        </w:tc>
        <w:tc>
          <w:tcPr>
            <w:tcW w:w="2880" w:type="dxa"/>
            <w:shd w:val="clear" w:color="auto" w:fill="F2F5F7"/>
            <w:tcMar>
              <w:top w:w="90" w:type="dxa"/>
              <w:left w:w="120" w:type="dxa"/>
              <w:bottom w:w="90" w:type="dxa"/>
              <w:right w:w="120" w:type="dxa"/>
            </w:tcMar>
            <w:vAlign w:val="center"/>
          </w:tcPr>
          <w:p w14:paraId="24AEF91C">
            <w:pPr>
              <w:spacing w:line="260" w:lineRule="auto"/>
            </w:pPr>
            <w:r>
              <w:rPr>
                <w:b w:val="0"/>
                <w:bCs w:val="0"/>
                <w:color w:val="222222"/>
                <w:sz w:val="18"/>
                <w:szCs w:val="18"/>
              </w:rPr>
              <w:t>Lets analysts query without writing SQL, backed by governed business definitions</w:t>
            </w:r>
          </w:p>
        </w:tc>
        <w:tc>
          <w:tcPr>
            <w:tcW w:w="2580" w:type="dxa"/>
            <w:shd w:val="clear" w:color="auto" w:fill="F2F5F7"/>
            <w:tcMar>
              <w:top w:w="90" w:type="dxa"/>
              <w:left w:w="120" w:type="dxa"/>
              <w:bottom w:w="90" w:type="dxa"/>
              <w:right w:w="120" w:type="dxa"/>
            </w:tcMar>
            <w:vAlign w:val="center"/>
          </w:tcPr>
          <w:p w14:paraId="61629A04">
            <w:pPr>
              <w:spacing w:line="260" w:lineRule="auto"/>
            </w:pPr>
            <w:r>
              <w:rPr>
                <w:b w:val="0"/>
                <w:bCs w:val="0"/>
                <w:color w:val="222222"/>
                <w:sz w:val="18"/>
                <w:szCs w:val="18"/>
              </w:rPr>
              <w:t>Accuracy is bounded by how well Unity Catalog Metrics and the Business Glossary are curated</w:t>
            </w:r>
          </w:p>
        </w:tc>
      </w:tr>
      <w:tr w14:paraId="77835D50">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5388E262">
            <w:pPr>
              <w:spacing w:line="260" w:lineRule="auto"/>
            </w:pPr>
            <w:r>
              <w:rPr>
                <w:b/>
                <w:bCs/>
                <w:color w:val="222222"/>
                <w:sz w:val="18"/>
                <w:szCs w:val="18"/>
              </w:rPr>
              <w:t>AI/BI Dashboards</w:t>
            </w:r>
          </w:p>
        </w:tc>
        <w:tc>
          <w:tcPr>
            <w:tcW w:w="1800" w:type="dxa"/>
            <w:shd w:val="clear" w:color="auto" w:fill="FFFFFF"/>
            <w:tcMar>
              <w:top w:w="90" w:type="dxa"/>
              <w:left w:w="120" w:type="dxa"/>
              <w:bottom w:w="90" w:type="dxa"/>
              <w:right w:w="120" w:type="dxa"/>
            </w:tcMar>
            <w:vAlign w:val="center"/>
          </w:tcPr>
          <w:p w14:paraId="3A5F078C">
            <w:pPr>
              <w:spacing w:line="260" w:lineRule="auto"/>
            </w:pPr>
            <w:r>
              <w:rPr>
                <w:b w:val="0"/>
                <w:bCs w:val="0"/>
                <w:color w:val="222222"/>
                <w:sz w:val="18"/>
                <w:szCs w:val="18"/>
              </w:rPr>
              <w:t>Native dashboarding</w:t>
            </w:r>
          </w:p>
        </w:tc>
        <w:tc>
          <w:tcPr>
            <w:tcW w:w="2880" w:type="dxa"/>
            <w:shd w:val="clear" w:color="auto" w:fill="FFFFFF"/>
            <w:tcMar>
              <w:top w:w="90" w:type="dxa"/>
              <w:left w:w="120" w:type="dxa"/>
              <w:bottom w:w="90" w:type="dxa"/>
              <w:right w:w="120" w:type="dxa"/>
            </w:tcMar>
            <w:vAlign w:val="center"/>
          </w:tcPr>
          <w:p w14:paraId="488EF470">
            <w:pPr>
              <w:spacing w:line="260" w:lineRule="auto"/>
            </w:pPr>
            <w:r>
              <w:rPr>
                <w:b w:val="0"/>
                <w:bCs w:val="0"/>
                <w:color w:val="222222"/>
                <w:sz w:val="18"/>
                <w:szCs w:val="18"/>
              </w:rPr>
              <w:t>No separate BI platform license required for standard reporting</w:t>
            </w:r>
          </w:p>
        </w:tc>
        <w:tc>
          <w:tcPr>
            <w:tcW w:w="2580" w:type="dxa"/>
            <w:shd w:val="clear" w:color="auto" w:fill="FFFFFF"/>
            <w:tcMar>
              <w:top w:w="90" w:type="dxa"/>
              <w:left w:w="120" w:type="dxa"/>
              <w:bottom w:w="90" w:type="dxa"/>
              <w:right w:w="120" w:type="dxa"/>
            </w:tcMar>
            <w:vAlign w:val="center"/>
          </w:tcPr>
          <w:p w14:paraId="362339A1">
            <w:pPr>
              <w:spacing w:line="260" w:lineRule="auto"/>
            </w:pPr>
            <w:r>
              <w:rPr>
                <w:b w:val="0"/>
                <w:bCs w:val="0"/>
                <w:color w:val="222222"/>
                <w:sz w:val="18"/>
                <w:szCs w:val="18"/>
              </w:rPr>
              <w:t>Third-party BI tool ecosystem/integrations are less mature than established players in some enterprise contexts</w:t>
            </w:r>
          </w:p>
        </w:tc>
      </w:tr>
      <w:tr w14:paraId="61ED1FF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2F5F7"/>
            <w:tcMar>
              <w:top w:w="90" w:type="dxa"/>
              <w:left w:w="120" w:type="dxa"/>
              <w:bottom w:w="90" w:type="dxa"/>
              <w:right w:w="120" w:type="dxa"/>
            </w:tcMar>
            <w:vAlign w:val="center"/>
          </w:tcPr>
          <w:p w14:paraId="1471EC8B">
            <w:pPr>
              <w:spacing w:line="260" w:lineRule="auto"/>
            </w:pPr>
            <w:r>
              <w:rPr>
                <w:b/>
                <w:bCs/>
                <w:color w:val="222222"/>
                <w:sz w:val="18"/>
                <w:szCs w:val="18"/>
              </w:rPr>
              <w:t>dbt Gold models</w:t>
            </w:r>
          </w:p>
        </w:tc>
        <w:tc>
          <w:tcPr>
            <w:tcW w:w="1800" w:type="dxa"/>
            <w:shd w:val="clear" w:color="auto" w:fill="F2F5F7"/>
            <w:tcMar>
              <w:top w:w="90" w:type="dxa"/>
              <w:left w:w="120" w:type="dxa"/>
              <w:bottom w:w="90" w:type="dxa"/>
              <w:right w:w="120" w:type="dxa"/>
            </w:tcMar>
            <w:vAlign w:val="center"/>
          </w:tcPr>
          <w:p w14:paraId="51878BBD">
            <w:pPr>
              <w:spacing w:line="260" w:lineRule="auto"/>
            </w:pPr>
            <w:r>
              <w:rPr>
                <w:b w:val="0"/>
                <w:bCs w:val="0"/>
                <w:color w:val="222222"/>
                <w:sz w:val="18"/>
                <w:szCs w:val="18"/>
              </w:rPr>
              <w:t>Analyst-owned marts and semantic layer</w:t>
            </w:r>
          </w:p>
        </w:tc>
        <w:tc>
          <w:tcPr>
            <w:tcW w:w="2880" w:type="dxa"/>
            <w:shd w:val="clear" w:color="auto" w:fill="F2F5F7"/>
            <w:tcMar>
              <w:top w:w="90" w:type="dxa"/>
              <w:left w:w="120" w:type="dxa"/>
              <w:bottom w:w="90" w:type="dxa"/>
              <w:right w:w="120" w:type="dxa"/>
            </w:tcMar>
            <w:vAlign w:val="center"/>
          </w:tcPr>
          <w:p w14:paraId="2907D96A">
            <w:pPr>
              <w:spacing w:line="260" w:lineRule="auto"/>
            </w:pPr>
            <w:r>
              <w:rPr>
                <w:b w:val="0"/>
                <w:bCs w:val="0"/>
                <w:color w:val="222222"/>
                <w:sz w:val="18"/>
                <w:szCs w:val="18"/>
              </w:rPr>
              <w:t>Testing, documentation, and lineage that analysts can own directly without engineering support</w:t>
            </w:r>
          </w:p>
        </w:tc>
        <w:tc>
          <w:tcPr>
            <w:tcW w:w="2580" w:type="dxa"/>
            <w:shd w:val="clear" w:color="auto" w:fill="F2F5F7"/>
            <w:tcMar>
              <w:top w:w="90" w:type="dxa"/>
              <w:left w:w="120" w:type="dxa"/>
              <w:bottom w:w="90" w:type="dxa"/>
              <w:right w:w="120" w:type="dxa"/>
            </w:tcMar>
            <w:vAlign w:val="center"/>
          </w:tcPr>
          <w:p w14:paraId="50AC949A">
            <w:pPr>
              <w:spacing w:line="260" w:lineRule="auto"/>
            </w:pPr>
            <w:r>
              <w:rPr>
                <w:b w:val="0"/>
                <w:bCs w:val="0"/>
                <w:color w:val="222222"/>
                <w:sz w:val="18"/>
                <w:szCs w:val="18"/>
              </w:rPr>
              <w:t>Adds the licensing layer discussed in Section 1 — intentionally scoped to gold only to contain cost</w:t>
            </w:r>
          </w:p>
        </w:tc>
      </w:tr>
    </w:tbl>
    <w:p w14:paraId="568B8CD4">
      <w:pPr>
        <w:pStyle w:val="3"/>
        <w:spacing w:before="320" w:after="140"/>
      </w:pPr>
      <w:r>
        <w:rPr>
          <w:b/>
          <w:bCs/>
          <w:color w:val="3B5372"/>
          <w:sz w:val="24"/>
          <w:szCs w:val="24"/>
        </w:rPr>
        <w:t>4.4 ML / Feature Engineers</w:t>
      </w:r>
    </w:p>
    <w:tbl>
      <w:tblPr>
        <w:tblStyle w:val="9"/>
        <w:tblW w:w="9360" w:type="dxa"/>
        <w:tblInd w:w="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2100"/>
        <w:gridCol w:w="1800"/>
        <w:gridCol w:w="2880"/>
        <w:gridCol w:w="2580"/>
      </w:tblGrid>
      <w:tr w14:paraId="107FE58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100" w:type="dxa"/>
            <w:shd w:val="clear" w:color="auto" w:fill="1B2A4A"/>
            <w:tcMar>
              <w:top w:w="100" w:type="dxa"/>
              <w:left w:w="120" w:type="dxa"/>
              <w:bottom w:w="100" w:type="dxa"/>
              <w:right w:w="120" w:type="dxa"/>
            </w:tcMar>
            <w:vAlign w:val="center"/>
          </w:tcPr>
          <w:p w14:paraId="2DAADD01">
            <w:r>
              <w:rPr>
                <w:b/>
                <w:bCs/>
                <w:color w:val="FFFFFF"/>
                <w:sz w:val="18"/>
                <w:szCs w:val="18"/>
              </w:rPr>
              <w:t>Component</w:t>
            </w:r>
          </w:p>
        </w:tc>
        <w:tc>
          <w:tcPr>
            <w:tcW w:w="1800" w:type="dxa"/>
            <w:shd w:val="clear" w:color="auto" w:fill="1B2A4A"/>
            <w:tcMar>
              <w:top w:w="100" w:type="dxa"/>
              <w:left w:w="120" w:type="dxa"/>
              <w:bottom w:w="100" w:type="dxa"/>
              <w:right w:w="120" w:type="dxa"/>
            </w:tcMar>
            <w:vAlign w:val="center"/>
          </w:tcPr>
          <w:p w14:paraId="5D16D960">
            <w:r>
              <w:rPr>
                <w:b/>
                <w:bCs/>
                <w:color w:val="FFFFFF"/>
                <w:sz w:val="18"/>
                <w:szCs w:val="18"/>
              </w:rPr>
              <w:t>Role</w:t>
            </w:r>
          </w:p>
        </w:tc>
        <w:tc>
          <w:tcPr>
            <w:tcW w:w="2880" w:type="dxa"/>
            <w:shd w:val="clear" w:color="auto" w:fill="1B2A4A"/>
            <w:tcMar>
              <w:top w:w="100" w:type="dxa"/>
              <w:left w:w="120" w:type="dxa"/>
              <w:bottom w:w="100" w:type="dxa"/>
              <w:right w:w="120" w:type="dxa"/>
            </w:tcMar>
            <w:vAlign w:val="center"/>
          </w:tcPr>
          <w:p w14:paraId="3839E2C5">
            <w:r>
              <w:rPr>
                <w:b/>
                <w:bCs/>
                <w:color w:val="FFFFFF"/>
                <w:sz w:val="18"/>
                <w:szCs w:val="18"/>
              </w:rPr>
              <w:t>Why It's the Best Fit</w:t>
            </w:r>
          </w:p>
        </w:tc>
        <w:tc>
          <w:tcPr>
            <w:tcW w:w="2580" w:type="dxa"/>
            <w:shd w:val="clear" w:color="auto" w:fill="1B2A4A"/>
            <w:tcMar>
              <w:top w:w="100" w:type="dxa"/>
              <w:left w:w="120" w:type="dxa"/>
              <w:bottom w:w="100" w:type="dxa"/>
              <w:right w:w="120" w:type="dxa"/>
            </w:tcMar>
            <w:vAlign w:val="center"/>
          </w:tcPr>
          <w:p w14:paraId="62E62443">
            <w:r>
              <w:rPr>
                <w:b/>
                <w:bCs/>
                <w:color w:val="FFFFFF"/>
                <w:sz w:val="18"/>
                <w:szCs w:val="18"/>
              </w:rPr>
              <w:t>Limitation to Manage</w:t>
            </w:r>
          </w:p>
        </w:tc>
      </w:tr>
      <w:tr w14:paraId="23A9784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59612479">
            <w:pPr>
              <w:spacing w:line="260" w:lineRule="auto"/>
            </w:pPr>
            <w:r>
              <w:rPr>
                <w:b/>
                <w:bCs/>
                <w:color w:val="222222"/>
                <w:sz w:val="18"/>
                <w:szCs w:val="18"/>
              </w:rPr>
              <w:t>Feature Store</w:t>
            </w:r>
          </w:p>
        </w:tc>
        <w:tc>
          <w:tcPr>
            <w:tcW w:w="1800" w:type="dxa"/>
            <w:shd w:val="clear" w:color="auto" w:fill="FFFFFF"/>
            <w:tcMar>
              <w:top w:w="90" w:type="dxa"/>
              <w:left w:w="120" w:type="dxa"/>
              <w:bottom w:w="90" w:type="dxa"/>
              <w:right w:w="120" w:type="dxa"/>
            </w:tcMar>
            <w:vAlign w:val="center"/>
          </w:tcPr>
          <w:p w14:paraId="74081886">
            <w:pPr>
              <w:spacing w:line="260" w:lineRule="auto"/>
            </w:pPr>
            <w:r>
              <w:rPr>
                <w:b w:val="0"/>
                <w:bCs w:val="0"/>
                <w:color w:val="222222"/>
                <w:sz w:val="18"/>
                <w:szCs w:val="18"/>
              </w:rPr>
              <w:t>Centralized, versioned feature management</w:t>
            </w:r>
          </w:p>
        </w:tc>
        <w:tc>
          <w:tcPr>
            <w:tcW w:w="2880" w:type="dxa"/>
            <w:shd w:val="clear" w:color="auto" w:fill="FFFFFF"/>
            <w:tcMar>
              <w:top w:w="90" w:type="dxa"/>
              <w:left w:w="120" w:type="dxa"/>
              <w:bottom w:w="90" w:type="dxa"/>
              <w:right w:w="120" w:type="dxa"/>
            </w:tcMar>
            <w:vAlign w:val="center"/>
          </w:tcPr>
          <w:p w14:paraId="06594EC9">
            <w:pPr>
              <w:spacing w:line="260" w:lineRule="auto"/>
            </w:pPr>
            <w:r>
              <w:rPr>
                <w:b w:val="0"/>
                <w:bCs w:val="0"/>
                <w:color w:val="222222"/>
                <w:sz w:val="18"/>
                <w:szCs w:val="18"/>
              </w:rPr>
              <w:t>Features become discoverable and reusable across models, with lineage tied back to Unity Catalog</w:t>
            </w:r>
          </w:p>
        </w:tc>
        <w:tc>
          <w:tcPr>
            <w:tcW w:w="2580" w:type="dxa"/>
            <w:shd w:val="clear" w:color="auto" w:fill="FFFFFF"/>
            <w:tcMar>
              <w:top w:w="90" w:type="dxa"/>
              <w:left w:w="120" w:type="dxa"/>
              <w:bottom w:w="90" w:type="dxa"/>
              <w:right w:w="120" w:type="dxa"/>
            </w:tcMar>
            <w:vAlign w:val="center"/>
          </w:tcPr>
          <w:p w14:paraId="73943BCC">
            <w:pPr>
              <w:spacing w:line="260" w:lineRule="auto"/>
            </w:pPr>
            <w:r>
              <w:rPr>
                <w:b w:val="0"/>
                <w:bCs w:val="0"/>
                <w:color w:val="222222"/>
                <w:sz w:val="18"/>
                <w:szCs w:val="18"/>
              </w:rPr>
              <w:t>Adds modeling overhead that isn't worth it for simple, one-off models</w:t>
            </w:r>
          </w:p>
        </w:tc>
      </w:tr>
      <w:tr w14:paraId="4F5AF9EE">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2F5F7"/>
            <w:tcMar>
              <w:top w:w="90" w:type="dxa"/>
              <w:left w:w="120" w:type="dxa"/>
              <w:bottom w:w="90" w:type="dxa"/>
              <w:right w:w="120" w:type="dxa"/>
            </w:tcMar>
            <w:vAlign w:val="center"/>
          </w:tcPr>
          <w:p w14:paraId="497C3D07">
            <w:pPr>
              <w:spacing w:line="260" w:lineRule="auto"/>
            </w:pPr>
            <w:r>
              <w:rPr>
                <w:b/>
                <w:bCs/>
                <w:color w:val="222222"/>
                <w:sz w:val="18"/>
                <w:szCs w:val="18"/>
              </w:rPr>
              <w:t>MLflow</w:t>
            </w:r>
          </w:p>
        </w:tc>
        <w:tc>
          <w:tcPr>
            <w:tcW w:w="1800" w:type="dxa"/>
            <w:shd w:val="clear" w:color="auto" w:fill="F2F5F7"/>
            <w:tcMar>
              <w:top w:w="90" w:type="dxa"/>
              <w:left w:w="120" w:type="dxa"/>
              <w:bottom w:w="90" w:type="dxa"/>
              <w:right w:w="120" w:type="dxa"/>
            </w:tcMar>
            <w:vAlign w:val="center"/>
          </w:tcPr>
          <w:p w14:paraId="784E0EDE">
            <w:pPr>
              <w:spacing w:line="260" w:lineRule="auto"/>
            </w:pPr>
            <w:r>
              <w:rPr>
                <w:b w:val="0"/>
                <w:bCs w:val="0"/>
                <w:color w:val="222222"/>
                <w:sz w:val="18"/>
                <w:szCs w:val="18"/>
              </w:rPr>
              <w:t>Experiment tracking and model registry</w:t>
            </w:r>
          </w:p>
        </w:tc>
        <w:tc>
          <w:tcPr>
            <w:tcW w:w="2880" w:type="dxa"/>
            <w:shd w:val="clear" w:color="auto" w:fill="F2F5F7"/>
            <w:tcMar>
              <w:top w:w="90" w:type="dxa"/>
              <w:left w:w="120" w:type="dxa"/>
              <w:bottom w:w="90" w:type="dxa"/>
              <w:right w:w="120" w:type="dxa"/>
            </w:tcMar>
            <w:vAlign w:val="center"/>
          </w:tcPr>
          <w:p w14:paraId="196AE473">
            <w:pPr>
              <w:spacing w:line="260" w:lineRule="auto"/>
            </w:pPr>
            <w:r>
              <w:rPr>
                <w:b w:val="0"/>
                <w:bCs w:val="0"/>
                <w:color w:val="222222"/>
                <w:sz w:val="18"/>
                <w:szCs w:val="18"/>
              </w:rPr>
              <w:t>Standard, widely adopted tracking and registry integrated natively into the platform</w:t>
            </w:r>
          </w:p>
        </w:tc>
        <w:tc>
          <w:tcPr>
            <w:tcW w:w="2580" w:type="dxa"/>
            <w:shd w:val="clear" w:color="auto" w:fill="F2F5F7"/>
            <w:tcMar>
              <w:top w:w="90" w:type="dxa"/>
              <w:left w:w="120" w:type="dxa"/>
              <w:bottom w:w="90" w:type="dxa"/>
              <w:right w:w="120" w:type="dxa"/>
            </w:tcMar>
            <w:vAlign w:val="center"/>
          </w:tcPr>
          <w:p w14:paraId="388F3933">
            <w:pPr>
              <w:spacing w:line="260" w:lineRule="auto"/>
            </w:pPr>
            <w:r>
              <w:rPr>
                <w:b w:val="0"/>
                <w:bCs w:val="0"/>
                <w:color w:val="222222"/>
                <w:sz w:val="18"/>
                <w:szCs w:val="18"/>
              </w:rPr>
              <w:t>Registry governance is less mature than some dedicated MLOps platforms at very large model-fleet scale</w:t>
            </w:r>
          </w:p>
        </w:tc>
      </w:tr>
      <w:tr w14:paraId="59659D30">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3B8082E6">
            <w:pPr>
              <w:spacing w:line="260" w:lineRule="auto"/>
            </w:pPr>
            <w:r>
              <w:rPr>
                <w:b/>
                <w:bCs/>
                <w:color w:val="222222"/>
                <w:sz w:val="18"/>
                <w:szCs w:val="18"/>
              </w:rPr>
              <w:t>Databricks Runtime for ML</w:t>
            </w:r>
          </w:p>
        </w:tc>
        <w:tc>
          <w:tcPr>
            <w:tcW w:w="1800" w:type="dxa"/>
            <w:shd w:val="clear" w:color="auto" w:fill="FFFFFF"/>
            <w:tcMar>
              <w:top w:w="90" w:type="dxa"/>
              <w:left w:w="120" w:type="dxa"/>
              <w:bottom w:w="90" w:type="dxa"/>
              <w:right w:w="120" w:type="dxa"/>
            </w:tcMar>
            <w:vAlign w:val="center"/>
          </w:tcPr>
          <w:p w14:paraId="35A7DC6F">
            <w:pPr>
              <w:spacing w:line="260" w:lineRule="auto"/>
            </w:pPr>
            <w:r>
              <w:rPr>
                <w:b w:val="0"/>
                <w:bCs w:val="0"/>
                <w:color w:val="222222"/>
                <w:sz w:val="18"/>
                <w:szCs w:val="18"/>
              </w:rPr>
              <w:t>Pre-built ML libraries and GPU support</w:t>
            </w:r>
          </w:p>
        </w:tc>
        <w:tc>
          <w:tcPr>
            <w:tcW w:w="2880" w:type="dxa"/>
            <w:shd w:val="clear" w:color="auto" w:fill="FFFFFF"/>
            <w:tcMar>
              <w:top w:w="90" w:type="dxa"/>
              <w:left w:w="120" w:type="dxa"/>
              <w:bottom w:w="90" w:type="dxa"/>
              <w:right w:w="120" w:type="dxa"/>
            </w:tcMar>
            <w:vAlign w:val="center"/>
          </w:tcPr>
          <w:p w14:paraId="05D62AEB">
            <w:pPr>
              <w:spacing w:line="260" w:lineRule="auto"/>
            </w:pPr>
            <w:r>
              <w:rPr>
                <w:b w:val="0"/>
                <w:bCs w:val="0"/>
                <w:color w:val="222222"/>
                <w:sz w:val="18"/>
                <w:szCs w:val="18"/>
              </w:rPr>
              <w:t>Removes environment-setup overhead for common ML frameworks</w:t>
            </w:r>
          </w:p>
        </w:tc>
        <w:tc>
          <w:tcPr>
            <w:tcW w:w="2580" w:type="dxa"/>
            <w:shd w:val="clear" w:color="auto" w:fill="FFFFFF"/>
            <w:tcMar>
              <w:top w:w="90" w:type="dxa"/>
              <w:left w:w="120" w:type="dxa"/>
              <w:bottom w:w="90" w:type="dxa"/>
              <w:right w:w="120" w:type="dxa"/>
            </w:tcMar>
            <w:vAlign w:val="center"/>
          </w:tcPr>
          <w:p w14:paraId="5AD70DDB">
            <w:pPr>
              <w:spacing w:line="260" w:lineRule="auto"/>
            </w:pPr>
            <w:r>
              <w:rPr>
                <w:b w:val="0"/>
                <w:bCs w:val="0"/>
                <w:color w:val="222222"/>
                <w:sz w:val="18"/>
                <w:szCs w:val="18"/>
              </w:rPr>
              <w:t>GPU compute is a real, easily under-managed cost line — ties directly to the cost/capacity gap flagged earlier in this document</w:t>
            </w:r>
          </w:p>
        </w:tc>
      </w:tr>
      <w:tr w14:paraId="50615844">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2F5F7"/>
            <w:tcMar>
              <w:top w:w="90" w:type="dxa"/>
              <w:left w:w="120" w:type="dxa"/>
              <w:bottom w:w="90" w:type="dxa"/>
              <w:right w:w="120" w:type="dxa"/>
            </w:tcMar>
            <w:vAlign w:val="center"/>
          </w:tcPr>
          <w:p w14:paraId="7186F7B9">
            <w:pPr>
              <w:spacing w:line="260" w:lineRule="auto"/>
            </w:pPr>
            <w:r>
              <w:rPr>
                <w:b/>
                <w:bCs/>
                <w:color w:val="222222"/>
                <w:sz w:val="18"/>
                <w:szCs w:val="18"/>
              </w:rPr>
              <w:t>AutoML</w:t>
            </w:r>
          </w:p>
        </w:tc>
        <w:tc>
          <w:tcPr>
            <w:tcW w:w="1800" w:type="dxa"/>
            <w:shd w:val="clear" w:color="auto" w:fill="F2F5F7"/>
            <w:tcMar>
              <w:top w:w="90" w:type="dxa"/>
              <w:left w:w="120" w:type="dxa"/>
              <w:bottom w:w="90" w:type="dxa"/>
              <w:right w:w="120" w:type="dxa"/>
            </w:tcMar>
            <w:vAlign w:val="center"/>
          </w:tcPr>
          <w:p w14:paraId="0EE0FB39">
            <w:pPr>
              <w:spacing w:line="260" w:lineRule="auto"/>
            </w:pPr>
            <w:r>
              <w:rPr>
                <w:b w:val="0"/>
                <w:bCs w:val="0"/>
                <w:color w:val="222222"/>
                <w:sz w:val="18"/>
                <w:szCs w:val="18"/>
              </w:rPr>
              <w:t>Rapid baseline models</w:t>
            </w:r>
          </w:p>
        </w:tc>
        <w:tc>
          <w:tcPr>
            <w:tcW w:w="2880" w:type="dxa"/>
            <w:shd w:val="clear" w:color="auto" w:fill="F2F5F7"/>
            <w:tcMar>
              <w:top w:w="90" w:type="dxa"/>
              <w:left w:w="120" w:type="dxa"/>
              <w:bottom w:w="90" w:type="dxa"/>
              <w:right w:w="120" w:type="dxa"/>
            </w:tcMar>
            <w:vAlign w:val="center"/>
          </w:tcPr>
          <w:p w14:paraId="15821701">
            <w:pPr>
              <w:spacing w:line="260" w:lineRule="auto"/>
            </w:pPr>
            <w:r>
              <w:rPr>
                <w:b w:val="0"/>
                <w:bCs w:val="0"/>
                <w:color w:val="222222"/>
                <w:sz w:val="18"/>
                <w:szCs w:val="18"/>
              </w:rPr>
              <w:t>Fast, glass-box baseline before investing in custom architectures</w:t>
            </w:r>
          </w:p>
        </w:tc>
        <w:tc>
          <w:tcPr>
            <w:tcW w:w="2580" w:type="dxa"/>
            <w:shd w:val="clear" w:color="auto" w:fill="F2F5F7"/>
            <w:tcMar>
              <w:top w:w="90" w:type="dxa"/>
              <w:left w:w="120" w:type="dxa"/>
              <w:bottom w:w="90" w:type="dxa"/>
              <w:right w:w="120" w:type="dxa"/>
            </w:tcMar>
            <w:vAlign w:val="center"/>
          </w:tcPr>
          <w:p w14:paraId="017C5910">
            <w:pPr>
              <w:spacing w:line="260" w:lineRule="auto"/>
            </w:pPr>
            <w:r>
              <w:rPr>
                <w:b w:val="0"/>
                <w:bCs w:val="0"/>
                <w:color w:val="222222"/>
                <w:sz w:val="18"/>
                <w:szCs w:val="18"/>
              </w:rPr>
              <w:t>Not a substitute for custom feature engineering or complex model architectures</w:t>
            </w:r>
          </w:p>
        </w:tc>
      </w:tr>
      <w:tr w14:paraId="482A66D8">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100" w:type="dxa"/>
            <w:shd w:val="clear" w:color="auto" w:fill="FFFFFF"/>
            <w:tcMar>
              <w:top w:w="90" w:type="dxa"/>
              <w:left w:w="120" w:type="dxa"/>
              <w:bottom w:w="90" w:type="dxa"/>
              <w:right w:w="120" w:type="dxa"/>
            </w:tcMar>
            <w:vAlign w:val="center"/>
          </w:tcPr>
          <w:p w14:paraId="768A5096">
            <w:pPr>
              <w:spacing w:line="260" w:lineRule="auto"/>
            </w:pPr>
            <w:r>
              <w:rPr>
                <w:b/>
                <w:bCs/>
                <w:color w:val="222222"/>
                <w:sz w:val="18"/>
                <w:szCs w:val="18"/>
              </w:rPr>
              <w:t>Model Serving</w:t>
            </w:r>
          </w:p>
        </w:tc>
        <w:tc>
          <w:tcPr>
            <w:tcW w:w="1800" w:type="dxa"/>
            <w:shd w:val="clear" w:color="auto" w:fill="FFFFFF"/>
            <w:tcMar>
              <w:top w:w="90" w:type="dxa"/>
              <w:left w:w="120" w:type="dxa"/>
              <w:bottom w:w="90" w:type="dxa"/>
              <w:right w:w="120" w:type="dxa"/>
            </w:tcMar>
            <w:vAlign w:val="center"/>
          </w:tcPr>
          <w:p w14:paraId="375A1B3C">
            <w:pPr>
              <w:spacing w:line="260" w:lineRule="auto"/>
            </w:pPr>
            <w:r>
              <w:rPr>
                <w:b w:val="0"/>
                <w:bCs w:val="0"/>
                <w:color w:val="222222"/>
                <w:sz w:val="18"/>
                <w:szCs w:val="18"/>
              </w:rPr>
              <w:t>Real-time and batch inference endpoints</w:t>
            </w:r>
          </w:p>
        </w:tc>
        <w:tc>
          <w:tcPr>
            <w:tcW w:w="2880" w:type="dxa"/>
            <w:shd w:val="clear" w:color="auto" w:fill="FFFFFF"/>
            <w:tcMar>
              <w:top w:w="90" w:type="dxa"/>
              <w:left w:w="120" w:type="dxa"/>
              <w:bottom w:w="90" w:type="dxa"/>
              <w:right w:w="120" w:type="dxa"/>
            </w:tcMar>
            <w:vAlign w:val="center"/>
          </w:tcPr>
          <w:p w14:paraId="641F9E7A">
            <w:pPr>
              <w:spacing w:line="260" w:lineRule="auto"/>
            </w:pPr>
            <w:r>
              <w:rPr>
                <w:b w:val="0"/>
                <w:bCs w:val="0"/>
                <w:color w:val="222222"/>
                <w:sz w:val="18"/>
                <w:szCs w:val="18"/>
              </w:rPr>
              <w:t>Managed serving without standing up separate infrastructure</w:t>
            </w:r>
          </w:p>
        </w:tc>
        <w:tc>
          <w:tcPr>
            <w:tcW w:w="2580" w:type="dxa"/>
            <w:shd w:val="clear" w:color="auto" w:fill="FFFFFF"/>
            <w:tcMar>
              <w:top w:w="90" w:type="dxa"/>
              <w:left w:w="120" w:type="dxa"/>
              <w:bottom w:w="90" w:type="dxa"/>
              <w:right w:w="120" w:type="dxa"/>
            </w:tcMar>
            <w:vAlign w:val="center"/>
          </w:tcPr>
          <w:p w14:paraId="13D92955">
            <w:pPr>
              <w:spacing w:line="260" w:lineRule="auto"/>
            </w:pPr>
            <w:r>
              <w:rPr>
                <w:b w:val="0"/>
                <w:bCs w:val="0"/>
                <w:color w:val="222222"/>
                <w:sz w:val="18"/>
                <w:szCs w:val="18"/>
              </w:rPr>
              <w:t>Cold-start latency on infrequently used endpoints, plus additional serving compute cost</w:t>
            </w:r>
          </w:p>
        </w:tc>
      </w:tr>
    </w:tbl>
    <w:p w14:paraId="16C582F8">
      <w:pPr>
        <w:pStyle w:val="3"/>
        <w:spacing w:before="320" w:after="140"/>
      </w:pPr>
      <w:r>
        <w:rPr>
          <w:b/>
          <w:bCs/>
          <w:color w:val="3B5372"/>
          <w:sz w:val="24"/>
          <w:szCs w:val="24"/>
        </w:rPr>
        <w:t>4.5 Cross-Cutting Governance &amp; Operations</w:t>
      </w:r>
    </w:p>
    <w:p w14:paraId="6E25F4E1">
      <w:pPr>
        <w:spacing w:after="160" w:line="300" w:lineRule="auto"/>
      </w:pPr>
      <w:r>
        <w:rPr>
          <w:b w:val="0"/>
          <w:bCs w:val="0"/>
          <w:i w:val="0"/>
          <w:iCs w:val="0"/>
          <w:color w:val="222222"/>
          <w:sz w:val="21"/>
          <w:szCs w:val="21"/>
        </w:rPr>
        <w:t>Three components sit underneath all three personas rather than belonging to any one of them:</w:t>
      </w:r>
    </w:p>
    <w:p w14:paraId="4BE5E2CB">
      <w:pPr>
        <w:pStyle w:val="16"/>
        <w:numPr>
          <w:ilvl w:val="0"/>
          <w:numId w:val="1"/>
        </w:numPr>
        <w:spacing w:after="90" w:line="280" w:lineRule="auto"/>
      </w:pPr>
      <w:r>
        <w:rPr>
          <w:b/>
          <w:bCs/>
          <w:color w:val="1B2A4A"/>
          <w:sz w:val="21"/>
          <w:szCs w:val="21"/>
        </w:rPr>
        <w:t xml:space="preserve">Unity Catalog: </w:t>
      </w:r>
      <w:r>
        <w:rPr>
          <w:color w:val="222222"/>
          <w:sz w:val="21"/>
          <w:szCs w:val="21"/>
        </w:rPr>
        <w:t>The universal governance layer — access control, lineage, and auditing — spanning ingestion through consumption for every persona.</w:t>
      </w:r>
    </w:p>
    <w:p w14:paraId="01BF981B">
      <w:pPr>
        <w:pStyle w:val="16"/>
        <w:numPr>
          <w:ilvl w:val="0"/>
          <w:numId w:val="1"/>
        </w:numPr>
        <w:spacing w:after="90" w:line="280" w:lineRule="auto"/>
      </w:pPr>
      <w:r>
        <w:rPr>
          <w:b/>
          <w:bCs/>
          <w:color w:val="1B2A4A"/>
          <w:sz w:val="21"/>
          <w:szCs w:val="21"/>
        </w:rPr>
        <w:t xml:space="preserve">Genie ZeroOps: </w:t>
      </w:r>
      <w:r>
        <w:rPr>
          <w:color w:val="222222"/>
          <w:sz w:val="21"/>
          <w:szCs w:val="21"/>
        </w:rPr>
        <w:t>Autonomous monitoring and root-cause analysis across pipelines, jobs, and models. Limitation: it proposes fixes but requires human approval before any production change, and it is a new (2026) capability — current rollout maturity should be verified before relying on it for critical paths.</w:t>
      </w:r>
    </w:p>
    <w:p w14:paraId="66B73E96">
      <w:pPr>
        <w:pStyle w:val="16"/>
        <w:numPr>
          <w:ilvl w:val="0"/>
          <w:numId w:val="1"/>
        </w:numPr>
        <w:spacing w:after="90" w:line="280" w:lineRule="auto"/>
      </w:pPr>
      <w:r>
        <w:rPr>
          <w:b/>
          <w:bCs/>
          <w:color w:val="1B2A4A"/>
          <w:sz w:val="21"/>
          <w:szCs w:val="21"/>
        </w:rPr>
        <w:t xml:space="preserve">Genie Ontology, Business Glossary, Domains, and Metrics: </w:t>
      </w:r>
      <w:r>
        <w:rPr>
          <w:color w:val="222222"/>
          <w:sz w:val="21"/>
          <w:szCs w:val="21"/>
        </w:rPr>
        <w:t>The shared semantic layer that feeds both Genie's analyst-facing NL-to-SQL accuracy and platform-wide governance.</w:t>
      </w:r>
    </w:p>
    <w:p w14:paraId="2ACAE07C">
      <w:pPr>
        <w:pStyle w:val="3"/>
        <w:spacing w:before="320" w:after="140"/>
      </w:pPr>
      <w:r>
        <w:rPr>
          <w:b/>
          <w:bCs/>
          <w:color w:val="3B5372"/>
          <w:sz w:val="24"/>
          <w:szCs w:val="24"/>
        </w:rPr>
        <w:t>4.6 Reference Architecture</w:t>
      </w:r>
    </w:p>
    <w:p w14:paraId="34AC9E67">
      <w:pPr>
        <w:spacing w:after="160" w:line="300" w:lineRule="auto"/>
      </w:pPr>
      <w:r>
        <w:rPr>
          <w:b w:val="0"/>
          <w:bCs w:val="0"/>
          <w:i w:val="0"/>
          <w:iCs w:val="0"/>
          <w:color w:val="222222"/>
          <w:sz w:val="21"/>
          <w:szCs w:val="21"/>
        </w:rPr>
        <w:t>The diagram below shows the end-to-end flow from source systems through ingestion, the bronze/silver/gold transformation layers, and out to each persona's tooling, with orchestration, governance, and monitoring as cross-cutting bands underneath. An editable version is provided as a separate .drawio file alongside this document, using the same component names and color coding, for direct import into diagrams.net.</w:t>
      </w:r>
    </w:p>
    <w:p w14:paraId="703EF90F">
      <w:pPr>
        <w:spacing w:before="160" w:after="160"/>
        <w:jc w:val="center"/>
      </w:pPr>
      <w:r>
        <w:drawing>
          <wp:inline distT="0" distB="0" distL="0" distR="0">
            <wp:extent cx="59055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2705100"/>
                    </a:xfrm>
                    <a:prstGeom prst="rect">
                      <a:avLst/>
                    </a:prstGeom>
                  </pic:spPr>
                </pic:pic>
              </a:graphicData>
            </a:graphic>
          </wp:inline>
        </w:drawing>
      </w:r>
    </w:p>
    <w:p w14:paraId="56B0367A">
      <w:pPr>
        <w:pStyle w:val="3"/>
        <w:spacing w:before="320" w:after="140"/>
      </w:pPr>
      <w:r>
        <w:rPr>
          <w:b/>
          <w:bCs/>
          <w:color w:val="3B5372"/>
          <w:sz w:val="24"/>
          <w:szCs w:val="24"/>
        </w:rPr>
        <w:t>4.7 Summary — Best-Fit Matrix</w:t>
      </w:r>
    </w:p>
    <w:tbl>
      <w:tblPr>
        <w:tblStyle w:val="9"/>
        <w:tblW w:w="9360" w:type="dxa"/>
        <w:tblInd w:w="-80" w:type="dxa"/>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Layout w:type="autofit"/>
        <w:tblCellMar>
          <w:top w:w="0" w:type="dxa"/>
          <w:left w:w="10" w:type="dxa"/>
          <w:bottom w:w="0" w:type="dxa"/>
          <w:right w:w="10" w:type="dxa"/>
        </w:tblCellMar>
      </w:tblPr>
      <w:tblGrid>
        <w:gridCol w:w="6324"/>
        <w:gridCol w:w="470"/>
        <w:gridCol w:w="1190"/>
        <w:gridCol w:w="1376"/>
      </w:tblGrid>
      <w:tr w14:paraId="72B127B5">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rPr>
          <w:tblHeader/>
        </w:trPr>
        <w:tc>
          <w:tcPr>
            <w:tcW w:w="2600" w:type="dxa"/>
            <w:gridSpan w:val="2"/>
            <w:shd w:val="clear" w:color="auto" w:fill="1B2A4A"/>
            <w:tcMar>
              <w:top w:w="100" w:type="dxa"/>
              <w:left w:w="120" w:type="dxa"/>
              <w:bottom w:w="100" w:type="dxa"/>
              <w:right w:w="120" w:type="dxa"/>
            </w:tcMar>
            <w:vAlign w:val="center"/>
          </w:tcPr>
          <w:p w14:paraId="0688F76F">
            <w:r>
              <w:rPr>
                <w:b/>
                <w:bCs/>
                <w:color w:val="FFFFFF"/>
                <w:sz w:val="18"/>
                <w:szCs w:val="18"/>
              </w:rPr>
              <w:t>Persona</w:t>
            </w:r>
          </w:p>
        </w:tc>
        <w:tc>
          <w:tcPr>
            <w:tcW w:w="4200" w:type="dxa"/>
            <w:shd w:val="clear" w:color="auto" w:fill="1B2A4A"/>
            <w:tcMar>
              <w:top w:w="100" w:type="dxa"/>
              <w:left w:w="120" w:type="dxa"/>
              <w:bottom w:w="100" w:type="dxa"/>
              <w:right w:w="120" w:type="dxa"/>
            </w:tcMar>
            <w:vAlign w:val="center"/>
          </w:tcPr>
          <w:p w14:paraId="0C5CDA13">
            <w:r>
              <w:rPr>
                <w:b/>
                <w:bCs/>
                <w:color w:val="FFFFFF"/>
                <w:sz w:val="18"/>
                <w:szCs w:val="18"/>
              </w:rPr>
              <w:t>Primary Databricks Components</w:t>
            </w:r>
          </w:p>
        </w:tc>
        <w:tc>
          <w:tcPr>
            <w:tcW w:w="2560" w:type="dxa"/>
            <w:shd w:val="clear" w:color="auto" w:fill="1B2A4A"/>
            <w:tcMar>
              <w:top w:w="100" w:type="dxa"/>
              <w:left w:w="120" w:type="dxa"/>
              <w:bottom w:w="100" w:type="dxa"/>
              <w:right w:w="120" w:type="dxa"/>
            </w:tcMar>
            <w:vAlign w:val="center"/>
          </w:tcPr>
          <w:p w14:paraId="7B9BFE18">
            <w:r>
              <w:rPr>
                <w:b/>
                <w:bCs/>
                <w:color w:val="FFFFFF"/>
                <w:sz w:val="18"/>
                <w:szCs w:val="18"/>
              </w:rPr>
              <w:t>Key Limitation to Manage</w:t>
            </w:r>
          </w:p>
        </w:tc>
      </w:tr>
      <w:tr w14:paraId="704C061D">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gridSpan w:val="2"/>
            <w:shd w:val="clear" w:color="auto" w:fill="FFFFFF"/>
            <w:tcMar>
              <w:top w:w="90" w:type="dxa"/>
              <w:left w:w="120" w:type="dxa"/>
              <w:bottom w:w="90" w:type="dxa"/>
              <w:right w:w="120" w:type="dxa"/>
            </w:tcMar>
            <w:vAlign w:val="center"/>
          </w:tcPr>
          <w:p w14:paraId="01F884F2">
            <w:pPr>
              <w:spacing w:line="260" w:lineRule="auto"/>
            </w:pPr>
            <w:r>
              <w:rPr>
                <w:b/>
                <w:bCs/>
                <w:color w:val="222222"/>
                <w:sz w:val="18"/>
                <w:szCs w:val="18"/>
              </w:rPr>
              <w:t>Data Engineers</w:t>
            </w:r>
          </w:p>
        </w:tc>
        <w:tc>
          <w:tcPr>
            <w:tcW w:w="4200" w:type="dxa"/>
            <w:shd w:val="clear" w:color="auto" w:fill="FFFFFF"/>
            <w:tcMar>
              <w:top w:w="90" w:type="dxa"/>
              <w:left w:w="120" w:type="dxa"/>
              <w:bottom w:w="90" w:type="dxa"/>
              <w:right w:w="120" w:type="dxa"/>
            </w:tcMar>
            <w:vAlign w:val="center"/>
          </w:tcPr>
          <w:p w14:paraId="6871B546">
            <w:pPr>
              <w:spacing w:line="260" w:lineRule="auto"/>
            </w:pPr>
            <w:r>
              <w:rPr>
                <w:b w:val="0"/>
                <w:bCs w:val="0"/>
                <w:color w:val="222222"/>
                <w:sz w:val="18"/>
                <w:szCs w:val="18"/>
              </w:rPr>
              <w:t>SDP, Lakeflow Jobs, Genie Code, Unity Catalog</w:t>
            </w:r>
          </w:p>
        </w:tc>
        <w:tc>
          <w:tcPr>
            <w:tcW w:w="2560" w:type="dxa"/>
            <w:shd w:val="clear" w:color="auto" w:fill="FFFFFF"/>
            <w:tcMar>
              <w:top w:w="90" w:type="dxa"/>
              <w:left w:w="120" w:type="dxa"/>
              <w:bottom w:w="90" w:type="dxa"/>
              <w:right w:w="120" w:type="dxa"/>
            </w:tcMar>
            <w:vAlign w:val="center"/>
          </w:tcPr>
          <w:p w14:paraId="72B024CD">
            <w:pPr>
              <w:spacing w:line="260" w:lineRule="auto"/>
            </w:pPr>
            <w:r>
              <w:rPr>
                <w:b w:val="0"/>
                <w:bCs w:val="0"/>
                <w:color w:val="222222"/>
                <w:sz w:val="18"/>
                <w:szCs w:val="18"/>
              </w:rPr>
              <w:t>Databricks-native lock-in; portability tradeoff</w:t>
            </w:r>
          </w:p>
        </w:tc>
      </w:tr>
      <w:tr w14:paraId="0188CBB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gridSpan w:val="2"/>
            <w:shd w:val="clear" w:color="auto" w:fill="F2F5F7"/>
            <w:tcMar>
              <w:top w:w="90" w:type="dxa"/>
              <w:left w:w="120" w:type="dxa"/>
              <w:bottom w:w="90" w:type="dxa"/>
              <w:right w:w="120" w:type="dxa"/>
            </w:tcMar>
            <w:vAlign w:val="center"/>
          </w:tcPr>
          <w:p w14:paraId="50E02D90">
            <w:pPr>
              <w:spacing w:line="260" w:lineRule="auto"/>
            </w:pPr>
            <w:r>
              <w:rPr>
                <w:b/>
                <w:bCs/>
                <w:color w:val="222222"/>
                <w:sz w:val="18"/>
                <w:szCs w:val="18"/>
              </w:rPr>
              <w:t>Data Analysts</w:t>
            </w:r>
          </w:p>
        </w:tc>
        <w:tc>
          <w:tcPr>
            <w:tcW w:w="4200" w:type="dxa"/>
            <w:shd w:val="clear" w:color="auto" w:fill="F2F5F7"/>
            <w:tcMar>
              <w:top w:w="90" w:type="dxa"/>
              <w:left w:w="120" w:type="dxa"/>
              <w:bottom w:w="90" w:type="dxa"/>
              <w:right w:w="120" w:type="dxa"/>
            </w:tcMar>
            <w:vAlign w:val="center"/>
          </w:tcPr>
          <w:p w14:paraId="53EE4EA3">
            <w:pPr>
              <w:spacing w:line="260" w:lineRule="auto"/>
            </w:pPr>
            <w:r>
              <w:rPr>
                <w:b w:val="0"/>
                <w:bCs w:val="0"/>
                <w:color w:val="222222"/>
                <w:sz w:val="18"/>
                <w:szCs w:val="18"/>
              </w:rPr>
              <w:t>Databricks SQL, Genie, AI/BI Dashboards, dbt (gold)</w:t>
            </w:r>
          </w:p>
        </w:tc>
        <w:tc>
          <w:tcPr>
            <w:tcW w:w="2560" w:type="dxa"/>
            <w:shd w:val="clear" w:color="auto" w:fill="F2F5F7"/>
            <w:tcMar>
              <w:top w:w="90" w:type="dxa"/>
              <w:left w:w="120" w:type="dxa"/>
              <w:bottom w:w="90" w:type="dxa"/>
              <w:right w:w="120" w:type="dxa"/>
            </w:tcMar>
            <w:vAlign w:val="center"/>
          </w:tcPr>
          <w:p w14:paraId="4A1222F8">
            <w:pPr>
              <w:spacing w:line="260" w:lineRule="auto"/>
            </w:pPr>
            <w:r>
              <w:rPr>
                <w:b w:val="0"/>
                <w:bCs w:val="0"/>
                <w:color w:val="222222"/>
                <w:sz w:val="18"/>
                <w:szCs w:val="18"/>
              </w:rPr>
              <w:t>NL-to-SQL accuracy bounded by glossary/metric curation</w:t>
            </w:r>
          </w:p>
        </w:tc>
      </w:tr>
      <w:tr w14:paraId="184C1AF9">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gridSpan w:val="2"/>
            <w:shd w:val="clear" w:color="auto" w:fill="FFFFFF"/>
            <w:tcMar>
              <w:top w:w="90" w:type="dxa"/>
              <w:left w:w="120" w:type="dxa"/>
              <w:bottom w:w="90" w:type="dxa"/>
              <w:right w:w="120" w:type="dxa"/>
            </w:tcMar>
            <w:vAlign w:val="center"/>
          </w:tcPr>
          <w:p w14:paraId="29ED5EB2">
            <w:pPr>
              <w:spacing w:line="260" w:lineRule="auto"/>
            </w:pPr>
            <w:r>
              <w:rPr>
                <w:b/>
                <w:bCs/>
                <w:color w:val="222222"/>
                <w:sz w:val="18"/>
                <w:szCs w:val="18"/>
              </w:rPr>
              <w:t>ML / Feature Engineers</w:t>
            </w:r>
          </w:p>
        </w:tc>
        <w:tc>
          <w:tcPr>
            <w:tcW w:w="4200" w:type="dxa"/>
            <w:shd w:val="clear" w:color="auto" w:fill="FFFFFF"/>
            <w:tcMar>
              <w:top w:w="90" w:type="dxa"/>
              <w:left w:w="120" w:type="dxa"/>
              <w:bottom w:w="90" w:type="dxa"/>
              <w:right w:w="120" w:type="dxa"/>
            </w:tcMar>
            <w:vAlign w:val="center"/>
          </w:tcPr>
          <w:p w14:paraId="1133B761">
            <w:pPr>
              <w:spacing w:line="260" w:lineRule="auto"/>
            </w:pPr>
            <w:r>
              <w:rPr>
                <w:b w:val="0"/>
                <w:bCs w:val="0"/>
                <w:color w:val="222222"/>
                <w:sz w:val="18"/>
                <w:szCs w:val="18"/>
              </w:rPr>
              <w:t>Feature Store, MLflow, Runtime for ML, AutoML, Model Serving</w:t>
            </w:r>
          </w:p>
        </w:tc>
        <w:tc>
          <w:tcPr>
            <w:tcW w:w="2560" w:type="dxa"/>
            <w:shd w:val="clear" w:color="auto" w:fill="FFFFFF"/>
            <w:tcMar>
              <w:top w:w="90" w:type="dxa"/>
              <w:left w:w="120" w:type="dxa"/>
              <w:bottom w:w="90" w:type="dxa"/>
              <w:right w:w="120" w:type="dxa"/>
            </w:tcMar>
            <w:vAlign w:val="center"/>
          </w:tcPr>
          <w:p w14:paraId="120F6808">
            <w:pPr>
              <w:spacing w:line="260" w:lineRule="auto"/>
            </w:pPr>
            <w:r>
              <w:rPr>
                <w:b w:val="0"/>
                <w:bCs w:val="0"/>
                <w:color w:val="222222"/>
                <w:sz w:val="18"/>
                <w:szCs w:val="18"/>
              </w:rPr>
              <w:t>GPU compute cost and serving latency need active management</w:t>
            </w:r>
          </w:p>
        </w:tc>
      </w:tr>
      <w:tr w14:paraId="5EDE6CD8">
        <w:tblPrEx>
          <w:tblBorders>
            <w:top w:val="single" w:color="D8DEE4" w:sz="4" w:space="0"/>
            <w:left w:val="single" w:color="D8DEE4" w:sz="4" w:space="0"/>
            <w:bottom w:val="single" w:color="D8DEE4" w:sz="4" w:space="0"/>
            <w:right w:val="single" w:color="D8DEE4" w:sz="4" w:space="0"/>
            <w:insideH w:val="single" w:color="D8DEE4" w:sz="2" w:space="0"/>
            <w:insideV w:val="single" w:color="D8DEE4" w:sz="2" w:space="0"/>
          </w:tblBorders>
          <w:tblCellMar>
            <w:top w:w="0" w:type="dxa"/>
            <w:left w:w="10" w:type="dxa"/>
            <w:bottom w:w="0" w:type="dxa"/>
            <w:right w:w="10" w:type="dxa"/>
          </w:tblCellMar>
        </w:tblPrEx>
        <w:tc>
          <w:tcPr>
            <w:tcW w:w="2600" w:type="dxa"/>
            <w:gridSpan w:val="2"/>
            <w:shd w:val="clear" w:color="auto" w:fill="F2F5F7"/>
            <w:tcMar>
              <w:top w:w="90" w:type="dxa"/>
              <w:left w:w="120" w:type="dxa"/>
              <w:bottom w:w="90" w:type="dxa"/>
              <w:right w:w="120" w:type="dxa"/>
            </w:tcMar>
            <w:vAlign w:val="center"/>
          </w:tcPr>
          <w:p w14:paraId="11D03554">
            <w:pPr>
              <w:spacing w:line="260" w:lineRule="auto"/>
            </w:pPr>
            <w:r>
              <w:rPr>
                <w:b/>
                <w:bCs/>
                <w:color w:val="222222"/>
                <w:sz w:val="18"/>
                <w:szCs w:val="18"/>
              </w:rPr>
              <w:t>Cross-cutting (all personas)</w:t>
            </w:r>
          </w:p>
        </w:tc>
        <w:tc>
          <w:tcPr>
            <w:tcW w:w="4200" w:type="dxa"/>
            <w:shd w:val="clear" w:color="auto" w:fill="F2F5F7"/>
            <w:tcMar>
              <w:top w:w="90" w:type="dxa"/>
              <w:left w:w="120" w:type="dxa"/>
              <w:bottom w:w="90" w:type="dxa"/>
              <w:right w:w="120" w:type="dxa"/>
            </w:tcMar>
            <w:vAlign w:val="center"/>
          </w:tcPr>
          <w:p w14:paraId="45944D38">
            <w:pPr>
              <w:spacing w:line="260" w:lineRule="auto"/>
            </w:pPr>
            <w:r>
              <w:rPr>
                <w:b w:val="0"/>
                <w:bCs w:val="0"/>
                <w:color w:val="222222"/>
                <w:sz w:val="18"/>
                <w:szCs w:val="18"/>
              </w:rPr>
              <w:t>Unity Catalog, Genie ZeroOps, Genie Ontology</w:t>
            </w:r>
          </w:p>
        </w:tc>
        <w:tc>
          <w:tcPr>
            <w:tcW w:w="2560" w:type="dxa"/>
            <w:shd w:val="clear" w:color="auto" w:fill="F2F5F7"/>
            <w:tcMar>
              <w:top w:w="90" w:type="dxa"/>
              <w:left w:w="120" w:type="dxa"/>
              <w:bottom w:w="90" w:type="dxa"/>
              <w:right w:w="120" w:type="dxa"/>
            </w:tcMar>
            <w:vAlign w:val="center"/>
          </w:tcPr>
          <w:p w14:paraId="7D14B5D1">
            <w:pPr>
              <w:spacing w:line="260" w:lineRule="auto"/>
            </w:pPr>
            <w:r>
              <w:rPr>
                <w:b w:val="0"/>
                <w:bCs w:val="0"/>
                <w:color w:val="222222"/>
                <w:sz w:val="18"/>
                <w:szCs w:val="18"/>
              </w:rPr>
              <w:t>New (2026) capabilities — verify maturity before critical-path reliance</w:t>
            </w:r>
          </w:p>
        </w:tc>
      </w:tr>
      <w:tr w14:paraId="2B35CAA3">
        <w:tblPrEx>
          <w:tblBorders>
            <w:top w:val="single" w:color="D8DEE4" w:sz="4" w:space="0"/>
            <w:left w:val="single" w:color="D8DEE4" w:sz="4" w:space="0"/>
            <w:bottom w:val="single" w:color="D8DEE4" w:sz="4" w:space="0"/>
            <w:right w:val="single" w:color="D8DEE4" w:sz="4" w:space="0"/>
            <w:insideH w:val="none" w:color="FFFFFF" w:sz="0" w:space="0"/>
            <w:insideV w:val="none" w:color="FFFFFF" w:sz="0" w:space="0"/>
          </w:tblBorders>
          <w:tblCellMar>
            <w:top w:w="0" w:type="dxa"/>
            <w:left w:w="10" w:type="dxa"/>
            <w:bottom w:w="0" w:type="dxa"/>
            <w:right w:w="10" w:type="dxa"/>
          </w:tblCellMar>
        </w:tblPrEx>
        <w:trPr>
          <w:gridAfter w:val="3"/>
        </w:trPr>
        <w:tc>
          <w:tcPr>
            <w:tcW w:w="5000" w:type="pct"/>
            <w:shd w:val="clear" w:color="auto" w:fill="F2F5F7"/>
            <w:tcMar>
              <w:top w:w="160" w:type="dxa"/>
              <w:left w:w="200" w:type="dxa"/>
              <w:bottom w:w="160" w:type="dxa"/>
              <w:right w:w="200" w:type="dxa"/>
            </w:tcMar>
          </w:tcPr>
          <w:p w14:paraId="37CA6A29">
            <w:pPr>
              <w:spacing w:after="60"/>
            </w:pPr>
            <w:r>
              <w:rPr>
                <w:b/>
                <w:bCs/>
                <w:color w:val="1B2A4A"/>
                <w:sz w:val="20"/>
                <w:szCs w:val="20"/>
              </w:rPr>
              <w:t>Architect's note</w:t>
            </w:r>
          </w:p>
          <w:p w14:paraId="1DA4F490">
            <w:pPr>
              <w:spacing w:after="0" w:line="280" w:lineRule="auto"/>
            </w:pPr>
            <w:r>
              <w:rPr>
                <w:color w:val="222222"/>
                <w:sz w:val="20"/>
                <w:szCs w:val="20"/>
              </w:rPr>
              <w:t>None of these component choices are permanent. They reflect the platform's current (mid-2026) maturity — Databricks is actively closing gaps in native BI polish, GPU cost tooling, and cross-pipeline orchestration at scale. Revisit this matrix on the same 6–12 month cadence set in Section 1.9.</w:t>
            </w:r>
          </w:p>
        </w:tc>
      </w:tr>
    </w:tbl>
    <w:p w14:paraId="6CDE9659">
      <w:bookmarkStart w:id="0" w:name="_GoBack"/>
      <w:bookmarkEnd w:id="0"/>
    </w:p>
    <w:sectPr>
      <w:headerReference r:id="rId3" w:type="default"/>
      <w:footerReference r:id="rId4" w:type="default"/>
      <w:pgSz w:w="12240" w:h="15840"/>
      <w:pgMar w:top="1000" w:right="1440" w:bottom="10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54D52">
    <w:pPr>
      <w:jc w:val="center"/>
    </w:pPr>
    <w:r>
      <w:rPr>
        <w:color w:val="5B6B7A"/>
        <w:sz w:val="16"/>
        <w:szCs w:val="16"/>
      </w:rPr>
      <w:t xml:space="preserve">Internal — Architecture Review   |   Page </w:t>
    </w:r>
    <w:r>
      <w:rPr>
        <w:color w:val="5B6B7A"/>
        <w:sz w:val="16"/>
        <w:szCs w:val="16"/>
      </w:rPr>
      <w:fldChar w:fldCharType="begin"/>
    </w:r>
    <w:r>
      <w:rPr>
        <w:color w:val="5B6B7A"/>
        <w:sz w:val="16"/>
        <w:szCs w:val="16"/>
      </w:rPr>
      <w:instrText xml:space="preserve">PAGE</w:instrText>
    </w:r>
    <w:r>
      <w:rPr>
        <w:color w:val="5B6B7A"/>
        <w:sz w:val="16"/>
        <w:szCs w:val="16"/>
      </w:rPr>
      <w:fldChar w:fldCharType="separate"/>
    </w:r>
    <w:r>
      <w:rPr>
        <w:color w:val="5B6B7A"/>
        <w:sz w:val="16"/>
        <w:szCs w:val="16"/>
      </w:rPr>
      <w:fldChar w:fldCharType="end"/>
    </w:r>
    <w:r>
      <w:rPr>
        <w:color w:val="5B6B7A"/>
        <w:sz w:val="16"/>
        <w:szCs w:val="16"/>
      </w:rPr>
      <w:t xml:space="preserve"> of </w:t>
    </w:r>
    <w:r>
      <w:rPr>
        <w:color w:val="5B6B7A"/>
        <w:sz w:val="16"/>
        <w:szCs w:val="16"/>
      </w:rPr>
      <w:fldChar w:fldCharType="begin"/>
    </w:r>
    <w:r>
      <w:rPr>
        <w:color w:val="5B6B7A"/>
        <w:sz w:val="16"/>
        <w:szCs w:val="16"/>
      </w:rPr>
      <w:instrText xml:space="preserve">NUMPAGES</w:instrText>
    </w:r>
    <w:r>
      <w:rPr>
        <w:color w:val="5B6B7A"/>
        <w:sz w:val="16"/>
        <w:szCs w:val="16"/>
      </w:rPr>
      <w:fldChar w:fldCharType="separate"/>
    </w:r>
    <w:r>
      <w:rPr>
        <w:color w:val="5B6B7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B9F30">
    <w:pPr>
      <w:pBdr>
        <w:bottom w:val="single" w:color="D8DEE4" w:sz="4" w:space="4"/>
      </w:pBdr>
      <w:spacing w:after="0"/>
      <w:jc w:val="right"/>
    </w:pPr>
    <w:r>
      <w:rPr>
        <w:color w:val="5B6B7A"/>
        <w:sz w:val="16"/>
        <w:szCs w:val="16"/>
      </w:rPr>
      <w:t>Data Platform Architecture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DFCD01"/>
    <w:multiLevelType w:val="multilevel"/>
    <w:tmpl w:val="E4DFCD01"/>
    <w:lvl w:ilvl="0" w:tentative="0">
      <w:start w:val="1"/>
      <w:numFmt w:val="bullet"/>
      <w:lvlText w:val="—"/>
      <w:lvlJc w:val="left"/>
      <w:pPr>
        <w:ind w:left="360" w:hanging="288"/>
      </w:pPr>
    </w:lvl>
    <w:lvl w:ilvl="1" w:tentative="0">
      <w:start w:val="1"/>
      <w:numFmt w:val="bullet"/>
      <w:lvlText w:val="◦"/>
      <w:lvlJc w:val="left"/>
      <w:pPr>
        <w:ind w:left="792"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compat>
    <w:compatSetting w:name="compatibilityMode" w:uri="http://schemas.microsoft.com/office/word" w:val="15"/>
  </w:compat>
  <w:rsids>
    <w:rsidRoot w:val="00000000"/>
    <w:rsid w:val="0F762B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3201</Words>
  <Characters>19390</Characters>
  <TotalTime>1</TotalTime>
  <ScaleCrop>false</ScaleCrop>
  <LinksUpToDate>false</LinksUpToDate>
  <CharactersWithSpaces>22303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2026-07-14T09:39:00Z</dcterms:created>
  <dc:creator>Un-named</dc:creator>
  <cp:lastModifiedBy>GOVARDHAN REDDY</cp:lastModifiedBy>
  <dcterms:modified xsi:type="dcterms:W3CDTF">2026-07-16T13:21:01Z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eyJoZGlkIjoiYmUxOWRjZjRkNzI5NmZmODA5ZTI2N2VmMWZkOTI3MDQiLCJ1c2VySWQiOiI1Njc1Mzg5ODc5NDUifQ==</vt:lpwstr>
  </property>
  <property fmtid="{D5CDD505-2E9C-101B-9397-08002B2CF9AE}" pid="3" name="KSOProductBuildVer">
    <vt:lpwstr>1033-12.1.0.26880</vt:lpwstr>
  </property>
  <property fmtid="{D5CDD505-2E9C-101B-9397-08002B2CF9AE}" pid="4" name="ICV">
    <vt:lpwstr>D2193F86BBEC48598CBAD34EBEC9FD93_12</vt:lpwstr>
  </property>
</Properties>
</file>