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18EA2">
      <w:pPr>
        <w:spacing w:before="200" w:after="60"/>
      </w:pPr>
      <w:r>
        <w:rPr>
          <w:b/>
          <w:bCs/>
          <w:color w:val="2E5C8A"/>
          <w:sz w:val="20"/>
          <w:szCs w:val="20"/>
        </w:rPr>
        <w:t>ARCHITECTURE DECISION RECORD</w:t>
      </w:r>
    </w:p>
    <w:p w14:paraId="69CFAD20">
      <w:pPr>
        <w:spacing w:after="100"/>
      </w:pPr>
      <w:r>
        <w:rPr>
          <w:b/>
          <w:bCs/>
          <w:color w:val="1F2937"/>
          <w:sz w:val="40"/>
          <w:szCs w:val="40"/>
        </w:rPr>
        <w:t>Ingestion Layer Strategy: Meltano vs. Lakeflow Connect / Fivetran in the Databricks Lakehouse</w:t>
      </w:r>
    </w:p>
    <w:p w14:paraId="5347298F">
      <w:pPr>
        <w:spacing w:after="260"/>
      </w:pPr>
      <w:r>
        <w:rPr>
          <w:color w:val="6B7280"/>
          <w:sz w:val="19"/>
          <w:szCs w:val="19"/>
        </w:rPr>
        <w:t xml:space="preserve">Prepared for: Enterprise Architecture Review </w:t>
      </w:r>
      <w:bookmarkStart w:id="0" w:name="_GoBack"/>
      <w:bookmarkEnd w:id="0"/>
      <w:r>
        <w:rPr>
          <w:color w:val="6B7280"/>
          <w:sz w:val="19"/>
          <w:szCs w:val="19"/>
        </w:rPr>
        <w:t xml:space="preserve">    |    Status: Recommended</w:t>
      </w:r>
    </w:p>
    <w:p w14:paraId="23598982">
      <w:pPr>
        <w:pBdr>
          <w:bottom w:val="single" w:color="CCCCCC" w:sz="6" w:space="1"/>
        </w:pBdr>
        <w:spacing w:before="100" w:after="200"/>
      </w:pPr>
    </w:p>
    <w:p w14:paraId="1763A86D">
      <w:pPr>
        <w:pStyle w:val="3"/>
        <w:spacing w:before="320" w:after="140"/>
      </w:pPr>
      <w:r>
        <w:rPr>
          <w:b/>
          <w:bCs/>
          <w:color w:val="2E5C8A"/>
          <w:sz w:val="24"/>
          <w:szCs w:val="24"/>
        </w:rPr>
        <w:t>Document Ownership</w:t>
      </w:r>
    </w:p>
    <w:tbl>
      <w:tblPr>
        <w:tblStyle w:val="9"/>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7240"/>
      </w:tblGrid>
      <w:tr w14:paraId="5A1C7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2937"/>
            <w:tcMar>
              <w:top w:w="100" w:type="dxa"/>
              <w:left w:w="120" w:type="dxa"/>
              <w:bottom w:w="100" w:type="dxa"/>
              <w:right w:w="120" w:type="dxa"/>
            </w:tcMar>
            <w:vAlign w:val="center"/>
          </w:tcPr>
          <w:p w14:paraId="79AA41EE">
            <w:pPr>
              <w:jc w:val="left"/>
            </w:pPr>
            <w:r>
              <w:rPr>
                <w:b/>
                <w:bCs/>
                <w:color w:val="FFFFFF"/>
                <w:sz w:val="19"/>
                <w:szCs w:val="19"/>
              </w:rPr>
              <w:t>Role</w:t>
            </w:r>
          </w:p>
        </w:tc>
        <w:tc>
          <w:tcPr>
            <w:tcW w:w="7240" w:type="dxa"/>
            <w:shd w:val="clear" w:color="auto" w:fill="1F2937"/>
            <w:tcMar>
              <w:top w:w="100" w:type="dxa"/>
              <w:left w:w="120" w:type="dxa"/>
              <w:bottom w:w="100" w:type="dxa"/>
              <w:right w:w="120" w:type="dxa"/>
            </w:tcMar>
            <w:vAlign w:val="center"/>
          </w:tcPr>
          <w:p w14:paraId="3AF986E9">
            <w:pPr>
              <w:jc w:val="left"/>
            </w:pPr>
            <w:r>
              <w:rPr>
                <w:b/>
                <w:bCs/>
                <w:color w:val="FFFFFF"/>
                <w:sz w:val="19"/>
                <w:szCs w:val="19"/>
              </w:rPr>
              <w:t>Responsibility in This Review</w:t>
            </w:r>
          </w:p>
        </w:tc>
      </w:tr>
      <w:tr w14:paraId="63956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6BF8C057">
            <w:pPr>
              <w:jc w:val="left"/>
            </w:pPr>
            <w:r>
              <w:rPr>
                <w:b w:val="0"/>
                <w:bCs w:val="0"/>
                <w:color w:val="1A1A1A"/>
                <w:sz w:val="19"/>
                <w:szCs w:val="19"/>
              </w:rPr>
              <w:t>Senior Solution Architect</w:t>
            </w:r>
          </w:p>
        </w:tc>
        <w:tc>
          <w:tcPr>
            <w:tcW w:w="7240" w:type="dxa"/>
            <w:shd w:val="clear" w:color="auto" w:fill="FFFFFF"/>
            <w:tcMar>
              <w:top w:w="90" w:type="dxa"/>
              <w:left w:w="120" w:type="dxa"/>
              <w:bottom w:w="90" w:type="dxa"/>
              <w:right w:w="120" w:type="dxa"/>
            </w:tcMar>
            <w:vAlign w:val="center"/>
          </w:tcPr>
          <w:p w14:paraId="292E8F90">
            <w:pPr>
              <w:jc w:val="left"/>
            </w:pPr>
            <w:r>
              <w:rPr>
                <w:b w:val="0"/>
                <w:bCs w:val="0"/>
                <w:color w:val="1A1A1A"/>
                <w:sz w:val="19"/>
                <w:szCs w:val="19"/>
              </w:rPr>
              <w:t>Overall architecture fit, vendor lock-in, and future-state platform strategy</w:t>
            </w:r>
          </w:p>
        </w:tc>
      </w:tr>
      <w:tr w14:paraId="4E22E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4F6F8"/>
            <w:tcMar>
              <w:top w:w="90" w:type="dxa"/>
              <w:left w:w="120" w:type="dxa"/>
              <w:bottom w:w="90" w:type="dxa"/>
              <w:right w:w="120" w:type="dxa"/>
            </w:tcMar>
            <w:vAlign w:val="center"/>
          </w:tcPr>
          <w:p w14:paraId="45B46155">
            <w:pPr>
              <w:jc w:val="left"/>
            </w:pPr>
            <w:r>
              <w:rPr>
                <w:b w:val="0"/>
                <w:bCs w:val="0"/>
                <w:color w:val="1A1A1A"/>
                <w:sz w:val="19"/>
                <w:szCs w:val="19"/>
              </w:rPr>
              <w:t>Senior Data Architect</w:t>
            </w:r>
          </w:p>
        </w:tc>
        <w:tc>
          <w:tcPr>
            <w:tcW w:w="7240" w:type="dxa"/>
            <w:shd w:val="clear" w:color="auto" w:fill="F4F6F8"/>
            <w:tcMar>
              <w:top w:w="90" w:type="dxa"/>
              <w:left w:w="120" w:type="dxa"/>
              <w:bottom w:w="90" w:type="dxa"/>
              <w:right w:w="120" w:type="dxa"/>
            </w:tcMar>
            <w:vAlign w:val="center"/>
          </w:tcPr>
          <w:p w14:paraId="4EC2956A">
            <w:pPr>
              <w:jc w:val="left"/>
            </w:pPr>
            <w:r>
              <w:rPr>
                <w:b w:val="0"/>
                <w:bCs w:val="0"/>
                <w:color w:val="1A1A1A"/>
                <w:sz w:val="19"/>
                <w:szCs w:val="19"/>
              </w:rPr>
              <w:t>Data modeling, Bronze/Silver/Gold design, governance and lineage impact</w:t>
            </w:r>
          </w:p>
        </w:tc>
      </w:tr>
      <w:tr w14:paraId="47D20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11BF1676">
            <w:pPr>
              <w:jc w:val="left"/>
            </w:pPr>
            <w:r>
              <w:rPr>
                <w:b w:val="0"/>
                <w:bCs w:val="0"/>
                <w:color w:val="1A1A1A"/>
                <w:sz w:val="19"/>
                <w:szCs w:val="19"/>
              </w:rPr>
              <w:t>Senior Data Engineer</w:t>
            </w:r>
          </w:p>
        </w:tc>
        <w:tc>
          <w:tcPr>
            <w:tcW w:w="7240" w:type="dxa"/>
            <w:shd w:val="clear" w:color="auto" w:fill="FFFFFF"/>
            <w:tcMar>
              <w:top w:w="90" w:type="dxa"/>
              <w:left w:w="120" w:type="dxa"/>
              <w:bottom w:w="90" w:type="dxa"/>
              <w:right w:w="120" w:type="dxa"/>
            </w:tcMar>
            <w:vAlign w:val="center"/>
          </w:tcPr>
          <w:p w14:paraId="2D61F70D">
            <w:pPr>
              <w:jc w:val="left"/>
            </w:pPr>
            <w:r>
              <w:rPr>
                <w:b w:val="0"/>
                <w:bCs w:val="0"/>
                <w:color w:val="1A1A1A"/>
                <w:sz w:val="19"/>
                <w:szCs w:val="19"/>
              </w:rPr>
              <w:t>Connector implementation, CDC, operational effort, pipeline reliability</w:t>
            </w:r>
          </w:p>
        </w:tc>
      </w:tr>
      <w:tr w14:paraId="0412C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4F6F8"/>
            <w:tcMar>
              <w:top w:w="90" w:type="dxa"/>
              <w:left w:w="120" w:type="dxa"/>
              <w:bottom w:w="90" w:type="dxa"/>
              <w:right w:w="120" w:type="dxa"/>
            </w:tcMar>
            <w:vAlign w:val="center"/>
          </w:tcPr>
          <w:p w14:paraId="4CB05025">
            <w:pPr>
              <w:jc w:val="left"/>
            </w:pPr>
            <w:r>
              <w:rPr>
                <w:b w:val="0"/>
                <w:bCs w:val="0"/>
                <w:color w:val="1A1A1A"/>
                <w:sz w:val="19"/>
                <w:szCs w:val="19"/>
              </w:rPr>
              <w:t>Project Manager</w:t>
            </w:r>
          </w:p>
        </w:tc>
        <w:tc>
          <w:tcPr>
            <w:tcW w:w="7240" w:type="dxa"/>
            <w:shd w:val="clear" w:color="auto" w:fill="F4F6F8"/>
            <w:tcMar>
              <w:top w:w="90" w:type="dxa"/>
              <w:left w:w="120" w:type="dxa"/>
              <w:bottom w:w="90" w:type="dxa"/>
              <w:right w:w="120" w:type="dxa"/>
            </w:tcMar>
            <w:vAlign w:val="center"/>
          </w:tcPr>
          <w:p w14:paraId="335E779C">
            <w:pPr>
              <w:jc w:val="left"/>
            </w:pPr>
            <w:r>
              <w:rPr>
                <w:b w:val="0"/>
                <w:bCs w:val="0"/>
                <w:color w:val="1A1A1A"/>
                <w:sz w:val="19"/>
                <w:szCs w:val="19"/>
              </w:rPr>
              <w:t>Cost, timeline, staffing, and delivery risk</w:t>
            </w:r>
          </w:p>
        </w:tc>
      </w:tr>
    </w:tbl>
    <w:p w14:paraId="320443F0">
      <w:pPr>
        <w:spacing w:after="200"/>
      </w:pPr>
    </w:p>
    <w:p w14:paraId="38A8C497">
      <w:pPr>
        <w:pStyle w:val="2"/>
        <w:pBdr>
          <w:bottom w:val="single" w:color="2E5C8A" w:sz="8" w:space="4"/>
        </w:pBdr>
        <w:spacing w:before="400" w:after="200"/>
      </w:pPr>
      <w:r>
        <w:rPr>
          <w:b/>
          <w:bCs/>
          <w:color w:val="1F2937"/>
          <w:sz w:val="30"/>
          <w:szCs w:val="30"/>
        </w:rPr>
        <w:t>1. Executive Summary</w:t>
      </w:r>
    </w:p>
    <w:p w14:paraId="166ADD21">
      <w:pPr>
        <w:spacing w:after="160" w:line="300" w:lineRule="auto"/>
      </w:pPr>
      <w:r>
        <w:rPr>
          <w:color w:val="1A1A1A"/>
          <w:sz w:val="21"/>
          <w:szCs w:val="21"/>
        </w:rPr>
        <w:t>This document evaluates whether Meltano, an open-source Extract-and-Load (EL) tool built on the Singer taps/targets specification, should replace or complement Lakeflow Connect and Fivetran in the ingestion layer of our Databricks Lakehouse architecture. The evaluation was conducted jointly across solution architecture, data architecture, data engineering, and project management perspectives, and considers cost, operational effort, scalability, reliability, security, flexibility, and long-term platform strategy — not license price alone.</w:t>
      </w:r>
    </w:p>
    <w:p w14:paraId="6C42400B">
      <w:pPr>
        <w:spacing w:after="160" w:line="300" w:lineRule="auto"/>
      </w:pPr>
      <w:r>
        <w:rPr>
          <w:b/>
          <w:bCs/>
          <w:color w:val="1A1A1A"/>
          <w:sz w:val="21"/>
          <w:szCs w:val="21"/>
        </w:rPr>
        <w:t>Recommendation: Do not replace Lakeflow Connect / Fivetran wholesale. Adopt a hybrid ingestion layer — Lakeflow Connect for supported first-party SaaS sources, Meltano for custom REST APIs and unsupported/niche database connectors, and Auto Loader for file-based ingestion — while keeping Lakeflow Declarative Pipelines, dbt, and Unity Catalog unchanged for transformation and governance.</w:t>
      </w:r>
    </w:p>
    <w:tbl>
      <w:tblPr>
        <w:tblStyle w:val="9"/>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63017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40" w:type="dxa"/>
            <w:tcBorders>
              <w:top w:val="single" w:color="2E5C8A" w:sz="6" w:space="0"/>
              <w:left w:val="single" w:color="2E5C8A" w:sz="18" w:space="0"/>
              <w:bottom w:val="single" w:color="2E5C8A" w:sz="6" w:space="0"/>
              <w:right w:val="single" w:color="2E5C8A" w:sz="6" w:space="0"/>
            </w:tcBorders>
            <w:shd w:val="clear" w:color="auto" w:fill="EAF0F6"/>
            <w:tcMar>
              <w:top w:w="160" w:type="dxa"/>
              <w:left w:w="200" w:type="dxa"/>
              <w:bottom w:w="160" w:type="dxa"/>
              <w:right w:w="200" w:type="dxa"/>
            </w:tcMar>
          </w:tcPr>
          <w:p w14:paraId="4F570F8B">
            <w:pPr>
              <w:spacing w:after="100"/>
            </w:pPr>
            <w:r>
              <w:rPr>
                <w:b/>
                <w:bCs/>
                <w:color w:val="1F2937"/>
                <w:sz w:val="21"/>
                <w:szCs w:val="21"/>
              </w:rPr>
              <w:t>Bottom Line</w:t>
            </w:r>
          </w:p>
          <w:p w14:paraId="4EDAC7C6">
            <w:pPr>
              <w:spacing w:after="60" w:line="270" w:lineRule="auto"/>
            </w:pPr>
            <w:r>
              <w:rPr>
                <w:color w:val="1A1A1A"/>
                <w:sz w:val="19"/>
                <w:szCs w:val="19"/>
              </w:rPr>
              <w:t>•  License cost decreases with Meltano, but engineering and operational cost increases — the net Total Cost of Ownership (TCO) depends on the number and diversity of sources and on whether the company is single-cloud (Databricks-committed) or multi-cloud.</w:t>
            </w:r>
          </w:p>
          <w:p w14:paraId="696316DA">
            <w:pPr>
              <w:spacing w:after="60" w:line="270" w:lineRule="auto"/>
            </w:pPr>
            <w:r>
              <w:rPr>
                <w:color w:val="1A1A1A"/>
                <w:sz w:val="19"/>
                <w:szCs w:val="19"/>
              </w:rPr>
              <w:t>•  For a Databricks-committed enterprise, Lakeflow Connect generally wins on long-term TCO due to lower operational burden.</w:t>
            </w:r>
          </w:p>
          <w:p w14:paraId="01A3D09A">
            <w:pPr>
              <w:spacing w:after="60" w:line="270" w:lineRule="auto"/>
            </w:pPr>
            <w:r>
              <w:rPr>
                <w:color w:val="1A1A1A"/>
                <w:sz w:val="19"/>
                <w:szCs w:val="19"/>
              </w:rPr>
              <w:t>•  For a multi-cloud or platform-agnostic strategy, Meltano wins on portability and reduces future migration cost.</w:t>
            </w:r>
          </w:p>
          <w:p w14:paraId="204A7356">
            <w:pPr>
              <w:spacing w:after="60" w:line="270" w:lineRule="auto"/>
            </w:pPr>
            <w:r>
              <w:rPr>
                <w:color w:val="1A1A1A"/>
                <w:sz w:val="19"/>
                <w:szCs w:val="19"/>
              </w:rPr>
              <w:t>•  The recommended design captures the benefits of both: managed connectors where they exist, open-source flexibility where they don't.</w:t>
            </w:r>
          </w:p>
        </w:tc>
      </w:tr>
    </w:tbl>
    <w:p w14:paraId="7BFF3074">
      <w:pPr>
        <w:pStyle w:val="2"/>
        <w:pBdr>
          <w:bottom w:val="single" w:color="2E5C8A" w:sz="8" w:space="4"/>
        </w:pBdr>
        <w:spacing w:before="400" w:after="200"/>
        <w:rPr>
          <w:b/>
          <w:bCs/>
          <w:color w:val="1F2937"/>
          <w:sz w:val="30"/>
          <w:szCs w:val="30"/>
        </w:rPr>
      </w:pPr>
    </w:p>
    <w:p w14:paraId="03CD784D">
      <w:pPr>
        <w:pStyle w:val="2"/>
        <w:pBdr>
          <w:bottom w:val="single" w:color="2E5C8A" w:sz="8" w:space="4"/>
        </w:pBdr>
        <w:spacing w:before="400" w:after="200"/>
        <w:rPr>
          <w:b/>
          <w:bCs/>
          <w:color w:val="1F2937"/>
          <w:sz w:val="30"/>
          <w:szCs w:val="30"/>
        </w:rPr>
      </w:pPr>
    </w:p>
    <w:p w14:paraId="6D66E0C4">
      <w:pPr>
        <w:pStyle w:val="2"/>
        <w:pBdr>
          <w:bottom w:val="single" w:color="2E5C8A" w:sz="8" w:space="4"/>
        </w:pBdr>
        <w:spacing w:before="400" w:after="200"/>
      </w:pPr>
      <w:r>
        <w:rPr>
          <w:b/>
          <w:bCs/>
          <w:color w:val="1F2937"/>
          <w:sz w:val="30"/>
          <w:szCs w:val="30"/>
        </w:rPr>
        <w:t>2. Reference Architecture</w:t>
      </w:r>
    </w:p>
    <w:p w14:paraId="659E2F2D">
      <w:pPr>
        <w:spacing w:after="160" w:line="300" w:lineRule="auto"/>
      </w:pPr>
      <w:r>
        <w:rPr>
          <w:color w:val="1A1A1A"/>
          <w:sz w:val="21"/>
          <w:szCs w:val="21"/>
        </w:rPr>
        <w:t>The diagram below shows the persona-aligned service map for the target Databricks Lakehouse, with Meltano positioned as a gap-filling ingestion path alongside Lakeflow Connect, Fivetran, Zerobus, and Auto Loader.</w:t>
      </w:r>
    </w:p>
    <w:p w14:paraId="628E7B8B">
      <w:pPr>
        <w:spacing w:before="120" w:after="120"/>
        <w:jc w:val="center"/>
      </w:pPr>
      <w:r>
        <w:drawing>
          <wp:inline distT="0" distB="0" distL="0" distR="0">
            <wp:extent cx="6400800" cy="4258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6400800" cy="4259124"/>
                    </a:xfrm>
                    <a:prstGeom prst="rect">
                      <a:avLst/>
                    </a:prstGeom>
                  </pic:spPr>
                </pic:pic>
              </a:graphicData>
            </a:graphic>
          </wp:inline>
        </w:drawing>
      </w:r>
    </w:p>
    <w:p w14:paraId="4A77F778">
      <w:pPr>
        <w:spacing w:before="100" w:after="200"/>
      </w:pPr>
      <w:r>
        <w:rPr>
          <w:i/>
          <w:iCs/>
          <w:color w:val="6B7280"/>
          <w:sz w:val="19"/>
          <w:szCs w:val="19"/>
        </w:rPr>
        <w:t>Figure 1: Databricks Reference Architecture — Persona-Aligned Service Map (Ingestion → Bronze → Transformation → Silver/Gold → Consumption).</w:t>
      </w:r>
    </w:p>
    <w:p w14:paraId="6BF4E903">
      <w:pPr>
        <w:pStyle w:val="3"/>
        <w:spacing w:before="320" w:after="140"/>
      </w:pPr>
      <w:r>
        <w:rPr>
          <w:b/>
          <w:bCs/>
          <w:color w:val="2E5C8A"/>
          <w:sz w:val="24"/>
          <w:szCs w:val="24"/>
        </w:rPr>
        <w:t>2.1 Key Limitations to Manage</w:t>
      </w:r>
    </w:p>
    <w:tbl>
      <w:tblPr>
        <w:tblStyle w:val="9"/>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40E6D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40" w:type="dxa"/>
            <w:tcBorders>
              <w:top w:val="single" w:color="E0A93A" w:sz="6" w:space="0"/>
              <w:left w:val="single" w:color="E0A93A" w:sz="18" w:space="0"/>
              <w:bottom w:val="single" w:color="E0A93A" w:sz="6" w:space="0"/>
              <w:right w:val="single" w:color="E0A93A" w:sz="6" w:space="0"/>
            </w:tcBorders>
            <w:shd w:val="clear" w:color="auto" w:fill="FDF3E1"/>
            <w:tcMar>
              <w:top w:w="160" w:type="dxa"/>
              <w:left w:w="200" w:type="dxa"/>
              <w:bottom w:w="160" w:type="dxa"/>
              <w:right w:w="200" w:type="dxa"/>
            </w:tcMar>
          </w:tcPr>
          <w:p w14:paraId="72F7A260">
            <w:pPr>
              <w:spacing w:after="100"/>
            </w:pPr>
            <w:r>
              <w:rPr>
                <w:b/>
                <w:bCs/>
                <w:color w:val="1F2937"/>
                <w:sz w:val="21"/>
                <w:szCs w:val="21"/>
              </w:rPr>
              <w:t>Carried forward from the reference architecture</w:t>
            </w:r>
          </w:p>
          <w:p w14:paraId="2348D2B3">
            <w:pPr>
              <w:spacing w:after="60" w:line="270" w:lineRule="auto"/>
            </w:pPr>
            <w:r>
              <w:rPr>
                <w:color w:val="1A1A1A"/>
                <w:sz w:val="19"/>
                <w:szCs w:val="19"/>
              </w:rPr>
              <w:t>•  dbt licensing cost — scope usage to the Gold layer only.</w:t>
            </w:r>
          </w:p>
          <w:p w14:paraId="418936D8">
            <w:pPr>
              <w:spacing w:after="60" w:line="270" w:lineRule="auto"/>
            </w:pPr>
            <w:r>
              <w:rPr>
                <w:color w:val="1A1A1A"/>
                <w:sz w:val="19"/>
                <w:szCs w:val="19"/>
              </w:rPr>
              <w:t>•  Lakeflow Connect coverage — audit source systems against the supported-connector list before committing.</w:t>
            </w:r>
          </w:p>
          <w:p w14:paraId="46062D1B">
            <w:pPr>
              <w:spacing w:after="60" w:line="270" w:lineRule="auto"/>
            </w:pPr>
            <w:r>
              <w:rPr>
                <w:color w:val="1A1A1A"/>
                <w:sz w:val="19"/>
                <w:szCs w:val="19"/>
              </w:rPr>
              <w:t>•  Compute cost/capacity has no first-party ingestion agent; size and monitor independently.</w:t>
            </w:r>
          </w:p>
          <w:p w14:paraId="68C12EF5">
            <w:pPr>
              <w:spacing w:after="60" w:line="270" w:lineRule="auto"/>
            </w:pPr>
            <w:r>
              <w:rPr>
                <w:color w:val="1A1A1A"/>
                <w:sz w:val="19"/>
                <w:szCs w:val="19"/>
              </w:rPr>
              <w:t>•  Genie ZeroOps is a 2026 capability — verify rollout and regional maturity before depending on it operationally.</w:t>
            </w:r>
          </w:p>
          <w:p w14:paraId="6325CAB1">
            <w:pPr>
              <w:spacing w:after="60" w:line="270" w:lineRule="auto"/>
            </w:pPr>
            <w:r>
              <w:rPr>
                <w:color w:val="1A1A1A"/>
                <w:sz w:val="19"/>
                <w:szCs w:val="19"/>
              </w:rPr>
              <w:t>•  GPU compute for ML/Feature Engineering needs active right-sizing.</w:t>
            </w:r>
          </w:p>
          <w:p w14:paraId="16C799DE">
            <w:pPr>
              <w:spacing w:after="60" w:line="270" w:lineRule="auto"/>
            </w:pPr>
            <w:r>
              <w:rPr>
                <w:color w:val="1A1A1A"/>
                <w:sz w:val="19"/>
                <w:szCs w:val="19"/>
              </w:rPr>
              <w:t>•  NL-to-SQL (Genie) accuracy is bounded by the quality of the Business Glossary and Ontology.</w:t>
            </w:r>
          </w:p>
        </w:tc>
      </w:tr>
    </w:tbl>
    <w:p w14:paraId="5379B72C">
      <w:r>
        <w:br w:type="page"/>
      </w:r>
    </w:p>
    <w:p w14:paraId="361907DE">
      <w:pPr>
        <w:pStyle w:val="2"/>
        <w:pBdr>
          <w:bottom w:val="single" w:color="2E5C8A" w:sz="8" w:space="4"/>
        </w:pBdr>
        <w:spacing w:before="400" w:after="200"/>
      </w:pPr>
      <w:r>
        <w:rPr>
          <w:b/>
          <w:bCs/>
          <w:color w:val="1F2937"/>
          <w:sz w:val="30"/>
          <w:szCs w:val="30"/>
        </w:rPr>
        <w:t>3. Where Meltano Fits in the Architecture</w:t>
      </w:r>
    </w:p>
    <w:p w14:paraId="5F99E3F7">
      <w:pPr>
        <w:spacing w:after="160" w:line="300" w:lineRule="auto"/>
      </w:pPr>
      <w:r>
        <w:rPr>
          <w:color w:val="1A1A1A"/>
          <w:sz w:val="21"/>
          <w:szCs w:val="21"/>
        </w:rPr>
        <w:t>Meltano sits in the Ingestion Layer as an EL (Extract and Load) tool, positioned as a peer to Lakeflow Connect and Fivetran — not as a replacement for downstream transformation.</w:t>
      </w:r>
    </w:p>
    <w:p w14:paraId="505A926D">
      <w:pPr>
        <w:pStyle w:val="3"/>
        <w:spacing w:before="320" w:after="140"/>
      </w:pPr>
      <w:r>
        <w:rPr>
          <w:b/>
          <w:bCs/>
          <w:color w:val="2E5C8A"/>
          <w:sz w:val="24"/>
          <w:szCs w:val="24"/>
        </w:rPr>
        <w:t>3.1 Role of Meltano</w:t>
      </w:r>
    </w:p>
    <w:p w14:paraId="518CE238">
      <w:pPr>
        <w:pStyle w:val="16"/>
        <w:numPr>
          <w:ilvl w:val="0"/>
          <w:numId w:val="1"/>
        </w:numPr>
        <w:spacing w:after="80" w:line="280" w:lineRule="auto"/>
      </w:pPr>
      <w:r>
        <w:rPr>
          <w:color w:val="1A1A1A"/>
          <w:sz w:val="21"/>
          <w:szCs w:val="21"/>
        </w:rPr>
        <w:t>Extract data from relational databases (Oracle, SQL Server, PostgreSQL, and others)</w:t>
      </w:r>
    </w:p>
    <w:p w14:paraId="5021C293">
      <w:pPr>
        <w:pStyle w:val="16"/>
        <w:numPr>
          <w:ilvl w:val="0"/>
          <w:numId w:val="1"/>
        </w:numPr>
        <w:spacing w:after="80" w:line="280" w:lineRule="auto"/>
      </w:pPr>
      <w:r>
        <w:rPr>
          <w:color w:val="1A1A1A"/>
          <w:sz w:val="21"/>
          <w:szCs w:val="21"/>
        </w:rPr>
        <w:t>Extract data from SaaS applications via Singer taps</w:t>
      </w:r>
    </w:p>
    <w:p w14:paraId="55CF5E34">
      <w:pPr>
        <w:pStyle w:val="16"/>
        <w:numPr>
          <w:ilvl w:val="0"/>
          <w:numId w:val="1"/>
        </w:numPr>
        <w:spacing w:after="80" w:line="280" w:lineRule="auto"/>
      </w:pPr>
      <w:r>
        <w:rPr>
          <w:color w:val="1A1A1A"/>
          <w:sz w:val="21"/>
          <w:szCs w:val="21"/>
        </w:rPr>
        <w:t>Extract data from REST and custom APIs</w:t>
      </w:r>
    </w:p>
    <w:p w14:paraId="7820DFB9">
      <w:pPr>
        <w:pStyle w:val="16"/>
        <w:numPr>
          <w:ilvl w:val="0"/>
          <w:numId w:val="1"/>
        </w:numPr>
        <w:spacing w:after="80" w:line="280" w:lineRule="auto"/>
      </w:pPr>
      <w:r>
        <w:rPr>
          <w:color w:val="1A1A1A"/>
          <w:sz w:val="21"/>
          <w:szCs w:val="21"/>
        </w:rPr>
        <w:t>Incremental loading and, via compatible connectors, Change Data Capture (CDC)</w:t>
      </w:r>
    </w:p>
    <w:p w14:paraId="6715EEA7">
      <w:pPr>
        <w:pStyle w:val="16"/>
        <w:numPr>
          <w:ilvl w:val="0"/>
          <w:numId w:val="1"/>
        </w:numPr>
        <w:spacing w:after="80" w:line="280" w:lineRule="auto"/>
      </w:pPr>
      <w:r>
        <w:rPr>
          <w:color w:val="1A1A1A"/>
          <w:sz w:val="21"/>
          <w:szCs w:val="21"/>
        </w:rPr>
        <w:t>Schema discovery at extraction time</w:t>
      </w:r>
    </w:p>
    <w:p w14:paraId="16CB90FB">
      <w:pPr>
        <w:pStyle w:val="16"/>
        <w:numPr>
          <w:ilvl w:val="0"/>
          <w:numId w:val="1"/>
        </w:numPr>
        <w:spacing w:after="80" w:line="280" w:lineRule="auto"/>
      </w:pPr>
      <w:r>
        <w:rPr>
          <w:color w:val="1A1A1A"/>
          <w:sz w:val="21"/>
          <w:szCs w:val="21"/>
        </w:rPr>
        <w:t>Optional scheduling of extract/load jobs</w:t>
      </w:r>
    </w:p>
    <w:p w14:paraId="51D7F298">
      <w:pPr>
        <w:spacing w:after="160" w:line="300" w:lineRule="auto"/>
      </w:pPr>
      <w:r>
        <w:rPr>
          <w:color w:val="1A1A1A"/>
          <w:sz w:val="21"/>
          <w:szCs w:val="21"/>
        </w:rPr>
        <w:t>After Meltano loads data into Bronze Delta tables, Databricks components take over unchanged: Lakeflow Declarative Pipelines (Bronze → Silver), dbt (Silver → Gold), and Unity Catalog for governance. Meltano does not replace Lakeflow Declarative Pipelines or dbt.</w:t>
      </w:r>
    </w:p>
    <w:p w14:paraId="5D1C61A1">
      <w:pPr>
        <w:pStyle w:val="3"/>
        <w:spacing w:before="320" w:after="140"/>
      </w:pPr>
      <w:r>
        <w:rPr>
          <w:b/>
          <w:bCs/>
          <w:color w:val="2E5C8A"/>
          <w:sz w:val="24"/>
          <w:szCs w:val="24"/>
        </w:rPr>
        <w:t>3.2 Position in the Pipeline</w:t>
      </w:r>
    </w:p>
    <w:tbl>
      <w:tblPr>
        <w:tblStyle w:val="9"/>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00"/>
        <w:gridCol w:w="4840"/>
      </w:tblGrid>
      <w:tr w14:paraId="0FEF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2937"/>
            <w:tcMar>
              <w:top w:w="100" w:type="dxa"/>
              <w:left w:w="120" w:type="dxa"/>
              <w:bottom w:w="100" w:type="dxa"/>
              <w:right w:w="120" w:type="dxa"/>
            </w:tcMar>
            <w:vAlign w:val="center"/>
          </w:tcPr>
          <w:p w14:paraId="4D059E97">
            <w:pPr>
              <w:jc w:val="left"/>
            </w:pPr>
            <w:r>
              <w:rPr>
                <w:b/>
                <w:bCs/>
                <w:color w:val="FFFFFF"/>
                <w:sz w:val="19"/>
                <w:szCs w:val="19"/>
              </w:rPr>
              <w:t>Stage</w:t>
            </w:r>
          </w:p>
        </w:tc>
        <w:tc>
          <w:tcPr>
            <w:tcW w:w="3200" w:type="dxa"/>
            <w:shd w:val="clear" w:color="auto" w:fill="1F2937"/>
            <w:tcMar>
              <w:top w:w="100" w:type="dxa"/>
              <w:left w:w="120" w:type="dxa"/>
              <w:bottom w:w="100" w:type="dxa"/>
              <w:right w:w="120" w:type="dxa"/>
            </w:tcMar>
            <w:vAlign w:val="center"/>
          </w:tcPr>
          <w:p w14:paraId="71B02A1C">
            <w:pPr>
              <w:jc w:val="left"/>
            </w:pPr>
            <w:r>
              <w:rPr>
                <w:b/>
                <w:bCs/>
                <w:color w:val="FFFFFF"/>
                <w:sz w:val="19"/>
                <w:szCs w:val="19"/>
              </w:rPr>
              <w:t>Tool</w:t>
            </w:r>
          </w:p>
        </w:tc>
        <w:tc>
          <w:tcPr>
            <w:tcW w:w="4840" w:type="dxa"/>
            <w:shd w:val="clear" w:color="auto" w:fill="1F2937"/>
            <w:tcMar>
              <w:top w:w="100" w:type="dxa"/>
              <w:left w:w="120" w:type="dxa"/>
              <w:bottom w:w="100" w:type="dxa"/>
              <w:right w:w="120" w:type="dxa"/>
            </w:tcMar>
            <w:vAlign w:val="center"/>
          </w:tcPr>
          <w:p w14:paraId="1DDB9F2B">
            <w:pPr>
              <w:jc w:val="left"/>
            </w:pPr>
            <w:r>
              <w:rPr>
                <w:b/>
                <w:bCs/>
                <w:color w:val="FFFFFF"/>
                <w:sz w:val="19"/>
                <w:szCs w:val="19"/>
              </w:rPr>
              <w:t>Purpose</w:t>
            </w:r>
          </w:p>
        </w:tc>
      </w:tr>
      <w:tr w14:paraId="49CF9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90" w:type="dxa"/>
              <w:left w:w="120" w:type="dxa"/>
              <w:bottom w:w="90" w:type="dxa"/>
              <w:right w:w="120" w:type="dxa"/>
            </w:tcMar>
            <w:vAlign w:val="center"/>
          </w:tcPr>
          <w:p w14:paraId="465624A3">
            <w:pPr>
              <w:jc w:val="left"/>
            </w:pPr>
            <w:r>
              <w:rPr>
                <w:b w:val="0"/>
                <w:bCs w:val="0"/>
                <w:color w:val="1A1A1A"/>
                <w:sz w:val="19"/>
                <w:szCs w:val="19"/>
              </w:rPr>
              <w:t>Ingestion</w:t>
            </w:r>
          </w:p>
        </w:tc>
        <w:tc>
          <w:tcPr>
            <w:tcW w:w="3200" w:type="dxa"/>
            <w:shd w:val="clear" w:color="auto" w:fill="FFFFFF"/>
            <w:tcMar>
              <w:top w:w="90" w:type="dxa"/>
              <w:left w:w="120" w:type="dxa"/>
              <w:bottom w:w="90" w:type="dxa"/>
              <w:right w:w="120" w:type="dxa"/>
            </w:tcMar>
            <w:vAlign w:val="center"/>
          </w:tcPr>
          <w:p w14:paraId="6986D85C">
            <w:pPr>
              <w:jc w:val="left"/>
            </w:pPr>
            <w:r>
              <w:rPr>
                <w:b w:val="0"/>
                <w:bCs w:val="0"/>
                <w:color w:val="1A1A1A"/>
                <w:sz w:val="19"/>
                <w:szCs w:val="19"/>
              </w:rPr>
              <w:t>Lakeflow Connect</w:t>
            </w:r>
          </w:p>
        </w:tc>
        <w:tc>
          <w:tcPr>
            <w:tcW w:w="4840" w:type="dxa"/>
            <w:shd w:val="clear" w:color="auto" w:fill="FFFFFF"/>
            <w:tcMar>
              <w:top w:w="90" w:type="dxa"/>
              <w:left w:w="120" w:type="dxa"/>
              <w:bottom w:w="90" w:type="dxa"/>
              <w:right w:w="120" w:type="dxa"/>
            </w:tcMar>
            <w:vAlign w:val="center"/>
          </w:tcPr>
          <w:p w14:paraId="19D355C4">
            <w:pPr>
              <w:jc w:val="left"/>
            </w:pPr>
            <w:r>
              <w:rPr>
                <w:b w:val="0"/>
                <w:bCs w:val="0"/>
                <w:color w:val="1A1A1A"/>
                <w:sz w:val="19"/>
                <w:szCs w:val="19"/>
              </w:rPr>
              <w:t>Native Databricks connectors for supported SaaS sources</w:t>
            </w:r>
          </w:p>
        </w:tc>
      </w:tr>
      <w:tr w14:paraId="06DE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4F6F8"/>
            <w:tcMar>
              <w:top w:w="90" w:type="dxa"/>
              <w:left w:w="120" w:type="dxa"/>
              <w:bottom w:w="90" w:type="dxa"/>
              <w:right w:w="120" w:type="dxa"/>
            </w:tcMar>
            <w:vAlign w:val="center"/>
          </w:tcPr>
          <w:p w14:paraId="0F58B58F">
            <w:pPr>
              <w:jc w:val="left"/>
            </w:pPr>
            <w:r>
              <w:rPr>
                <w:b w:val="0"/>
                <w:bCs w:val="0"/>
                <w:color w:val="1A1A1A"/>
                <w:sz w:val="19"/>
                <w:szCs w:val="19"/>
              </w:rPr>
              <w:t>Ingestion</w:t>
            </w:r>
          </w:p>
        </w:tc>
        <w:tc>
          <w:tcPr>
            <w:tcW w:w="3200" w:type="dxa"/>
            <w:shd w:val="clear" w:color="auto" w:fill="F4F6F8"/>
            <w:tcMar>
              <w:top w:w="90" w:type="dxa"/>
              <w:left w:w="120" w:type="dxa"/>
              <w:bottom w:w="90" w:type="dxa"/>
              <w:right w:w="120" w:type="dxa"/>
            </w:tcMar>
            <w:vAlign w:val="center"/>
          </w:tcPr>
          <w:p w14:paraId="0B3175FB">
            <w:pPr>
              <w:jc w:val="left"/>
            </w:pPr>
            <w:r>
              <w:rPr>
                <w:b w:val="0"/>
                <w:bCs w:val="0"/>
                <w:color w:val="1A1A1A"/>
                <w:sz w:val="19"/>
                <w:szCs w:val="19"/>
              </w:rPr>
              <w:t>Fivetran</w:t>
            </w:r>
          </w:p>
        </w:tc>
        <w:tc>
          <w:tcPr>
            <w:tcW w:w="4840" w:type="dxa"/>
            <w:shd w:val="clear" w:color="auto" w:fill="F4F6F8"/>
            <w:tcMar>
              <w:top w:w="90" w:type="dxa"/>
              <w:left w:w="120" w:type="dxa"/>
              <w:bottom w:w="90" w:type="dxa"/>
              <w:right w:w="120" w:type="dxa"/>
            </w:tcMar>
            <w:vAlign w:val="center"/>
          </w:tcPr>
          <w:p w14:paraId="6137DCED">
            <w:pPr>
              <w:jc w:val="left"/>
            </w:pPr>
            <w:r>
              <w:rPr>
                <w:b w:val="0"/>
                <w:bCs w:val="0"/>
                <w:color w:val="1A1A1A"/>
                <w:sz w:val="19"/>
                <w:szCs w:val="19"/>
              </w:rPr>
              <w:t>Managed EL for a broad set of enterprise sources</w:t>
            </w:r>
          </w:p>
        </w:tc>
      </w:tr>
      <w:tr w14:paraId="1EA5A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90" w:type="dxa"/>
              <w:left w:w="120" w:type="dxa"/>
              <w:bottom w:w="90" w:type="dxa"/>
              <w:right w:w="120" w:type="dxa"/>
            </w:tcMar>
            <w:vAlign w:val="center"/>
          </w:tcPr>
          <w:p w14:paraId="6386DF93">
            <w:pPr>
              <w:jc w:val="left"/>
            </w:pPr>
            <w:r>
              <w:rPr>
                <w:b w:val="0"/>
                <w:bCs w:val="0"/>
                <w:color w:val="1A1A1A"/>
                <w:sz w:val="19"/>
                <w:szCs w:val="19"/>
              </w:rPr>
              <w:t>Ingestion</w:t>
            </w:r>
          </w:p>
        </w:tc>
        <w:tc>
          <w:tcPr>
            <w:tcW w:w="3200" w:type="dxa"/>
            <w:shd w:val="clear" w:color="auto" w:fill="FFFFFF"/>
            <w:tcMar>
              <w:top w:w="90" w:type="dxa"/>
              <w:left w:w="120" w:type="dxa"/>
              <w:bottom w:w="90" w:type="dxa"/>
              <w:right w:w="120" w:type="dxa"/>
            </w:tcMar>
            <w:vAlign w:val="center"/>
          </w:tcPr>
          <w:p w14:paraId="2D96EEBB">
            <w:pPr>
              <w:jc w:val="left"/>
            </w:pPr>
            <w:r>
              <w:rPr>
                <w:b w:val="0"/>
                <w:bCs w:val="0"/>
                <w:color w:val="1A1A1A"/>
                <w:sz w:val="19"/>
                <w:szCs w:val="19"/>
              </w:rPr>
              <w:t>Meltano</w:t>
            </w:r>
          </w:p>
        </w:tc>
        <w:tc>
          <w:tcPr>
            <w:tcW w:w="4840" w:type="dxa"/>
            <w:shd w:val="clear" w:color="auto" w:fill="FFFFFF"/>
            <w:tcMar>
              <w:top w:w="90" w:type="dxa"/>
              <w:left w:w="120" w:type="dxa"/>
              <w:bottom w:w="90" w:type="dxa"/>
              <w:right w:w="120" w:type="dxa"/>
            </w:tcMar>
            <w:vAlign w:val="center"/>
          </w:tcPr>
          <w:p w14:paraId="1DB2EC5E">
            <w:pPr>
              <w:jc w:val="left"/>
            </w:pPr>
            <w:r>
              <w:rPr>
                <w:b w:val="0"/>
                <w:bCs w:val="0"/>
                <w:color w:val="1A1A1A"/>
                <w:sz w:val="19"/>
                <w:szCs w:val="19"/>
              </w:rPr>
              <w:t>Open-source EL using Singer taps/targets — gap-filler for unsupported sources</w:t>
            </w:r>
          </w:p>
        </w:tc>
      </w:tr>
      <w:tr w14:paraId="2CE6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4F6F8"/>
            <w:tcMar>
              <w:top w:w="90" w:type="dxa"/>
              <w:left w:w="120" w:type="dxa"/>
              <w:bottom w:w="90" w:type="dxa"/>
              <w:right w:w="120" w:type="dxa"/>
            </w:tcMar>
            <w:vAlign w:val="center"/>
          </w:tcPr>
          <w:p w14:paraId="415CE7B5">
            <w:pPr>
              <w:jc w:val="left"/>
            </w:pPr>
            <w:r>
              <w:rPr>
                <w:b w:val="0"/>
                <w:bCs w:val="0"/>
                <w:color w:val="1A1A1A"/>
                <w:sz w:val="19"/>
                <w:szCs w:val="19"/>
              </w:rPr>
              <w:t>Ingestion</w:t>
            </w:r>
          </w:p>
        </w:tc>
        <w:tc>
          <w:tcPr>
            <w:tcW w:w="3200" w:type="dxa"/>
            <w:shd w:val="clear" w:color="auto" w:fill="F4F6F8"/>
            <w:tcMar>
              <w:top w:w="90" w:type="dxa"/>
              <w:left w:w="120" w:type="dxa"/>
              <w:bottom w:w="90" w:type="dxa"/>
              <w:right w:w="120" w:type="dxa"/>
            </w:tcMar>
            <w:vAlign w:val="center"/>
          </w:tcPr>
          <w:p w14:paraId="2A7C0FFE">
            <w:pPr>
              <w:jc w:val="left"/>
            </w:pPr>
            <w:r>
              <w:rPr>
                <w:b w:val="0"/>
                <w:bCs w:val="0"/>
                <w:color w:val="1A1A1A"/>
                <w:sz w:val="19"/>
                <w:szCs w:val="19"/>
              </w:rPr>
              <w:t>Auto Loader</w:t>
            </w:r>
          </w:p>
        </w:tc>
        <w:tc>
          <w:tcPr>
            <w:tcW w:w="4840" w:type="dxa"/>
            <w:shd w:val="clear" w:color="auto" w:fill="F4F6F8"/>
            <w:tcMar>
              <w:top w:w="90" w:type="dxa"/>
              <w:left w:w="120" w:type="dxa"/>
              <w:bottom w:w="90" w:type="dxa"/>
              <w:right w:w="120" w:type="dxa"/>
            </w:tcMar>
            <w:vAlign w:val="center"/>
          </w:tcPr>
          <w:p w14:paraId="4501C9D0">
            <w:pPr>
              <w:jc w:val="left"/>
            </w:pPr>
            <w:r>
              <w:rPr>
                <w:b w:val="0"/>
                <w:bCs w:val="0"/>
                <w:color w:val="1A1A1A"/>
                <w:sz w:val="19"/>
                <w:szCs w:val="19"/>
              </w:rPr>
              <w:t>File ingestion from S3, ADLS, GCS</w:t>
            </w:r>
          </w:p>
        </w:tc>
      </w:tr>
      <w:tr w14:paraId="129B0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90" w:type="dxa"/>
              <w:left w:w="120" w:type="dxa"/>
              <w:bottom w:w="90" w:type="dxa"/>
              <w:right w:w="120" w:type="dxa"/>
            </w:tcMar>
            <w:vAlign w:val="center"/>
          </w:tcPr>
          <w:p w14:paraId="4759BE50">
            <w:pPr>
              <w:jc w:val="left"/>
            </w:pPr>
            <w:r>
              <w:rPr>
                <w:b w:val="0"/>
                <w:bCs w:val="0"/>
                <w:color w:val="1A1A1A"/>
                <w:sz w:val="19"/>
                <w:szCs w:val="19"/>
              </w:rPr>
              <w:t>Ingestion (streaming)</w:t>
            </w:r>
          </w:p>
        </w:tc>
        <w:tc>
          <w:tcPr>
            <w:tcW w:w="3200" w:type="dxa"/>
            <w:shd w:val="clear" w:color="auto" w:fill="FFFFFF"/>
            <w:tcMar>
              <w:top w:w="90" w:type="dxa"/>
              <w:left w:w="120" w:type="dxa"/>
              <w:bottom w:w="90" w:type="dxa"/>
              <w:right w:w="120" w:type="dxa"/>
            </w:tcMar>
            <w:vAlign w:val="center"/>
          </w:tcPr>
          <w:p w14:paraId="27A32FC2">
            <w:pPr>
              <w:jc w:val="left"/>
            </w:pPr>
            <w:r>
              <w:rPr>
                <w:b w:val="0"/>
                <w:bCs w:val="0"/>
                <w:color w:val="1A1A1A"/>
                <w:sz w:val="19"/>
                <w:szCs w:val="19"/>
              </w:rPr>
              <w:t>Zerobus</w:t>
            </w:r>
          </w:p>
        </w:tc>
        <w:tc>
          <w:tcPr>
            <w:tcW w:w="4840" w:type="dxa"/>
            <w:shd w:val="clear" w:color="auto" w:fill="FFFFFF"/>
            <w:tcMar>
              <w:top w:w="90" w:type="dxa"/>
              <w:left w:w="120" w:type="dxa"/>
              <w:bottom w:w="90" w:type="dxa"/>
              <w:right w:w="120" w:type="dxa"/>
            </w:tcMar>
            <w:vAlign w:val="center"/>
          </w:tcPr>
          <w:p w14:paraId="169553DB">
            <w:pPr>
              <w:jc w:val="left"/>
            </w:pPr>
            <w:r>
              <w:rPr>
                <w:b w:val="0"/>
                <w:bCs w:val="0"/>
                <w:color w:val="1A1A1A"/>
                <w:sz w:val="19"/>
                <w:szCs w:val="19"/>
              </w:rPr>
              <w:t>Kafka / event-stream ingestion</w:t>
            </w:r>
          </w:p>
        </w:tc>
      </w:tr>
      <w:tr w14:paraId="70BA9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4F6F8"/>
            <w:tcMar>
              <w:top w:w="90" w:type="dxa"/>
              <w:left w:w="120" w:type="dxa"/>
              <w:bottom w:w="90" w:type="dxa"/>
              <w:right w:w="120" w:type="dxa"/>
            </w:tcMar>
            <w:vAlign w:val="center"/>
          </w:tcPr>
          <w:p w14:paraId="7ED02317">
            <w:pPr>
              <w:jc w:val="left"/>
            </w:pPr>
            <w:r>
              <w:rPr>
                <w:b w:val="0"/>
                <w:bCs w:val="0"/>
                <w:color w:val="1A1A1A"/>
                <w:sz w:val="19"/>
                <w:szCs w:val="19"/>
              </w:rPr>
              <w:t>Transformation</w:t>
            </w:r>
          </w:p>
        </w:tc>
        <w:tc>
          <w:tcPr>
            <w:tcW w:w="3200" w:type="dxa"/>
            <w:shd w:val="clear" w:color="auto" w:fill="F4F6F8"/>
            <w:tcMar>
              <w:top w:w="90" w:type="dxa"/>
              <w:left w:w="120" w:type="dxa"/>
              <w:bottom w:w="90" w:type="dxa"/>
              <w:right w:w="120" w:type="dxa"/>
            </w:tcMar>
            <w:vAlign w:val="center"/>
          </w:tcPr>
          <w:p w14:paraId="6F2F45B0">
            <w:pPr>
              <w:jc w:val="left"/>
            </w:pPr>
            <w:r>
              <w:rPr>
                <w:b w:val="0"/>
                <w:bCs w:val="0"/>
                <w:color w:val="1A1A1A"/>
                <w:sz w:val="19"/>
                <w:szCs w:val="19"/>
              </w:rPr>
              <w:t>Lakeflow Declarative Pipelines</w:t>
            </w:r>
          </w:p>
        </w:tc>
        <w:tc>
          <w:tcPr>
            <w:tcW w:w="4840" w:type="dxa"/>
            <w:shd w:val="clear" w:color="auto" w:fill="F4F6F8"/>
            <w:tcMar>
              <w:top w:w="90" w:type="dxa"/>
              <w:left w:w="120" w:type="dxa"/>
              <w:bottom w:w="90" w:type="dxa"/>
              <w:right w:w="120" w:type="dxa"/>
            </w:tcMar>
            <w:vAlign w:val="center"/>
          </w:tcPr>
          <w:p w14:paraId="530A6360">
            <w:pPr>
              <w:jc w:val="left"/>
            </w:pPr>
            <w:r>
              <w:rPr>
                <w:b w:val="0"/>
                <w:bCs w:val="0"/>
                <w:color w:val="1A1A1A"/>
                <w:sz w:val="19"/>
                <w:szCs w:val="19"/>
              </w:rPr>
              <w:t>Bronze → Silver</w:t>
            </w:r>
          </w:p>
        </w:tc>
      </w:tr>
      <w:tr w14:paraId="6F4A4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90" w:type="dxa"/>
              <w:left w:w="120" w:type="dxa"/>
              <w:bottom w:w="90" w:type="dxa"/>
              <w:right w:w="120" w:type="dxa"/>
            </w:tcMar>
            <w:vAlign w:val="center"/>
          </w:tcPr>
          <w:p w14:paraId="78F66498">
            <w:pPr>
              <w:jc w:val="left"/>
            </w:pPr>
            <w:r>
              <w:rPr>
                <w:b w:val="0"/>
                <w:bCs w:val="0"/>
                <w:color w:val="1A1A1A"/>
                <w:sz w:val="19"/>
                <w:szCs w:val="19"/>
              </w:rPr>
              <w:t>Transformation</w:t>
            </w:r>
          </w:p>
        </w:tc>
        <w:tc>
          <w:tcPr>
            <w:tcW w:w="3200" w:type="dxa"/>
            <w:shd w:val="clear" w:color="auto" w:fill="FFFFFF"/>
            <w:tcMar>
              <w:top w:w="90" w:type="dxa"/>
              <w:left w:w="120" w:type="dxa"/>
              <w:bottom w:w="90" w:type="dxa"/>
              <w:right w:w="120" w:type="dxa"/>
            </w:tcMar>
            <w:vAlign w:val="center"/>
          </w:tcPr>
          <w:p w14:paraId="2434B920">
            <w:pPr>
              <w:jc w:val="left"/>
            </w:pPr>
            <w:r>
              <w:rPr>
                <w:b w:val="0"/>
                <w:bCs w:val="0"/>
                <w:color w:val="1A1A1A"/>
                <w:sz w:val="19"/>
                <w:szCs w:val="19"/>
              </w:rPr>
              <w:t>dbt</w:t>
            </w:r>
          </w:p>
        </w:tc>
        <w:tc>
          <w:tcPr>
            <w:tcW w:w="4840" w:type="dxa"/>
            <w:shd w:val="clear" w:color="auto" w:fill="FFFFFF"/>
            <w:tcMar>
              <w:top w:w="90" w:type="dxa"/>
              <w:left w:w="120" w:type="dxa"/>
              <w:bottom w:w="90" w:type="dxa"/>
              <w:right w:w="120" w:type="dxa"/>
            </w:tcMar>
            <w:vAlign w:val="center"/>
          </w:tcPr>
          <w:p w14:paraId="596B63B2">
            <w:pPr>
              <w:jc w:val="left"/>
            </w:pPr>
            <w:r>
              <w:rPr>
                <w:b w:val="0"/>
                <w:bCs w:val="0"/>
                <w:color w:val="1A1A1A"/>
                <w:sz w:val="19"/>
                <w:szCs w:val="19"/>
              </w:rPr>
              <w:t>Silver → Gold, business logic and semantic layer</w:t>
            </w:r>
          </w:p>
        </w:tc>
      </w:tr>
    </w:tbl>
    <w:p w14:paraId="3E6EB79A">
      <w:pPr>
        <w:pStyle w:val="3"/>
        <w:spacing w:before="320" w:after="140"/>
      </w:pPr>
      <w:r>
        <w:rPr>
          <w:b/>
          <w:bCs/>
          <w:color w:val="2E5C8A"/>
          <w:sz w:val="24"/>
          <w:szCs w:val="24"/>
        </w:rPr>
        <w:t>3.3 When Meltano Should Be Used</w:t>
      </w:r>
    </w:p>
    <w:p w14:paraId="3B5875FF">
      <w:pPr>
        <w:pStyle w:val="16"/>
        <w:numPr>
          <w:ilvl w:val="0"/>
          <w:numId w:val="1"/>
        </w:numPr>
        <w:spacing w:after="80" w:line="280" w:lineRule="auto"/>
      </w:pPr>
      <w:r>
        <w:rPr>
          <w:color w:val="1A1A1A"/>
          <w:sz w:val="21"/>
          <w:szCs w:val="21"/>
        </w:rPr>
        <w:t>Connectors are needed that Lakeflow Connect does not support</w:t>
      </w:r>
    </w:p>
    <w:p w14:paraId="4373A163">
      <w:pPr>
        <w:pStyle w:val="16"/>
        <w:numPr>
          <w:ilvl w:val="0"/>
          <w:numId w:val="1"/>
        </w:numPr>
        <w:spacing w:after="80" w:line="280" w:lineRule="auto"/>
      </w:pPr>
      <w:r>
        <w:rPr>
          <w:color w:val="1A1A1A"/>
          <w:sz w:val="21"/>
          <w:szCs w:val="21"/>
        </w:rPr>
        <w:t>An open-source alternative to Fivetran is preferred to avoid per-connector licensing</w:t>
      </w:r>
    </w:p>
    <w:p w14:paraId="30975124">
      <w:pPr>
        <w:pStyle w:val="16"/>
        <w:numPr>
          <w:ilvl w:val="0"/>
          <w:numId w:val="1"/>
        </w:numPr>
        <w:spacing w:after="80" w:line="280" w:lineRule="auto"/>
      </w:pPr>
      <w:r>
        <w:rPr>
          <w:color w:val="1A1A1A"/>
          <w:sz w:val="21"/>
          <w:szCs w:val="21"/>
        </w:rPr>
        <w:t>There are many custom or internal REST APIs to integrate</w:t>
      </w:r>
    </w:p>
    <w:p w14:paraId="5F09D5AC">
      <w:pPr>
        <w:pStyle w:val="16"/>
        <w:numPr>
          <w:ilvl w:val="0"/>
          <w:numId w:val="1"/>
        </w:numPr>
        <w:spacing w:after="80" w:line="280" w:lineRule="auto"/>
      </w:pPr>
      <w:r>
        <w:rPr>
          <w:color w:val="1A1A1A"/>
          <w:sz w:val="21"/>
          <w:szCs w:val="21"/>
        </w:rPr>
        <w:t>Git-based, version-controlled connector definitions are a requirement</w:t>
      </w:r>
    </w:p>
    <w:p w14:paraId="4C45856A">
      <w:pPr>
        <w:pStyle w:val="2"/>
        <w:pBdr>
          <w:bottom w:val="single" w:color="2E5C8A" w:sz="8" w:space="4"/>
        </w:pBdr>
        <w:spacing w:before="400" w:after="200"/>
        <w:rPr>
          <w:b/>
          <w:bCs/>
          <w:color w:val="1F2937"/>
          <w:sz w:val="30"/>
          <w:szCs w:val="30"/>
        </w:rPr>
      </w:pPr>
    </w:p>
    <w:p w14:paraId="7864233D">
      <w:pPr>
        <w:pStyle w:val="2"/>
        <w:pBdr>
          <w:bottom w:val="single" w:color="2E5C8A" w:sz="8" w:space="4"/>
        </w:pBdr>
        <w:spacing w:before="400" w:after="200"/>
        <w:rPr>
          <w:b/>
          <w:bCs/>
          <w:color w:val="1F2937"/>
          <w:sz w:val="30"/>
          <w:szCs w:val="30"/>
        </w:rPr>
      </w:pPr>
    </w:p>
    <w:p w14:paraId="2D955981">
      <w:pPr>
        <w:pStyle w:val="2"/>
        <w:pBdr>
          <w:bottom w:val="single" w:color="2E5C8A" w:sz="8" w:space="4"/>
        </w:pBdr>
        <w:spacing w:before="400" w:after="200"/>
      </w:pPr>
      <w:r>
        <w:rPr>
          <w:b/>
          <w:bCs/>
          <w:color w:val="1F2937"/>
          <w:sz w:val="30"/>
          <w:szCs w:val="30"/>
        </w:rPr>
        <w:t>4. Cost Impact Analysis</w:t>
      </w:r>
    </w:p>
    <w:p w14:paraId="57AC7AA6">
      <w:pPr>
        <w:spacing w:after="160" w:line="300" w:lineRule="auto"/>
      </w:pPr>
      <w:r>
        <w:rPr>
          <w:color w:val="1A1A1A"/>
          <w:sz w:val="21"/>
          <w:szCs w:val="21"/>
        </w:rPr>
        <w:t>The direct question — "does cost increase or decrease with Meltano?" — does not have a single answer. License cost decreases; total delivery cost depends on team capability and source complexity.</w:t>
      </w:r>
    </w:p>
    <w:p w14:paraId="2C72D2C3">
      <w:pPr>
        <w:pStyle w:val="3"/>
        <w:spacing w:before="320" w:after="140"/>
      </w:pPr>
      <w:r>
        <w:rPr>
          <w:b/>
          <w:bCs/>
          <w:color w:val="2E5C8A"/>
          <w:sz w:val="24"/>
          <w:szCs w:val="24"/>
        </w:rPr>
        <w:t>4.1 Cost Comparison by Factor</w:t>
      </w:r>
    </w:p>
    <w:tbl>
      <w:tblPr>
        <w:tblStyle w:val="9"/>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200"/>
        <w:gridCol w:w="3640"/>
      </w:tblGrid>
      <w:tr w14:paraId="62470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2937"/>
            <w:tcMar>
              <w:top w:w="100" w:type="dxa"/>
              <w:left w:w="120" w:type="dxa"/>
              <w:bottom w:w="100" w:type="dxa"/>
              <w:right w:w="120" w:type="dxa"/>
            </w:tcMar>
            <w:vAlign w:val="center"/>
          </w:tcPr>
          <w:p w14:paraId="6AC5F3C6">
            <w:pPr>
              <w:jc w:val="left"/>
            </w:pPr>
            <w:r>
              <w:rPr>
                <w:b/>
                <w:bCs/>
                <w:color w:val="FFFFFF"/>
                <w:sz w:val="19"/>
                <w:szCs w:val="19"/>
              </w:rPr>
              <w:t>Factor</w:t>
            </w:r>
          </w:p>
        </w:tc>
        <w:tc>
          <w:tcPr>
            <w:tcW w:w="4200" w:type="dxa"/>
            <w:shd w:val="clear" w:color="auto" w:fill="1F2937"/>
            <w:tcMar>
              <w:top w:w="100" w:type="dxa"/>
              <w:left w:w="120" w:type="dxa"/>
              <w:bottom w:w="100" w:type="dxa"/>
              <w:right w:w="120" w:type="dxa"/>
            </w:tcMar>
            <w:vAlign w:val="center"/>
          </w:tcPr>
          <w:p w14:paraId="1D56EF2B">
            <w:pPr>
              <w:jc w:val="left"/>
            </w:pPr>
            <w:r>
              <w:rPr>
                <w:b/>
                <w:bCs/>
                <w:color w:val="FFFFFF"/>
                <w:sz w:val="19"/>
                <w:szCs w:val="19"/>
              </w:rPr>
              <w:t>Lakeflow Connect</w:t>
            </w:r>
          </w:p>
        </w:tc>
        <w:tc>
          <w:tcPr>
            <w:tcW w:w="3640" w:type="dxa"/>
            <w:shd w:val="clear" w:color="auto" w:fill="1F2937"/>
            <w:tcMar>
              <w:top w:w="100" w:type="dxa"/>
              <w:left w:w="120" w:type="dxa"/>
              <w:bottom w:w="100" w:type="dxa"/>
              <w:right w:w="120" w:type="dxa"/>
            </w:tcMar>
            <w:vAlign w:val="center"/>
          </w:tcPr>
          <w:p w14:paraId="49B0DDB1">
            <w:pPr>
              <w:jc w:val="left"/>
            </w:pPr>
            <w:r>
              <w:rPr>
                <w:b/>
                <w:bCs/>
                <w:color w:val="FFFFFF"/>
                <w:sz w:val="19"/>
                <w:szCs w:val="19"/>
              </w:rPr>
              <w:t>Meltano</w:t>
            </w:r>
          </w:p>
        </w:tc>
      </w:tr>
      <w:tr w14:paraId="2DFA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101784C6">
            <w:pPr>
              <w:jc w:val="left"/>
            </w:pPr>
            <w:r>
              <w:rPr>
                <w:b w:val="0"/>
                <w:bCs w:val="0"/>
                <w:color w:val="1A1A1A"/>
                <w:sz w:val="19"/>
                <w:szCs w:val="19"/>
              </w:rPr>
              <w:t>License</w:t>
            </w:r>
          </w:p>
        </w:tc>
        <w:tc>
          <w:tcPr>
            <w:tcW w:w="4200" w:type="dxa"/>
            <w:shd w:val="clear" w:color="auto" w:fill="FFFFFF"/>
            <w:tcMar>
              <w:top w:w="90" w:type="dxa"/>
              <w:left w:w="120" w:type="dxa"/>
              <w:bottom w:w="90" w:type="dxa"/>
              <w:right w:w="120" w:type="dxa"/>
            </w:tcMar>
            <w:vAlign w:val="center"/>
          </w:tcPr>
          <w:p w14:paraId="1743982D">
            <w:pPr>
              <w:jc w:val="left"/>
            </w:pPr>
            <w:r>
              <w:rPr>
                <w:b w:val="0"/>
                <w:bCs w:val="0"/>
                <w:color w:val="1A1A1A"/>
                <w:sz w:val="19"/>
                <w:szCs w:val="19"/>
              </w:rPr>
              <w:t>Included with Databricks (supported connectors)</w:t>
            </w:r>
          </w:p>
        </w:tc>
        <w:tc>
          <w:tcPr>
            <w:tcW w:w="3640" w:type="dxa"/>
            <w:shd w:val="clear" w:color="auto" w:fill="FFFFFF"/>
            <w:tcMar>
              <w:top w:w="90" w:type="dxa"/>
              <w:left w:w="120" w:type="dxa"/>
              <w:bottom w:w="90" w:type="dxa"/>
              <w:right w:w="120" w:type="dxa"/>
            </w:tcMar>
            <w:vAlign w:val="center"/>
          </w:tcPr>
          <w:p w14:paraId="3BEDA1D4">
            <w:pPr>
              <w:jc w:val="left"/>
            </w:pPr>
            <w:r>
              <w:rPr>
                <w:b w:val="0"/>
                <w:bCs w:val="0"/>
                <w:color w:val="1A1A1A"/>
                <w:sz w:val="19"/>
                <w:szCs w:val="19"/>
              </w:rPr>
              <w:t>Free (open source)</w:t>
            </w:r>
          </w:p>
        </w:tc>
      </w:tr>
      <w:tr w14:paraId="0AF6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4F6F8"/>
            <w:tcMar>
              <w:top w:w="90" w:type="dxa"/>
              <w:left w:w="120" w:type="dxa"/>
              <w:bottom w:w="90" w:type="dxa"/>
              <w:right w:w="120" w:type="dxa"/>
            </w:tcMar>
            <w:vAlign w:val="center"/>
          </w:tcPr>
          <w:p w14:paraId="651AEFFA">
            <w:pPr>
              <w:jc w:val="left"/>
            </w:pPr>
            <w:r>
              <w:rPr>
                <w:b w:val="0"/>
                <w:bCs w:val="0"/>
                <w:color w:val="1A1A1A"/>
                <w:sz w:val="19"/>
                <w:szCs w:val="19"/>
              </w:rPr>
              <w:t>Infrastructure</w:t>
            </w:r>
          </w:p>
        </w:tc>
        <w:tc>
          <w:tcPr>
            <w:tcW w:w="4200" w:type="dxa"/>
            <w:shd w:val="clear" w:color="auto" w:fill="F4F6F8"/>
            <w:tcMar>
              <w:top w:w="90" w:type="dxa"/>
              <w:left w:w="120" w:type="dxa"/>
              <w:bottom w:w="90" w:type="dxa"/>
              <w:right w:w="120" w:type="dxa"/>
            </w:tcMar>
            <w:vAlign w:val="center"/>
          </w:tcPr>
          <w:p w14:paraId="60AD2BD4">
            <w:pPr>
              <w:jc w:val="left"/>
            </w:pPr>
            <w:r>
              <w:rPr>
                <w:b w:val="0"/>
                <w:bCs w:val="0"/>
                <w:color w:val="1A1A1A"/>
                <w:sz w:val="19"/>
                <w:szCs w:val="19"/>
              </w:rPr>
              <w:t>Databricks-managed</w:t>
            </w:r>
          </w:p>
        </w:tc>
        <w:tc>
          <w:tcPr>
            <w:tcW w:w="3640" w:type="dxa"/>
            <w:shd w:val="clear" w:color="auto" w:fill="F4F6F8"/>
            <w:tcMar>
              <w:top w:w="90" w:type="dxa"/>
              <w:left w:w="120" w:type="dxa"/>
              <w:bottom w:w="90" w:type="dxa"/>
              <w:right w:w="120" w:type="dxa"/>
            </w:tcMar>
            <w:vAlign w:val="center"/>
          </w:tcPr>
          <w:p w14:paraId="35C0C00F">
            <w:pPr>
              <w:jc w:val="left"/>
            </w:pPr>
            <w:r>
              <w:rPr>
                <w:b w:val="0"/>
                <w:bCs w:val="0"/>
                <w:color w:val="1A1A1A"/>
                <w:sz w:val="19"/>
                <w:szCs w:val="19"/>
              </w:rPr>
              <w:t>Self-managed (VM / Kubernetes)</w:t>
            </w:r>
          </w:p>
        </w:tc>
      </w:tr>
      <w:tr w14:paraId="4386E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03D903A4">
            <w:pPr>
              <w:jc w:val="left"/>
            </w:pPr>
            <w:r>
              <w:rPr>
                <w:b w:val="0"/>
                <w:bCs w:val="0"/>
                <w:color w:val="1A1A1A"/>
                <w:sz w:val="19"/>
                <w:szCs w:val="19"/>
              </w:rPr>
              <w:t>Compute</w:t>
            </w:r>
          </w:p>
        </w:tc>
        <w:tc>
          <w:tcPr>
            <w:tcW w:w="4200" w:type="dxa"/>
            <w:shd w:val="clear" w:color="auto" w:fill="FFFFFF"/>
            <w:tcMar>
              <w:top w:w="90" w:type="dxa"/>
              <w:left w:w="120" w:type="dxa"/>
              <w:bottom w:w="90" w:type="dxa"/>
              <w:right w:w="120" w:type="dxa"/>
            </w:tcMar>
            <w:vAlign w:val="center"/>
          </w:tcPr>
          <w:p w14:paraId="45A0FC49">
            <w:pPr>
              <w:jc w:val="left"/>
            </w:pPr>
            <w:r>
              <w:rPr>
                <w:b w:val="0"/>
                <w:bCs w:val="0"/>
                <w:color w:val="1A1A1A"/>
                <w:sz w:val="19"/>
                <w:szCs w:val="19"/>
              </w:rPr>
              <w:t>Databricks</w:t>
            </w:r>
          </w:p>
        </w:tc>
        <w:tc>
          <w:tcPr>
            <w:tcW w:w="3640" w:type="dxa"/>
            <w:shd w:val="clear" w:color="auto" w:fill="FFFFFF"/>
            <w:tcMar>
              <w:top w:w="90" w:type="dxa"/>
              <w:left w:w="120" w:type="dxa"/>
              <w:bottom w:w="90" w:type="dxa"/>
              <w:right w:w="120" w:type="dxa"/>
            </w:tcMar>
            <w:vAlign w:val="center"/>
          </w:tcPr>
          <w:p w14:paraId="2672AB9A">
            <w:pPr>
              <w:jc w:val="left"/>
            </w:pPr>
            <w:r>
              <w:rPr>
                <w:b w:val="0"/>
                <w:bCs w:val="0"/>
                <w:color w:val="1A1A1A"/>
                <w:sz w:val="19"/>
                <w:szCs w:val="19"/>
              </w:rPr>
              <w:t>VM / Kubernetes / Databricks Job</w:t>
            </w:r>
          </w:p>
        </w:tc>
      </w:tr>
      <w:tr w14:paraId="73E79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4F6F8"/>
            <w:tcMar>
              <w:top w:w="90" w:type="dxa"/>
              <w:left w:w="120" w:type="dxa"/>
              <w:bottom w:w="90" w:type="dxa"/>
              <w:right w:w="120" w:type="dxa"/>
            </w:tcMar>
            <w:vAlign w:val="center"/>
          </w:tcPr>
          <w:p w14:paraId="43164387">
            <w:pPr>
              <w:jc w:val="left"/>
            </w:pPr>
            <w:r>
              <w:rPr>
                <w:b w:val="0"/>
                <w:bCs w:val="0"/>
                <w:color w:val="1A1A1A"/>
                <w:sz w:val="19"/>
                <w:szCs w:val="19"/>
              </w:rPr>
              <w:t>Connector maintenance</w:t>
            </w:r>
          </w:p>
        </w:tc>
        <w:tc>
          <w:tcPr>
            <w:tcW w:w="4200" w:type="dxa"/>
            <w:shd w:val="clear" w:color="auto" w:fill="F4F6F8"/>
            <w:tcMar>
              <w:top w:w="90" w:type="dxa"/>
              <w:left w:w="120" w:type="dxa"/>
              <w:bottom w:w="90" w:type="dxa"/>
              <w:right w:w="120" w:type="dxa"/>
            </w:tcMar>
            <w:vAlign w:val="center"/>
          </w:tcPr>
          <w:p w14:paraId="6CBCFA1A">
            <w:pPr>
              <w:jc w:val="left"/>
            </w:pPr>
            <w:r>
              <w:rPr>
                <w:b w:val="0"/>
                <w:bCs w:val="0"/>
                <w:color w:val="1A1A1A"/>
                <w:sz w:val="19"/>
                <w:szCs w:val="19"/>
              </w:rPr>
              <w:t>Databricks</w:t>
            </w:r>
          </w:p>
        </w:tc>
        <w:tc>
          <w:tcPr>
            <w:tcW w:w="3640" w:type="dxa"/>
            <w:shd w:val="clear" w:color="auto" w:fill="F4F6F8"/>
            <w:tcMar>
              <w:top w:w="90" w:type="dxa"/>
              <w:left w:w="120" w:type="dxa"/>
              <w:bottom w:w="90" w:type="dxa"/>
              <w:right w:w="120" w:type="dxa"/>
            </w:tcMar>
            <w:vAlign w:val="center"/>
          </w:tcPr>
          <w:p w14:paraId="5D81C433">
            <w:pPr>
              <w:jc w:val="left"/>
            </w:pPr>
            <w:r>
              <w:rPr>
                <w:b w:val="0"/>
                <w:bCs w:val="0"/>
                <w:color w:val="1A1A1A"/>
                <w:sz w:val="19"/>
                <w:szCs w:val="19"/>
              </w:rPr>
              <w:t>Owned by internal team</w:t>
            </w:r>
          </w:p>
        </w:tc>
      </w:tr>
      <w:tr w14:paraId="3A41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58444C03">
            <w:pPr>
              <w:jc w:val="left"/>
            </w:pPr>
            <w:r>
              <w:rPr>
                <w:b w:val="0"/>
                <w:bCs w:val="0"/>
                <w:color w:val="1A1A1A"/>
                <w:sz w:val="19"/>
                <w:szCs w:val="19"/>
              </w:rPr>
              <w:t>Upgrades</w:t>
            </w:r>
          </w:p>
        </w:tc>
        <w:tc>
          <w:tcPr>
            <w:tcW w:w="4200" w:type="dxa"/>
            <w:shd w:val="clear" w:color="auto" w:fill="FFFFFF"/>
            <w:tcMar>
              <w:top w:w="90" w:type="dxa"/>
              <w:left w:w="120" w:type="dxa"/>
              <w:bottom w:w="90" w:type="dxa"/>
              <w:right w:w="120" w:type="dxa"/>
            </w:tcMar>
            <w:vAlign w:val="center"/>
          </w:tcPr>
          <w:p w14:paraId="171369BA">
            <w:pPr>
              <w:jc w:val="left"/>
            </w:pPr>
            <w:r>
              <w:rPr>
                <w:b w:val="0"/>
                <w:bCs w:val="0"/>
                <w:color w:val="1A1A1A"/>
                <w:sz w:val="19"/>
                <w:szCs w:val="19"/>
              </w:rPr>
              <w:t>Automatic</w:t>
            </w:r>
          </w:p>
        </w:tc>
        <w:tc>
          <w:tcPr>
            <w:tcW w:w="3640" w:type="dxa"/>
            <w:shd w:val="clear" w:color="auto" w:fill="FFFFFF"/>
            <w:tcMar>
              <w:top w:w="90" w:type="dxa"/>
              <w:left w:w="120" w:type="dxa"/>
              <w:bottom w:w="90" w:type="dxa"/>
              <w:right w:w="120" w:type="dxa"/>
            </w:tcMar>
            <w:vAlign w:val="center"/>
          </w:tcPr>
          <w:p w14:paraId="0F6AD550">
            <w:pPr>
              <w:jc w:val="left"/>
            </w:pPr>
            <w:r>
              <w:rPr>
                <w:b w:val="0"/>
                <w:bCs w:val="0"/>
                <w:color w:val="1A1A1A"/>
                <w:sz w:val="19"/>
                <w:szCs w:val="19"/>
              </w:rPr>
              <w:t>Manual</w:t>
            </w:r>
          </w:p>
        </w:tc>
      </w:tr>
      <w:tr w14:paraId="7FBAA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4F6F8"/>
            <w:tcMar>
              <w:top w:w="90" w:type="dxa"/>
              <w:left w:w="120" w:type="dxa"/>
              <w:bottom w:w="90" w:type="dxa"/>
              <w:right w:w="120" w:type="dxa"/>
            </w:tcMar>
            <w:vAlign w:val="center"/>
          </w:tcPr>
          <w:p w14:paraId="00D6D63F">
            <w:pPr>
              <w:jc w:val="left"/>
            </w:pPr>
            <w:r>
              <w:rPr>
                <w:b w:val="0"/>
                <w:bCs w:val="0"/>
                <w:color w:val="1A1A1A"/>
                <w:sz w:val="19"/>
                <w:szCs w:val="19"/>
              </w:rPr>
              <w:t>Monitoring</w:t>
            </w:r>
          </w:p>
        </w:tc>
        <w:tc>
          <w:tcPr>
            <w:tcW w:w="4200" w:type="dxa"/>
            <w:shd w:val="clear" w:color="auto" w:fill="F4F6F8"/>
            <w:tcMar>
              <w:top w:w="90" w:type="dxa"/>
              <w:left w:w="120" w:type="dxa"/>
              <w:bottom w:w="90" w:type="dxa"/>
              <w:right w:w="120" w:type="dxa"/>
            </w:tcMar>
            <w:vAlign w:val="center"/>
          </w:tcPr>
          <w:p w14:paraId="33300DAB">
            <w:pPr>
              <w:jc w:val="left"/>
            </w:pPr>
            <w:r>
              <w:rPr>
                <w:b w:val="0"/>
                <w:bCs w:val="0"/>
                <w:color w:val="1A1A1A"/>
                <w:sz w:val="19"/>
                <w:szCs w:val="19"/>
              </w:rPr>
              <w:t>Native</w:t>
            </w:r>
          </w:p>
        </w:tc>
        <w:tc>
          <w:tcPr>
            <w:tcW w:w="3640" w:type="dxa"/>
            <w:shd w:val="clear" w:color="auto" w:fill="F4F6F8"/>
            <w:tcMar>
              <w:top w:w="90" w:type="dxa"/>
              <w:left w:w="120" w:type="dxa"/>
              <w:bottom w:w="90" w:type="dxa"/>
              <w:right w:w="120" w:type="dxa"/>
            </w:tcMar>
            <w:vAlign w:val="center"/>
          </w:tcPr>
          <w:p w14:paraId="60B7B238">
            <w:pPr>
              <w:jc w:val="left"/>
            </w:pPr>
            <w:r>
              <w:rPr>
                <w:b w:val="0"/>
                <w:bCs w:val="0"/>
                <w:color w:val="1A1A1A"/>
                <w:sz w:val="19"/>
                <w:szCs w:val="19"/>
              </w:rPr>
              <w:t>Must be built (Grafana, Prometheus, Datadog, etc.)</w:t>
            </w:r>
          </w:p>
        </w:tc>
      </w:tr>
      <w:tr w14:paraId="21BB0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7EFFEEE6">
            <w:pPr>
              <w:jc w:val="left"/>
            </w:pPr>
            <w:r>
              <w:rPr>
                <w:b w:val="0"/>
                <w:bCs w:val="0"/>
                <w:color w:val="1A1A1A"/>
                <w:sz w:val="19"/>
                <w:szCs w:val="19"/>
              </w:rPr>
              <w:t>Support</w:t>
            </w:r>
          </w:p>
        </w:tc>
        <w:tc>
          <w:tcPr>
            <w:tcW w:w="4200" w:type="dxa"/>
            <w:shd w:val="clear" w:color="auto" w:fill="FFFFFF"/>
            <w:tcMar>
              <w:top w:w="90" w:type="dxa"/>
              <w:left w:w="120" w:type="dxa"/>
              <w:bottom w:w="90" w:type="dxa"/>
              <w:right w:w="120" w:type="dxa"/>
            </w:tcMar>
            <w:vAlign w:val="center"/>
          </w:tcPr>
          <w:p w14:paraId="0550775A">
            <w:pPr>
              <w:jc w:val="left"/>
            </w:pPr>
            <w:r>
              <w:rPr>
                <w:b w:val="0"/>
                <w:bCs w:val="0"/>
                <w:color w:val="1A1A1A"/>
                <w:sz w:val="19"/>
                <w:szCs w:val="19"/>
              </w:rPr>
              <w:t>Databricks Enterprise SLA</w:t>
            </w:r>
          </w:p>
        </w:tc>
        <w:tc>
          <w:tcPr>
            <w:tcW w:w="3640" w:type="dxa"/>
            <w:shd w:val="clear" w:color="auto" w:fill="FFFFFF"/>
            <w:tcMar>
              <w:top w:w="90" w:type="dxa"/>
              <w:left w:w="120" w:type="dxa"/>
              <w:bottom w:w="90" w:type="dxa"/>
              <w:right w:w="120" w:type="dxa"/>
            </w:tcMar>
            <w:vAlign w:val="center"/>
          </w:tcPr>
          <w:p w14:paraId="5A2DC2EC">
            <w:pPr>
              <w:jc w:val="left"/>
            </w:pPr>
            <w:r>
              <w:rPr>
                <w:b w:val="0"/>
                <w:bCs w:val="0"/>
                <w:color w:val="1A1A1A"/>
                <w:sz w:val="19"/>
                <w:szCs w:val="19"/>
              </w:rPr>
              <w:t>Community, or paid enterprise support if adopted</w:t>
            </w:r>
          </w:p>
        </w:tc>
      </w:tr>
    </w:tbl>
    <w:p w14:paraId="06C94082">
      <w:pPr>
        <w:pStyle w:val="3"/>
        <w:spacing w:before="320" w:after="140"/>
      </w:pPr>
      <w:r>
        <w:rPr>
          <w:b/>
          <w:bCs/>
          <w:color w:val="2E5C8A"/>
          <w:sz w:val="24"/>
          <w:szCs w:val="24"/>
        </w:rPr>
        <w:t>4.2 Illustrative Scenario</w:t>
      </w:r>
    </w:p>
    <w:p w14:paraId="24359C9A">
      <w:pPr>
        <w:spacing w:after="160" w:line="300" w:lineRule="auto"/>
      </w:pPr>
      <w:r>
        <w:rPr>
          <w:color w:val="1A1A1A"/>
          <w:sz w:val="21"/>
          <w:szCs w:val="21"/>
        </w:rPr>
        <w:t>Example source estate: Oracle, SQL Server, PostgreSQL, Salesforce, Workday, ServiceNow, and 20 custom REST APIs.</w:t>
      </w:r>
    </w:p>
    <w:tbl>
      <w:tblPr>
        <w:tblStyle w:val="9"/>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4600"/>
        <w:gridCol w:w="2640"/>
      </w:tblGrid>
      <w:tr w14:paraId="483A9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2937"/>
            <w:tcMar>
              <w:top w:w="100" w:type="dxa"/>
              <w:left w:w="120" w:type="dxa"/>
              <w:bottom w:w="100" w:type="dxa"/>
              <w:right w:w="120" w:type="dxa"/>
            </w:tcMar>
            <w:vAlign w:val="center"/>
          </w:tcPr>
          <w:p w14:paraId="7A2810F8">
            <w:pPr>
              <w:jc w:val="left"/>
            </w:pPr>
            <w:r>
              <w:rPr>
                <w:b/>
                <w:bCs/>
                <w:color w:val="FFFFFF"/>
                <w:sz w:val="19"/>
                <w:szCs w:val="19"/>
              </w:rPr>
              <w:t>Cost Model</w:t>
            </w:r>
          </w:p>
        </w:tc>
        <w:tc>
          <w:tcPr>
            <w:tcW w:w="4600" w:type="dxa"/>
            <w:shd w:val="clear" w:color="auto" w:fill="1F2937"/>
            <w:tcMar>
              <w:top w:w="100" w:type="dxa"/>
              <w:left w:w="120" w:type="dxa"/>
              <w:bottom w:w="100" w:type="dxa"/>
              <w:right w:w="120" w:type="dxa"/>
            </w:tcMar>
            <w:vAlign w:val="center"/>
          </w:tcPr>
          <w:p w14:paraId="4FCDA5ED">
            <w:pPr>
              <w:jc w:val="left"/>
            </w:pPr>
            <w:r>
              <w:rPr>
                <w:b/>
                <w:bCs/>
                <w:color w:val="FFFFFF"/>
                <w:sz w:val="19"/>
                <w:szCs w:val="19"/>
              </w:rPr>
              <w:t>Composition</w:t>
            </w:r>
          </w:p>
        </w:tc>
        <w:tc>
          <w:tcPr>
            <w:tcW w:w="2640" w:type="dxa"/>
            <w:shd w:val="clear" w:color="auto" w:fill="1F2937"/>
            <w:tcMar>
              <w:top w:w="100" w:type="dxa"/>
              <w:left w:w="120" w:type="dxa"/>
              <w:bottom w:w="100" w:type="dxa"/>
              <w:right w:w="120" w:type="dxa"/>
            </w:tcMar>
            <w:vAlign w:val="center"/>
          </w:tcPr>
          <w:p w14:paraId="10D9CBBE">
            <w:pPr>
              <w:jc w:val="left"/>
            </w:pPr>
            <w:r>
              <w:rPr>
                <w:b/>
                <w:bCs/>
                <w:color w:val="FFFFFF"/>
                <w:sz w:val="19"/>
                <w:szCs w:val="19"/>
              </w:rPr>
              <w:t>Directional Outcome</w:t>
            </w:r>
          </w:p>
        </w:tc>
      </w:tr>
      <w:tr w14:paraId="28C0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24BAEC3E">
            <w:pPr>
              <w:jc w:val="left"/>
            </w:pPr>
            <w:r>
              <w:rPr>
                <w:b w:val="0"/>
                <w:bCs w:val="0"/>
                <w:color w:val="1A1A1A"/>
                <w:sz w:val="19"/>
                <w:szCs w:val="19"/>
              </w:rPr>
              <w:t>Lakeflow Connect / Fivetran</w:t>
            </w:r>
          </w:p>
        </w:tc>
        <w:tc>
          <w:tcPr>
            <w:tcW w:w="4600" w:type="dxa"/>
            <w:shd w:val="clear" w:color="auto" w:fill="FFFFFF"/>
            <w:tcMar>
              <w:top w:w="90" w:type="dxa"/>
              <w:left w:w="120" w:type="dxa"/>
              <w:bottom w:w="90" w:type="dxa"/>
              <w:right w:w="120" w:type="dxa"/>
            </w:tcMar>
            <w:vAlign w:val="center"/>
          </w:tcPr>
          <w:p w14:paraId="28D1769A">
            <w:pPr>
              <w:jc w:val="left"/>
            </w:pPr>
            <w:r>
              <w:rPr>
                <w:b w:val="0"/>
                <w:bCs w:val="0"/>
                <w:color w:val="1A1A1A"/>
                <w:sz w:val="19"/>
                <w:szCs w:val="19"/>
              </w:rPr>
              <w:t>Databricks + connector usage fees + compute</w:t>
            </w:r>
          </w:p>
        </w:tc>
        <w:tc>
          <w:tcPr>
            <w:tcW w:w="2640" w:type="dxa"/>
            <w:shd w:val="clear" w:color="auto" w:fill="FFFFFF"/>
            <w:tcMar>
              <w:top w:w="90" w:type="dxa"/>
              <w:left w:w="120" w:type="dxa"/>
              <w:bottom w:w="90" w:type="dxa"/>
              <w:right w:w="120" w:type="dxa"/>
            </w:tcMar>
            <w:vAlign w:val="center"/>
          </w:tcPr>
          <w:p w14:paraId="15F938FF">
            <w:pPr>
              <w:jc w:val="left"/>
            </w:pPr>
            <w:r>
              <w:rPr>
                <w:b w:val="0"/>
                <w:bCs w:val="0"/>
                <w:color w:val="1A1A1A"/>
                <w:sz w:val="19"/>
                <w:szCs w:val="19"/>
              </w:rPr>
              <w:t>Higher license spend, lower engineering spend</w:t>
            </w:r>
          </w:p>
        </w:tc>
      </w:tr>
      <w:tr w14:paraId="4CD48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4F6F8"/>
            <w:tcMar>
              <w:top w:w="90" w:type="dxa"/>
              <w:left w:w="120" w:type="dxa"/>
              <w:bottom w:w="90" w:type="dxa"/>
              <w:right w:w="120" w:type="dxa"/>
            </w:tcMar>
            <w:vAlign w:val="center"/>
          </w:tcPr>
          <w:p w14:paraId="17B73D9B">
            <w:pPr>
              <w:jc w:val="left"/>
            </w:pPr>
            <w:r>
              <w:rPr>
                <w:b w:val="0"/>
                <w:bCs w:val="0"/>
                <w:color w:val="1A1A1A"/>
                <w:sz w:val="19"/>
                <w:szCs w:val="19"/>
              </w:rPr>
              <w:t>Meltano</w:t>
            </w:r>
          </w:p>
        </w:tc>
        <w:tc>
          <w:tcPr>
            <w:tcW w:w="4600" w:type="dxa"/>
            <w:shd w:val="clear" w:color="auto" w:fill="F4F6F8"/>
            <w:tcMar>
              <w:top w:w="90" w:type="dxa"/>
              <w:left w:w="120" w:type="dxa"/>
              <w:bottom w:w="90" w:type="dxa"/>
              <w:right w:w="120" w:type="dxa"/>
            </w:tcMar>
            <w:vAlign w:val="center"/>
          </w:tcPr>
          <w:p w14:paraId="45FBEE2B">
            <w:pPr>
              <w:jc w:val="left"/>
            </w:pPr>
            <w:r>
              <w:rPr>
                <w:b w:val="0"/>
                <w:bCs w:val="0"/>
                <w:color w:val="1A1A1A"/>
                <w:sz w:val="19"/>
                <w:szCs w:val="19"/>
              </w:rPr>
              <w:t>VM/compute cost + engineering salary for build &amp; maintenance</w:t>
            </w:r>
          </w:p>
        </w:tc>
        <w:tc>
          <w:tcPr>
            <w:tcW w:w="2640" w:type="dxa"/>
            <w:shd w:val="clear" w:color="auto" w:fill="F4F6F8"/>
            <w:tcMar>
              <w:top w:w="90" w:type="dxa"/>
              <w:left w:w="120" w:type="dxa"/>
              <w:bottom w:w="90" w:type="dxa"/>
              <w:right w:w="120" w:type="dxa"/>
            </w:tcMar>
            <w:vAlign w:val="center"/>
          </w:tcPr>
          <w:p w14:paraId="796FAD33">
            <w:pPr>
              <w:jc w:val="left"/>
            </w:pPr>
            <w:r>
              <w:rPr>
                <w:b w:val="0"/>
                <w:bCs w:val="0"/>
                <w:color w:val="1A1A1A"/>
                <w:sz w:val="19"/>
                <w:szCs w:val="19"/>
              </w:rPr>
              <w:t>Near-zero license spend, higher engineering spend</w:t>
            </w:r>
          </w:p>
        </w:tc>
      </w:tr>
    </w:tbl>
    <w:p w14:paraId="6704B9E6">
      <w:pPr>
        <w:spacing w:before="100" w:after="200"/>
      </w:pPr>
      <w:r>
        <w:rPr>
          <w:i/>
          <w:iCs/>
          <w:color w:val="6B7280"/>
          <w:sz w:val="19"/>
          <w:szCs w:val="19"/>
        </w:rPr>
        <w:t>Net effect: license cost decreases, but engineering effort — and therefore total delivery cost — increases. This is the tradeoff a Project Manager must plan staffing and timeline around.</w:t>
      </w:r>
    </w:p>
    <w:p w14:paraId="7C782335">
      <w:pPr>
        <w:pStyle w:val="3"/>
        <w:spacing w:before="320" w:after="140"/>
      </w:pPr>
      <w:r>
        <w:rPr>
          <w:b/>
          <w:bCs/>
          <w:color w:val="2E5C8A"/>
          <w:sz w:val="24"/>
          <w:szCs w:val="24"/>
        </w:rPr>
        <w:t>4.3 Total Cost of Ownership (TCO) — the Metric That Matters</w:t>
      </w:r>
    </w:p>
    <w:p w14:paraId="0ACA3693">
      <w:pPr>
        <w:spacing w:after="160" w:line="300" w:lineRule="auto"/>
      </w:pPr>
      <w:r>
        <w:rPr>
          <w:color w:val="1A1A1A"/>
          <w:sz w:val="21"/>
          <w:szCs w:val="21"/>
        </w:rPr>
        <w:t>Comparing license cost alone is a common and costly mistake. A defensible TCO model includes:</w:t>
      </w:r>
    </w:p>
    <w:p w14:paraId="4E4682A5">
      <w:pPr>
        <w:pStyle w:val="16"/>
        <w:numPr>
          <w:ilvl w:val="0"/>
          <w:numId w:val="1"/>
        </w:numPr>
        <w:spacing w:after="80" w:line="280" w:lineRule="auto"/>
      </w:pPr>
      <w:r>
        <w:rPr>
          <w:color w:val="1A1A1A"/>
          <w:sz w:val="21"/>
          <w:szCs w:val="21"/>
        </w:rPr>
        <w:t>License cost</w:t>
      </w:r>
    </w:p>
    <w:p w14:paraId="1B0FB19C">
      <w:pPr>
        <w:pStyle w:val="16"/>
        <w:numPr>
          <w:ilvl w:val="0"/>
          <w:numId w:val="1"/>
        </w:numPr>
        <w:spacing w:after="80" w:line="280" w:lineRule="auto"/>
      </w:pPr>
      <w:r>
        <w:rPr>
          <w:color w:val="1A1A1A"/>
          <w:sz w:val="21"/>
          <w:szCs w:val="21"/>
        </w:rPr>
        <w:t>Infrastructure cost</w:t>
      </w:r>
    </w:p>
    <w:p w14:paraId="242EFF2E">
      <w:pPr>
        <w:pStyle w:val="16"/>
        <w:numPr>
          <w:ilvl w:val="0"/>
          <w:numId w:val="1"/>
        </w:numPr>
        <w:spacing w:after="80" w:line="280" w:lineRule="auto"/>
      </w:pPr>
      <w:r>
        <w:rPr>
          <w:color w:val="1A1A1A"/>
          <w:sz w:val="21"/>
          <w:szCs w:val="21"/>
        </w:rPr>
        <w:t>Engineering cost (build + ongoing maintenance)</w:t>
      </w:r>
    </w:p>
    <w:p w14:paraId="589EF5F9">
      <w:pPr>
        <w:pStyle w:val="16"/>
        <w:numPr>
          <w:ilvl w:val="0"/>
          <w:numId w:val="1"/>
        </w:numPr>
        <w:spacing w:after="80" w:line="280" w:lineRule="auto"/>
      </w:pPr>
      <w:r>
        <w:rPr>
          <w:color w:val="1A1A1A"/>
          <w:sz w:val="21"/>
          <w:szCs w:val="21"/>
        </w:rPr>
        <w:t>Operational maintenance cost</w:t>
      </w:r>
    </w:p>
    <w:p w14:paraId="225FE2D0">
      <w:pPr>
        <w:pStyle w:val="16"/>
        <w:numPr>
          <w:ilvl w:val="0"/>
          <w:numId w:val="1"/>
        </w:numPr>
        <w:spacing w:after="80" w:line="280" w:lineRule="auto"/>
      </w:pPr>
      <w:r>
        <w:rPr>
          <w:color w:val="1A1A1A"/>
          <w:sz w:val="21"/>
          <w:szCs w:val="21"/>
        </w:rPr>
        <w:t>Downtime / incident cost</w:t>
      </w:r>
    </w:p>
    <w:p w14:paraId="7EF59E51">
      <w:pPr>
        <w:pStyle w:val="16"/>
        <w:numPr>
          <w:ilvl w:val="0"/>
          <w:numId w:val="1"/>
        </w:numPr>
        <w:spacing w:after="80" w:line="280" w:lineRule="auto"/>
      </w:pPr>
      <w:r>
        <w:rPr>
          <w:color w:val="1A1A1A"/>
          <w:sz w:val="21"/>
          <w:szCs w:val="21"/>
        </w:rPr>
        <w:t>Support cost</w:t>
      </w:r>
    </w:p>
    <w:p w14:paraId="4948950A">
      <w:pPr>
        <w:pStyle w:val="16"/>
        <w:numPr>
          <w:ilvl w:val="0"/>
          <w:numId w:val="1"/>
        </w:numPr>
        <w:spacing w:after="80" w:line="280" w:lineRule="auto"/>
      </w:pPr>
      <w:r>
        <w:rPr>
          <w:color w:val="1A1A1A"/>
          <w:sz w:val="21"/>
          <w:szCs w:val="21"/>
        </w:rPr>
        <w:t>Delivery and operational risk</w:t>
      </w:r>
    </w:p>
    <w:tbl>
      <w:tblPr>
        <w:tblStyle w:val="9"/>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400"/>
        <w:gridCol w:w="3600"/>
        <w:gridCol w:w="1240"/>
      </w:tblGrid>
      <w:tr w14:paraId="7BE4C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2937"/>
            <w:tcMar>
              <w:top w:w="100" w:type="dxa"/>
              <w:left w:w="120" w:type="dxa"/>
              <w:bottom w:w="100" w:type="dxa"/>
              <w:right w:w="120" w:type="dxa"/>
            </w:tcMar>
            <w:vAlign w:val="center"/>
          </w:tcPr>
          <w:p w14:paraId="3B3133AE">
            <w:pPr>
              <w:jc w:val="left"/>
            </w:pPr>
            <w:r>
              <w:rPr>
                <w:b/>
                <w:bCs/>
                <w:color w:val="FFFFFF"/>
                <w:sz w:val="19"/>
                <w:szCs w:val="19"/>
              </w:rPr>
              <w:t>Option</w:t>
            </w:r>
          </w:p>
        </w:tc>
        <w:tc>
          <w:tcPr>
            <w:tcW w:w="2400" w:type="dxa"/>
            <w:shd w:val="clear" w:color="auto" w:fill="1F2937"/>
            <w:tcMar>
              <w:top w:w="100" w:type="dxa"/>
              <w:left w:w="120" w:type="dxa"/>
              <w:bottom w:w="100" w:type="dxa"/>
              <w:right w:w="120" w:type="dxa"/>
            </w:tcMar>
            <w:vAlign w:val="center"/>
          </w:tcPr>
          <w:p w14:paraId="03A54E68">
            <w:pPr>
              <w:jc w:val="left"/>
            </w:pPr>
            <w:r>
              <w:rPr>
                <w:b/>
                <w:bCs/>
                <w:color w:val="FFFFFF"/>
                <w:sz w:val="19"/>
                <w:szCs w:val="19"/>
              </w:rPr>
              <w:t>License</w:t>
            </w:r>
          </w:p>
        </w:tc>
        <w:tc>
          <w:tcPr>
            <w:tcW w:w="3600" w:type="dxa"/>
            <w:shd w:val="clear" w:color="auto" w:fill="1F2937"/>
            <w:tcMar>
              <w:top w:w="100" w:type="dxa"/>
              <w:left w:w="120" w:type="dxa"/>
              <w:bottom w:w="100" w:type="dxa"/>
              <w:right w:w="120" w:type="dxa"/>
            </w:tcMar>
            <w:vAlign w:val="center"/>
          </w:tcPr>
          <w:p w14:paraId="7122F615">
            <w:pPr>
              <w:jc w:val="left"/>
            </w:pPr>
            <w:r>
              <w:rPr>
                <w:b/>
                <w:bCs/>
                <w:color w:val="FFFFFF"/>
                <w:sz w:val="19"/>
                <w:szCs w:val="19"/>
              </w:rPr>
              <w:t>Engineering / Infra Effort</w:t>
            </w:r>
          </w:p>
        </w:tc>
        <w:tc>
          <w:tcPr>
            <w:tcW w:w="1240" w:type="dxa"/>
            <w:shd w:val="clear" w:color="auto" w:fill="1F2937"/>
            <w:tcMar>
              <w:top w:w="100" w:type="dxa"/>
              <w:left w:w="120" w:type="dxa"/>
              <w:bottom w:w="100" w:type="dxa"/>
              <w:right w:w="120" w:type="dxa"/>
            </w:tcMar>
            <w:vAlign w:val="center"/>
          </w:tcPr>
          <w:p w14:paraId="5F4C63B0">
            <w:pPr>
              <w:jc w:val="left"/>
            </w:pPr>
            <w:r>
              <w:rPr>
                <w:b/>
                <w:bCs/>
                <w:color w:val="FFFFFF"/>
                <w:sz w:val="19"/>
                <w:szCs w:val="19"/>
              </w:rPr>
              <w:t>Illustrative Total</w:t>
            </w:r>
          </w:p>
        </w:tc>
      </w:tr>
      <w:tr w14:paraId="7F3B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2AFE1D5C">
            <w:pPr>
              <w:jc w:val="left"/>
            </w:pPr>
            <w:r>
              <w:rPr>
                <w:b w:val="0"/>
                <w:bCs w:val="0"/>
                <w:color w:val="1A1A1A"/>
                <w:sz w:val="19"/>
                <w:szCs w:val="19"/>
              </w:rPr>
              <w:t>Lakeflow Connect</w:t>
            </w:r>
          </w:p>
        </w:tc>
        <w:tc>
          <w:tcPr>
            <w:tcW w:w="2400" w:type="dxa"/>
            <w:shd w:val="clear" w:color="auto" w:fill="FFFFFF"/>
            <w:tcMar>
              <w:top w:w="90" w:type="dxa"/>
              <w:left w:w="120" w:type="dxa"/>
              <w:bottom w:w="90" w:type="dxa"/>
              <w:right w:w="120" w:type="dxa"/>
            </w:tcMar>
            <w:vAlign w:val="center"/>
          </w:tcPr>
          <w:p w14:paraId="3EA3D792">
            <w:pPr>
              <w:jc w:val="left"/>
            </w:pPr>
            <w:r>
              <w:rPr>
                <w:b w:val="0"/>
                <w:bCs w:val="0"/>
                <w:color w:val="1A1A1A"/>
                <w:sz w:val="19"/>
                <w:szCs w:val="19"/>
              </w:rPr>
              <w:t>$25k</w:t>
            </w:r>
          </w:p>
        </w:tc>
        <w:tc>
          <w:tcPr>
            <w:tcW w:w="3600" w:type="dxa"/>
            <w:shd w:val="clear" w:color="auto" w:fill="FFFFFF"/>
            <w:tcMar>
              <w:top w:w="90" w:type="dxa"/>
              <w:left w:w="120" w:type="dxa"/>
              <w:bottom w:w="90" w:type="dxa"/>
              <w:right w:w="120" w:type="dxa"/>
            </w:tcMar>
            <w:vAlign w:val="center"/>
          </w:tcPr>
          <w:p w14:paraId="7BA6876B">
            <w:pPr>
              <w:jc w:val="left"/>
            </w:pPr>
            <w:r>
              <w:rPr>
                <w:b w:val="0"/>
                <w:bCs w:val="0"/>
                <w:color w:val="1A1A1A"/>
                <w:sz w:val="19"/>
                <w:szCs w:val="19"/>
              </w:rPr>
              <w:t>$10k</w:t>
            </w:r>
          </w:p>
        </w:tc>
        <w:tc>
          <w:tcPr>
            <w:tcW w:w="1240" w:type="dxa"/>
            <w:shd w:val="clear" w:color="auto" w:fill="FFFFFF"/>
            <w:tcMar>
              <w:top w:w="90" w:type="dxa"/>
              <w:left w:w="120" w:type="dxa"/>
              <w:bottom w:w="90" w:type="dxa"/>
              <w:right w:w="120" w:type="dxa"/>
            </w:tcMar>
            <w:vAlign w:val="center"/>
          </w:tcPr>
          <w:p w14:paraId="6DAFD091">
            <w:pPr>
              <w:jc w:val="left"/>
            </w:pPr>
            <w:r>
              <w:rPr>
                <w:b w:val="0"/>
                <w:bCs w:val="0"/>
                <w:color w:val="1A1A1A"/>
                <w:sz w:val="19"/>
                <w:szCs w:val="19"/>
              </w:rPr>
              <w:t>$35k</w:t>
            </w:r>
          </w:p>
        </w:tc>
      </w:tr>
      <w:tr w14:paraId="7C63C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4F6F8"/>
            <w:tcMar>
              <w:top w:w="90" w:type="dxa"/>
              <w:left w:w="120" w:type="dxa"/>
              <w:bottom w:w="90" w:type="dxa"/>
              <w:right w:w="120" w:type="dxa"/>
            </w:tcMar>
            <w:vAlign w:val="center"/>
          </w:tcPr>
          <w:p w14:paraId="1D38776A">
            <w:pPr>
              <w:jc w:val="left"/>
            </w:pPr>
            <w:r>
              <w:rPr>
                <w:b w:val="0"/>
                <w:bCs w:val="0"/>
                <w:color w:val="1A1A1A"/>
                <w:sz w:val="19"/>
                <w:szCs w:val="19"/>
              </w:rPr>
              <w:t>Meltano</w:t>
            </w:r>
          </w:p>
        </w:tc>
        <w:tc>
          <w:tcPr>
            <w:tcW w:w="2400" w:type="dxa"/>
            <w:shd w:val="clear" w:color="auto" w:fill="F4F6F8"/>
            <w:tcMar>
              <w:top w:w="90" w:type="dxa"/>
              <w:left w:w="120" w:type="dxa"/>
              <w:bottom w:w="90" w:type="dxa"/>
              <w:right w:w="120" w:type="dxa"/>
            </w:tcMar>
            <w:vAlign w:val="center"/>
          </w:tcPr>
          <w:p w14:paraId="64B0354C">
            <w:pPr>
              <w:jc w:val="left"/>
            </w:pPr>
            <w:r>
              <w:rPr>
                <w:b w:val="0"/>
                <w:bCs w:val="0"/>
                <w:color w:val="1A1A1A"/>
                <w:sz w:val="19"/>
                <w:szCs w:val="19"/>
              </w:rPr>
              <w:t>$0</w:t>
            </w:r>
          </w:p>
        </w:tc>
        <w:tc>
          <w:tcPr>
            <w:tcW w:w="3600" w:type="dxa"/>
            <w:shd w:val="clear" w:color="auto" w:fill="F4F6F8"/>
            <w:tcMar>
              <w:top w:w="90" w:type="dxa"/>
              <w:left w:w="120" w:type="dxa"/>
              <w:bottom w:w="90" w:type="dxa"/>
              <w:right w:w="120" w:type="dxa"/>
            </w:tcMar>
            <w:vAlign w:val="center"/>
          </w:tcPr>
          <w:p w14:paraId="4D5BB77C">
            <w:pPr>
              <w:jc w:val="left"/>
            </w:pPr>
            <w:r>
              <w:rPr>
                <w:b w:val="0"/>
                <w:bCs w:val="0"/>
                <w:color w:val="1A1A1A"/>
                <w:sz w:val="19"/>
                <w:szCs w:val="19"/>
              </w:rPr>
              <w:t>$45k (infra $5k + engineering $40k)</w:t>
            </w:r>
          </w:p>
        </w:tc>
        <w:tc>
          <w:tcPr>
            <w:tcW w:w="1240" w:type="dxa"/>
            <w:shd w:val="clear" w:color="auto" w:fill="F4F6F8"/>
            <w:tcMar>
              <w:top w:w="90" w:type="dxa"/>
              <w:left w:w="120" w:type="dxa"/>
              <w:bottom w:w="90" w:type="dxa"/>
              <w:right w:w="120" w:type="dxa"/>
            </w:tcMar>
            <w:vAlign w:val="center"/>
          </w:tcPr>
          <w:p w14:paraId="34952749">
            <w:pPr>
              <w:jc w:val="left"/>
            </w:pPr>
            <w:r>
              <w:rPr>
                <w:b w:val="0"/>
                <w:bCs w:val="0"/>
                <w:color w:val="1A1A1A"/>
                <w:sz w:val="19"/>
                <w:szCs w:val="19"/>
              </w:rPr>
              <w:t>$45k</w:t>
            </w:r>
          </w:p>
        </w:tc>
      </w:tr>
    </w:tbl>
    <w:p w14:paraId="6AFE9687">
      <w:pPr>
        <w:spacing w:before="100" w:after="200"/>
        <w:rPr>
          <w:i/>
          <w:iCs/>
          <w:color w:val="6B7280"/>
          <w:sz w:val="19"/>
          <w:szCs w:val="19"/>
        </w:rPr>
      </w:pPr>
      <w:r>
        <w:rPr>
          <w:i/>
          <w:iCs/>
          <w:color w:val="6B7280"/>
          <w:sz w:val="19"/>
          <w:szCs w:val="19"/>
        </w:rPr>
        <w:t>Figures are illustrative, not sourced quotes — the pattern to defend in review is directional: open source can cost more overall once operational overhead is accounted for, particularly at moderate source counts.</w:t>
      </w:r>
    </w:p>
    <w:p w14:paraId="2D01590D">
      <w:pPr>
        <w:spacing w:before="100" w:after="200"/>
        <w:rPr>
          <w:i/>
          <w:iCs/>
          <w:color w:val="6B7280"/>
          <w:sz w:val="19"/>
          <w:szCs w:val="19"/>
        </w:rPr>
      </w:pPr>
    </w:p>
    <w:p w14:paraId="1639C2F5">
      <w:pPr>
        <w:spacing w:before="100" w:after="200"/>
      </w:pPr>
      <w:r>
        <w:rPr>
          <w:b/>
          <w:bCs/>
          <w:color w:val="1F2937"/>
          <w:sz w:val="30"/>
          <w:szCs w:val="30"/>
        </w:rPr>
        <w:t>5. Database Ingestion: Lakeflow Connect vs. Meltano</w:t>
      </w:r>
    </w:p>
    <w:p w14:paraId="6C0E9223">
      <w:pPr>
        <w:spacing w:after="160" w:line="300" w:lineRule="auto"/>
      </w:pPr>
      <w:r>
        <w:rPr>
          <w:color w:val="1A1A1A"/>
          <w:sz w:val="21"/>
          <w:szCs w:val="21"/>
        </w:rPr>
        <w:t>Using Oracle as a representative case:</w:t>
      </w:r>
    </w:p>
    <w:tbl>
      <w:tblPr>
        <w:tblStyle w:val="9"/>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420"/>
        <w:gridCol w:w="4220"/>
      </w:tblGrid>
      <w:tr w14:paraId="44F4B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2937"/>
            <w:tcMar>
              <w:top w:w="100" w:type="dxa"/>
              <w:left w:w="120" w:type="dxa"/>
              <w:bottom w:w="100" w:type="dxa"/>
              <w:right w:w="120" w:type="dxa"/>
            </w:tcMar>
            <w:vAlign w:val="center"/>
          </w:tcPr>
          <w:p w14:paraId="2E3454E0">
            <w:pPr>
              <w:jc w:val="left"/>
            </w:pPr>
          </w:p>
        </w:tc>
        <w:tc>
          <w:tcPr>
            <w:tcW w:w="4420" w:type="dxa"/>
            <w:shd w:val="clear" w:color="auto" w:fill="1F2937"/>
            <w:tcMar>
              <w:top w:w="100" w:type="dxa"/>
              <w:left w:w="120" w:type="dxa"/>
              <w:bottom w:w="100" w:type="dxa"/>
              <w:right w:w="120" w:type="dxa"/>
            </w:tcMar>
            <w:vAlign w:val="center"/>
          </w:tcPr>
          <w:p w14:paraId="30C4E8E7">
            <w:pPr>
              <w:jc w:val="left"/>
            </w:pPr>
            <w:r>
              <w:rPr>
                <w:b/>
                <w:bCs/>
                <w:color w:val="FFFFFF"/>
                <w:sz w:val="19"/>
                <w:szCs w:val="19"/>
              </w:rPr>
              <w:t>Lakeflow Connect</w:t>
            </w:r>
          </w:p>
        </w:tc>
        <w:tc>
          <w:tcPr>
            <w:tcW w:w="4220" w:type="dxa"/>
            <w:shd w:val="clear" w:color="auto" w:fill="1F2937"/>
            <w:tcMar>
              <w:top w:w="100" w:type="dxa"/>
              <w:left w:w="120" w:type="dxa"/>
              <w:bottom w:w="100" w:type="dxa"/>
              <w:right w:w="120" w:type="dxa"/>
            </w:tcMar>
            <w:vAlign w:val="center"/>
          </w:tcPr>
          <w:p w14:paraId="255B0460">
            <w:pPr>
              <w:jc w:val="left"/>
            </w:pPr>
            <w:r>
              <w:rPr>
                <w:b/>
                <w:bCs/>
                <w:color w:val="FFFFFF"/>
                <w:sz w:val="19"/>
                <w:szCs w:val="19"/>
              </w:rPr>
              <w:t>Meltano (tap-oracle → target-databricks)</w:t>
            </w:r>
          </w:p>
        </w:tc>
      </w:tr>
      <w:tr w14:paraId="235DC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90" w:type="dxa"/>
              <w:left w:w="120" w:type="dxa"/>
              <w:bottom w:w="90" w:type="dxa"/>
              <w:right w:w="120" w:type="dxa"/>
            </w:tcMar>
            <w:vAlign w:val="center"/>
          </w:tcPr>
          <w:p w14:paraId="235AD1EC">
            <w:pPr>
              <w:jc w:val="left"/>
            </w:pPr>
            <w:r>
              <w:rPr>
                <w:b w:val="0"/>
                <w:bCs w:val="0"/>
                <w:color w:val="1A1A1A"/>
                <w:sz w:val="19"/>
                <w:szCs w:val="19"/>
              </w:rPr>
              <w:t>Path</w:t>
            </w:r>
          </w:p>
        </w:tc>
        <w:tc>
          <w:tcPr>
            <w:tcW w:w="4420" w:type="dxa"/>
            <w:shd w:val="clear" w:color="auto" w:fill="FFFFFF"/>
            <w:tcMar>
              <w:top w:w="90" w:type="dxa"/>
              <w:left w:w="120" w:type="dxa"/>
              <w:bottom w:w="90" w:type="dxa"/>
              <w:right w:w="120" w:type="dxa"/>
            </w:tcMar>
            <w:vAlign w:val="center"/>
          </w:tcPr>
          <w:p w14:paraId="164B1132">
            <w:pPr>
              <w:jc w:val="left"/>
            </w:pPr>
            <w:r>
              <w:rPr>
                <w:b w:val="0"/>
                <w:bCs w:val="0"/>
                <w:color w:val="1A1A1A"/>
                <w:sz w:val="19"/>
                <w:szCs w:val="19"/>
              </w:rPr>
              <w:t>Oracle → Lakeflow Connect → Bronze</w:t>
            </w:r>
          </w:p>
        </w:tc>
        <w:tc>
          <w:tcPr>
            <w:tcW w:w="4220" w:type="dxa"/>
            <w:shd w:val="clear" w:color="auto" w:fill="FFFFFF"/>
            <w:tcMar>
              <w:top w:w="90" w:type="dxa"/>
              <w:left w:w="120" w:type="dxa"/>
              <w:bottom w:w="90" w:type="dxa"/>
              <w:right w:w="120" w:type="dxa"/>
            </w:tcMar>
            <w:vAlign w:val="center"/>
          </w:tcPr>
          <w:p w14:paraId="76BBD74E">
            <w:pPr>
              <w:jc w:val="left"/>
            </w:pPr>
            <w:r>
              <w:rPr>
                <w:b w:val="0"/>
                <w:bCs w:val="0"/>
                <w:color w:val="1A1A1A"/>
                <w:sz w:val="19"/>
                <w:szCs w:val="19"/>
              </w:rPr>
              <w:t>Oracle → tap-oracle → target-databricks → Bronze</w:t>
            </w:r>
          </w:p>
        </w:tc>
      </w:tr>
      <w:tr w14:paraId="24FC6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4F6F8"/>
            <w:tcMar>
              <w:top w:w="90" w:type="dxa"/>
              <w:left w:w="120" w:type="dxa"/>
              <w:bottom w:w="90" w:type="dxa"/>
              <w:right w:w="120" w:type="dxa"/>
            </w:tcMar>
            <w:vAlign w:val="center"/>
          </w:tcPr>
          <w:p w14:paraId="1BFA2D09">
            <w:pPr>
              <w:jc w:val="left"/>
            </w:pPr>
            <w:r>
              <w:rPr>
                <w:b w:val="0"/>
                <w:bCs w:val="0"/>
                <w:color w:val="1A1A1A"/>
                <w:sz w:val="19"/>
                <w:szCs w:val="19"/>
              </w:rPr>
              <w:t>Advantages</w:t>
            </w:r>
          </w:p>
        </w:tc>
        <w:tc>
          <w:tcPr>
            <w:tcW w:w="4420" w:type="dxa"/>
            <w:shd w:val="clear" w:color="auto" w:fill="F4F6F8"/>
            <w:tcMar>
              <w:top w:w="90" w:type="dxa"/>
              <w:left w:w="120" w:type="dxa"/>
              <w:bottom w:w="90" w:type="dxa"/>
              <w:right w:w="120" w:type="dxa"/>
            </w:tcMar>
            <w:vAlign w:val="center"/>
          </w:tcPr>
          <w:p w14:paraId="03A09D14">
            <w:pPr>
              <w:jc w:val="left"/>
            </w:pPr>
            <w:r>
              <w:rPr>
                <w:b w:val="0"/>
                <w:bCs w:val="0"/>
                <w:color w:val="1A1A1A"/>
                <w:sz w:val="19"/>
                <w:szCs w:val="19"/>
              </w:rPr>
              <w:t>CDC, schema evolution, retry, monitoring, security — all managed</w:t>
            </w:r>
          </w:p>
        </w:tc>
        <w:tc>
          <w:tcPr>
            <w:tcW w:w="4220" w:type="dxa"/>
            <w:shd w:val="clear" w:color="auto" w:fill="F4F6F8"/>
            <w:tcMar>
              <w:top w:w="90" w:type="dxa"/>
              <w:left w:w="120" w:type="dxa"/>
              <w:bottom w:w="90" w:type="dxa"/>
              <w:right w:w="120" w:type="dxa"/>
            </w:tcMar>
            <w:vAlign w:val="center"/>
          </w:tcPr>
          <w:p w14:paraId="5FF700DC">
            <w:pPr>
              <w:jc w:val="left"/>
            </w:pPr>
            <w:r>
              <w:rPr>
                <w:b w:val="0"/>
                <w:bCs w:val="0"/>
                <w:color w:val="1A1A1A"/>
                <w:sz w:val="19"/>
                <w:szCs w:val="19"/>
              </w:rPr>
              <w:t>Free, Git-versioned, highly customizable</w:t>
            </w:r>
          </w:p>
        </w:tc>
      </w:tr>
      <w:tr w14:paraId="1CF62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90" w:type="dxa"/>
              <w:left w:w="120" w:type="dxa"/>
              <w:bottom w:w="90" w:type="dxa"/>
              <w:right w:w="120" w:type="dxa"/>
            </w:tcMar>
            <w:vAlign w:val="center"/>
          </w:tcPr>
          <w:p w14:paraId="08656E9A">
            <w:pPr>
              <w:jc w:val="left"/>
            </w:pPr>
            <w:r>
              <w:rPr>
                <w:b w:val="0"/>
                <w:bCs w:val="0"/>
                <w:color w:val="1A1A1A"/>
                <w:sz w:val="19"/>
                <w:szCs w:val="19"/>
              </w:rPr>
              <w:t>Disadvantages</w:t>
            </w:r>
          </w:p>
        </w:tc>
        <w:tc>
          <w:tcPr>
            <w:tcW w:w="4420" w:type="dxa"/>
            <w:shd w:val="clear" w:color="auto" w:fill="FFFFFF"/>
            <w:tcMar>
              <w:top w:w="90" w:type="dxa"/>
              <w:left w:w="120" w:type="dxa"/>
              <w:bottom w:w="90" w:type="dxa"/>
              <w:right w:w="120" w:type="dxa"/>
            </w:tcMar>
            <w:vAlign w:val="center"/>
          </w:tcPr>
          <w:p w14:paraId="2084DD0F">
            <w:pPr>
              <w:jc w:val="left"/>
            </w:pPr>
            <w:r>
              <w:rPr>
                <w:b w:val="0"/>
                <w:bCs w:val="0"/>
                <w:color w:val="1A1A1A"/>
                <w:sz w:val="19"/>
                <w:szCs w:val="19"/>
              </w:rPr>
              <w:t>Limited to supported source systems</w:t>
            </w:r>
          </w:p>
        </w:tc>
        <w:tc>
          <w:tcPr>
            <w:tcW w:w="4220" w:type="dxa"/>
            <w:shd w:val="clear" w:color="auto" w:fill="FFFFFF"/>
            <w:tcMar>
              <w:top w:w="90" w:type="dxa"/>
              <w:left w:w="120" w:type="dxa"/>
              <w:bottom w:w="90" w:type="dxa"/>
              <w:right w:w="120" w:type="dxa"/>
            </w:tcMar>
            <w:vAlign w:val="center"/>
          </w:tcPr>
          <w:p w14:paraId="403137EA">
            <w:pPr>
              <w:jc w:val="left"/>
            </w:pPr>
            <w:r>
              <w:rPr>
                <w:b w:val="0"/>
                <w:bCs w:val="0"/>
                <w:color w:val="1A1A1A"/>
                <w:sz w:val="19"/>
                <w:szCs w:val="19"/>
              </w:rPr>
              <w:t>CDC setup, monitoring, retries, and upgrades are the team's responsibility</w:t>
            </w:r>
          </w:p>
        </w:tc>
      </w:tr>
    </w:tbl>
    <w:p w14:paraId="74292CFA">
      <w:pPr>
        <w:pStyle w:val="2"/>
        <w:pBdr>
          <w:bottom w:val="single" w:color="2E5C8A" w:sz="8" w:space="4"/>
        </w:pBdr>
        <w:spacing w:before="400" w:after="200"/>
      </w:pPr>
      <w:r>
        <w:rPr>
          <w:b/>
          <w:bCs/>
          <w:color w:val="1F2937"/>
          <w:sz w:val="30"/>
          <w:szCs w:val="30"/>
        </w:rPr>
        <w:t>6. Operational Complexity</w:t>
      </w:r>
    </w:p>
    <w:tbl>
      <w:tblPr>
        <w:tblStyle w:val="9"/>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20"/>
        <w:gridCol w:w="5220"/>
      </w:tblGrid>
      <w:tr w14:paraId="124B2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20" w:type="dxa"/>
            <w:shd w:val="clear" w:color="auto" w:fill="1F2937"/>
            <w:tcMar>
              <w:top w:w="100" w:type="dxa"/>
              <w:left w:w="120" w:type="dxa"/>
              <w:bottom w:w="100" w:type="dxa"/>
              <w:right w:w="120" w:type="dxa"/>
            </w:tcMar>
            <w:vAlign w:val="center"/>
          </w:tcPr>
          <w:p w14:paraId="1FC49629">
            <w:pPr>
              <w:jc w:val="left"/>
            </w:pPr>
            <w:r>
              <w:rPr>
                <w:b/>
                <w:bCs/>
                <w:color w:val="FFFFFF"/>
                <w:sz w:val="19"/>
                <w:szCs w:val="19"/>
              </w:rPr>
              <w:t>Lakeflow Connect (Databricks-managed)</w:t>
            </w:r>
          </w:p>
        </w:tc>
        <w:tc>
          <w:tcPr>
            <w:tcW w:w="5220" w:type="dxa"/>
            <w:shd w:val="clear" w:color="auto" w:fill="1F2937"/>
            <w:tcMar>
              <w:top w:w="100" w:type="dxa"/>
              <w:left w:w="120" w:type="dxa"/>
              <w:bottom w:w="100" w:type="dxa"/>
              <w:right w:w="120" w:type="dxa"/>
            </w:tcMar>
            <w:vAlign w:val="center"/>
          </w:tcPr>
          <w:p w14:paraId="358EBEC2">
            <w:pPr>
              <w:jc w:val="left"/>
            </w:pPr>
            <w:r>
              <w:rPr>
                <w:b/>
                <w:bCs/>
                <w:color w:val="FFFFFF"/>
                <w:sz w:val="19"/>
                <w:szCs w:val="19"/>
              </w:rPr>
              <w:t>Meltano (Team-managed)</w:t>
            </w:r>
          </w:p>
        </w:tc>
      </w:tr>
      <w:tr w14:paraId="0643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20" w:type="dxa"/>
            <w:shd w:val="clear" w:color="auto" w:fill="FFFFFF"/>
            <w:tcMar>
              <w:top w:w="90" w:type="dxa"/>
              <w:left w:w="120" w:type="dxa"/>
              <w:bottom w:w="90" w:type="dxa"/>
              <w:right w:w="120" w:type="dxa"/>
            </w:tcMar>
            <w:vAlign w:val="center"/>
          </w:tcPr>
          <w:p w14:paraId="53CE6EE7">
            <w:pPr>
              <w:jc w:val="left"/>
            </w:pPr>
            <w:r>
              <w:rPr>
                <w:b w:val="0"/>
                <w:bCs w:val="0"/>
                <w:color w:val="1A1A1A"/>
                <w:sz w:val="19"/>
                <w:szCs w:val="19"/>
              </w:rPr>
              <w:t>Connector updates, retry, monitoring, security, schema evolution, and authentication are all handled by Databricks. The engineer's role is largely configuration.</w:t>
            </w:r>
          </w:p>
        </w:tc>
        <w:tc>
          <w:tcPr>
            <w:tcW w:w="5220" w:type="dxa"/>
            <w:shd w:val="clear" w:color="auto" w:fill="FFFFFF"/>
            <w:tcMar>
              <w:top w:w="90" w:type="dxa"/>
              <w:left w:w="120" w:type="dxa"/>
              <w:bottom w:w="90" w:type="dxa"/>
              <w:right w:w="120" w:type="dxa"/>
            </w:tcMar>
            <w:vAlign w:val="center"/>
          </w:tcPr>
          <w:p w14:paraId="2C605EA2">
            <w:pPr>
              <w:jc w:val="left"/>
            </w:pPr>
            <w:r>
              <w:rPr>
                <w:b w:val="0"/>
                <w:bCs w:val="0"/>
                <w:color w:val="1A1A1A"/>
                <w:sz w:val="19"/>
                <w:szCs w:val="19"/>
              </w:rPr>
              <w:t>The team owns Docker/Kubernetes or VM hosting, pipeline orchestration, connector updates, Singer tap maintenance, authentication, logging, retry logic, monitoring, failure handling, and alerting.</w:t>
            </w:r>
          </w:p>
        </w:tc>
      </w:tr>
    </w:tbl>
    <w:p w14:paraId="3D13F164">
      <w:pPr>
        <w:spacing w:before="100" w:after="200"/>
      </w:pPr>
      <w:r>
        <w:rPr>
          <w:i/>
          <w:iCs/>
          <w:color w:val="6B7280"/>
          <w:sz w:val="19"/>
          <w:szCs w:val="19"/>
        </w:rPr>
        <w:t>This is the single largest hidden cost driver in an open-source ingestion strategy and should be staffed for explicitly, not absorbed informally by the data engineering team.</w:t>
      </w:r>
    </w:p>
    <w:p w14:paraId="47320593">
      <w:pPr>
        <w:pStyle w:val="2"/>
        <w:pBdr>
          <w:bottom w:val="single" w:color="2E5C8A" w:sz="8" w:space="4"/>
        </w:pBdr>
        <w:spacing w:before="400" w:after="200"/>
      </w:pPr>
      <w:r>
        <w:rPr>
          <w:b/>
          <w:bCs/>
          <w:color w:val="1F2937"/>
          <w:sz w:val="30"/>
          <w:szCs w:val="30"/>
        </w:rPr>
        <w:t>7. Scalability and Reliability</w:t>
      </w:r>
    </w:p>
    <w:p w14:paraId="46216133">
      <w:pPr>
        <w:pStyle w:val="3"/>
        <w:spacing w:before="320" w:after="140"/>
      </w:pPr>
      <w:r>
        <w:rPr>
          <w:b/>
          <w:bCs/>
          <w:color w:val="2E5C8A"/>
          <w:sz w:val="24"/>
          <w:szCs w:val="24"/>
        </w:rPr>
        <w:t>7.1 Scalability — Illustrative Estate: 300 Tables, 15 Databases, 40 APIs</w:t>
      </w:r>
    </w:p>
    <w:tbl>
      <w:tblPr>
        <w:tblStyle w:val="9"/>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7240"/>
      </w:tblGrid>
      <w:tr w14:paraId="321FA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2937"/>
            <w:tcMar>
              <w:top w:w="100" w:type="dxa"/>
              <w:left w:w="120" w:type="dxa"/>
              <w:bottom w:w="100" w:type="dxa"/>
              <w:right w:w="120" w:type="dxa"/>
            </w:tcMar>
            <w:vAlign w:val="center"/>
          </w:tcPr>
          <w:p w14:paraId="66DEADD4">
            <w:pPr>
              <w:jc w:val="left"/>
            </w:pPr>
            <w:r>
              <w:rPr>
                <w:b/>
                <w:bCs/>
                <w:color w:val="FFFFFF"/>
                <w:sz w:val="19"/>
                <w:szCs w:val="19"/>
              </w:rPr>
              <w:t>Platform</w:t>
            </w:r>
          </w:p>
        </w:tc>
        <w:tc>
          <w:tcPr>
            <w:tcW w:w="7240" w:type="dxa"/>
            <w:shd w:val="clear" w:color="auto" w:fill="1F2937"/>
            <w:tcMar>
              <w:top w:w="100" w:type="dxa"/>
              <w:left w:w="120" w:type="dxa"/>
              <w:bottom w:w="100" w:type="dxa"/>
              <w:right w:w="120" w:type="dxa"/>
            </w:tcMar>
            <w:vAlign w:val="center"/>
          </w:tcPr>
          <w:p w14:paraId="20A2A9B3">
            <w:pPr>
              <w:jc w:val="left"/>
            </w:pPr>
            <w:r>
              <w:rPr>
                <w:b/>
                <w:bCs/>
                <w:color w:val="FFFFFF"/>
                <w:sz w:val="19"/>
                <w:szCs w:val="19"/>
              </w:rPr>
              <w:t>Effort at Scale</w:t>
            </w:r>
          </w:p>
        </w:tc>
      </w:tr>
      <w:tr w14:paraId="1CA49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0826E9C5">
            <w:pPr>
              <w:jc w:val="left"/>
            </w:pPr>
            <w:r>
              <w:rPr>
                <w:b w:val="0"/>
                <w:bCs w:val="0"/>
                <w:color w:val="1A1A1A"/>
                <w:sz w:val="19"/>
                <w:szCs w:val="19"/>
              </w:rPr>
              <w:t>Lakeflow Connect</w:t>
            </w:r>
          </w:p>
        </w:tc>
        <w:tc>
          <w:tcPr>
            <w:tcW w:w="7240" w:type="dxa"/>
            <w:shd w:val="clear" w:color="auto" w:fill="FFFFFF"/>
            <w:tcMar>
              <w:top w:w="90" w:type="dxa"/>
              <w:left w:w="120" w:type="dxa"/>
              <w:bottom w:w="90" w:type="dxa"/>
              <w:right w:w="120" w:type="dxa"/>
            </w:tcMar>
            <w:vAlign w:val="center"/>
          </w:tcPr>
          <w:p w14:paraId="4D403017">
            <w:pPr>
              <w:jc w:val="left"/>
            </w:pPr>
            <w:r>
              <w:rPr>
                <w:b w:val="0"/>
                <w:bCs w:val="0"/>
                <w:color w:val="1A1A1A"/>
                <w:sz w:val="19"/>
                <w:szCs w:val="19"/>
              </w:rPr>
              <w:t>Minimal additional effort; scaling is largely a configuration exercise</w:t>
            </w:r>
          </w:p>
        </w:tc>
      </w:tr>
      <w:tr w14:paraId="35DBD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4F6F8"/>
            <w:tcMar>
              <w:top w:w="90" w:type="dxa"/>
              <w:left w:w="120" w:type="dxa"/>
              <w:bottom w:w="90" w:type="dxa"/>
              <w:right w:w="120" w:type="dxa"/>
            </w:tcMar>
            <w:vAlign w:val="center"/>
          </w:tcPr>
          <w:p w14:paraId="28F6005F">
            <w:pPr>
              <w:jc w:val="left"/>
            </w:pPr>
            <w:r>
              <w:rPr>
                <w:b w:val="0"/>
                <w:bCs w:val="0"/>
                <w:color w:val="1A1A1A"/>
                <w:sz w:val="19"/>
                <w:szCs w:val="19"/>
              </w:rPr>
              <w:t>Meltano</w:t>
            </w:r>
          </w:p>
        </w:tc>
        <w:tc>
          <w:tcPr>
            <w:tcW w:w="7240" w:type="dxa"/>
            <w:shd w:val="clear" w:color="auto" w:fill="F4F6F8"/>
            <w:tcMar>
              <w:top w:w="90" w:type="dxa"/>
              <w:left w:w="120" w:type="dxa"/>
              <w:bottom w:w="90" w:type="dxa"/>
              <w:right w:w="120" w:type="dxa"/>
            </w:tcMar>
            <w:vAlign w:val="center"/>
          </w:tcPr>
          <w:p w14:paraId="62A9C4E9">
            <w:pPr>
              <w:jc w:val="left"/>
            </w:pPr>
            <w:r>
              <w:rPr>
                <w:b w:val="0"/>
                <w:bCs w:val="0"/>
                <w:color w:val="1A1A1A"/>
                <w:sz w:val="19"/>
                <w:szCs w:val="19"/>
              </w:rPr>
              <w:t>Requires maintaining many connectors, configurations, and monitoring surfaces individually</w:t>
            </w:r>
          </w:p>
        </w:tc>
      </w:tr>
    </w:tbl>
    <w:p w14:paraId="7FE331C6">
      <w:pPr>
        <w:pStyle w:val="3"/>
        <w:spacing w:before="320" w:after="140"/>
        <w:rPr>
          <w:b/>
          <w:bCs/>
          <w:color w:val="2E5C8A"/>
          <w:sz w:val="24"/>
          <w:szCs w:val="24"/>
        </w:rPr>
      </w:pPr>
    </w:p>
    <w:p w14:paraId="462EB3FF">
      <w:pPr>
        <w:pStyle w:val="3"/>
        <w:spacing w:before="320" w:after="140"/>
        <w:rPr>
          <w:b/>
          <w:bCs/>
          <w:color w:val="2E5C8A"/>
          <w:sz w:val="24"/>
          <w:szCs w:val="24"/>
        </w:rPr>
      </w:pPr>
    </w:p>
    <w:p w14:paraId="21A9EB9C">
      <w:pPr>
        <w:pStyle w:val="3"/>
        <w:spacing w:before="320" w:after="140"/>
      </w:pPr>
      <w:r>
        <w:rPr>
          <w:b/>
          <w:bCs/>
          <w:color w:val="2E5C8A"/>
          <w:sz w:val="24"/>
          <w:szCs w:val="24"/>
        </w:rPr>
        <w:t>7.2 Reliability</w:t>
      </w:r>
    </w:p>
    <w:tbl>
      <w:tblPr>
        <w:tblStyle w:val="9"/>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620"/>
        <w:gridCol w:w="3820"/>
      </w:tblGrid>
      <w:tr w14:paraId="3B8B0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2937"/>
            <w:tcMar>
              <w:top w:w="100" w:type="dxa"/>
              <w:left w:w="120" w:type="dxa"/>
              <w:bottom w:w="100" w:type="dxa"/>
              <w:right w:w="120" w:type="dxa"/>
            </w:tcMar>
            <w:vAlign w:val="center"/>
          </w:tcPr>
          <w:p w14:paraId="6871B8CB">
            <w:pPr>
              <w:jc w:val="left"/>
            </w:pPr>
            <w:r>
              <w:rPr>
                <w:b/>
                <w:bCs/>
                <w:color w:val="FFFFFF"/>
                <w:sz w:val="19"/>
                <w:szCs w:val="19"/>
              </w:rPr>
              <w:t>Feature</w:t>
            </w:r>
          </w:p>
        </w:tc>
        <w:tc>
          <w:tcPr>
            <w:tcW w:w="3620" w:type="dxa"/>
            <w:shd w:val="clear" w:color="auto" w:fill="1F2937"/>
            <w:tcMar>
              <w:top w:w="100" w:type="dxa"/>
              <w:left w:w="120" w:type="dxa"/>
              <w:bottom w:w="100" w:type="dxa"/>
              <w:right w:w="120" w:type="dxa"/>
            </w:tcMar>
            <w:vAlign w:val="center"/>
          </w:tcPr>
          <w:p w14:paraId="33B62685">
            <w:pPr>
              <w:jc w:val="left"/>
            </w:pPr>
            <w:r>
              <w:rPr>
                <w:b/>
                <w:bCs/>
                <w:color w:val="FFFFFF"/>
                <w:sz w:val="19"/>
                <w:szCs w:val="19"/>
              </w:rPr>
              <w:t>Lakeflow Connect</w:t>
            </w:r>
          </w:p>
        </w:tc>
        <w:tc>
          <w:tcPr>
            <w:tcW w:w="3820" w:type="dxa"/>
            <w:shd w:val="clear" w:color="auto" w:fill="1F2937"/>
            <w:tcMar>
              <w:top w:w="100" w:type="dxa"/>
              <w:left w:w="120" w:type="dxa"/>
              <w:bottom w:w="100" w:type="dxa"/>
              <w:right w:w="120" w:type="dxa"/>
            </w:tcMar>
            <w:vAlign w:val="center"/>
          </w:tcPr>
          <w:p w14:paraId="55A3AD79">
            <w:pPr>
              <w:jc w:val="left"/>
            </w:pPr>
            <w:r>
              <w:rPr>
                <w:b/>
                <w:bCs/>
                <w:color w:val="FFFFFF"/>
                <w:sz w:val="19"/>
                <w:szCs w:val="19"/>
              </w:rPr>
              <w:t>Meltano</w:t>
            </w:r>
          </w:p>
        </w:tc>
      </w:tr>
      <w:tr w14:paraId="4EBA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90" w:type="dxa"/>
              <w:left w:w="120" w:type="dxa"/>
              <w:bottom w:w="90" w:type="dxa"/>
              <w:right w:w="120" w:type="dxa"/>
            </w:tcMar>
            <w:vAlign w:val="center"/>
          </w:tcPr>
          <w:p w14:paraId="6F89BD23">
            <w:pPr>
              <w:jc w:val="left"/>
            </w:pPr>
            <w:r>
              <w:rPr>
                <w:b w:val="0"/>
                <w:bCs w:val="0"/>
                <w:color w:val="1A1A1A"/>
                <w:sz w:val="19"/>
                <w:szCs w:val="19"/>
              </w:rPr>
              <w:t>Retry</w:t>
            </w:r>
          </w:p>
        </w:tc>
        <w:tc>
          <w:tcPr>
            <w:tcW w:w="3620" w:type="dxa"/>
            <w:shd w:val="clear" w:color="auto" w:fill="FFFFFF"/>
            <w:tcMar>
              <w:top w:w="90" w:type="dxa"/>
              <w:left w:w="120" w:type="dxa"/>
              <w:bottom w:w="90" w:type="dxa"/>
              <w:right w:w="120" w:type="dxa"/>
            </w:tcMar>
            <w:vAlign w:val="center"/>
          </w:tcPr>
          <w:p w14:paraId="04DDF73F">
            <w:pPr>
              <w:jc w:val="left"/>
            </w:pPr>
            <w:r>
              <w:rPr>
                <w:b w:val="0"/>
                <w:bCs w:val="0"/>
                <w:color w:val="1A1A1A"/>
                <w:sz w:val="19"/>
                <w:szCs w:val="19"/>
              </w:rPr>
              <w:t>Excellent (native)</w:t>
            </w:r>
          </w:p>
        </w:tc>
        <w:tc>
          <w:tcPr>
            <w:tcW w:w="3820" w:type="dxa"/>
            <w:shd w:val="clear" w:color="auto" w:fill="FFFFFF"/>
            <w:tcMar>
              <w:top w:w="90" w:type="dxa"/>
              <w:left w:w="120" w:type="dxa"/>
              <w:bottom w:w="90" w:type="dxa"/>
              <w:right w:w="120" w:type="dxa"/>
            </w:tcMar>
            <w:vAlign w:val="center"/>
          </w:tcPr>
          <w:p w14:paraId="55A5DB88">
            <w:pPr>
              <w:jc w:val="left"/>
            </w:pPr>
            <w:r>
              <w:rPr>
                <w:b w:val="0"/>
                <w:bCs w:val="0"/>
                <w:color w:val="1A1A1A"/>
                <w:sz w:val="19"/>
                <w:szCs w:val="19"/>
              </w:rPr>
              <w:t>Manual</w:t>
            </w:r>
          </w:p>
        </w:tc>
      </w:tr>
      <w:tr w14:paraId="1B23B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4F6F8"/>
            <w:tcMar>
              <w:top w:w="90" w:type="dxa"/>
              <w:left w:w="120" w:type="dxa"/>
              <w:bottom w:w="90" w:type="dxa"/>
              <w:right w:w="120" w:type="dxa"/>
            </w:tcMar>
            <w:vAlign w:val="center"/>
          </w:tcPr>
          <w:p w14:paraId="2BF3327F">
            <w:pPr>
              <w:jc w:val="left"/>
            </w:pPr>
            <w:r>
              <w:rPr>
                <w:b w:val="0"/>
                <w:bCs w:val="0"/>
                <w:color w:val="1A1A1A"/>
                <w:sz w:val="19"/>
                <w:szCs w:val="19"/>
              </w:rPr>
              <w:t>Monitoring</w:t>
            </w:r>
          </w:p>
        </w:tc>
        <w:tc>
          <w:tcPr>
            <w:tcW w:w="3620" w:type="dxa"/>
            <w:shd w:val="clear" w:color="auto" w:fill="F4F6F8"/>
            <w:tcMar>
              <w:top w:w="90" w:type="dxa"/>
              <w:left w:w="120" w:type="dxa"/>
              <w:bottom w:w="90" w:type="dxa"/>
              <w:right w:w="120" w:type="dxa"/>
            </w:tcMar>
            <w:vAlign w:val="center"/>
          </w:tcPr>
          <w:p w14:paraId="695D85FD">
            <w:pPr>
              <w:jc w:val="left"/>
            </w:pPr>
            <w:r>
              <w:rPr>
                <w:b w:val="0"/>
                <w:bCs w:val="0"/>
                <w:color w:val="1A1A1A"/>
                <w:sz w:val="19"/>
                <w:szCs w:val="19"/>
              </w:rPr>
              <w:t>Excellent (native)</w:t>
            </w:r>
          </w:p>
        </w:tc>
        <w:tc>
          <w:tcPr>
            <w:tcW w:w="3820" w:type="dxa"/>
            <w:shd w:val="clear" w:color="auto" w:fill="F4F6F8"/>
            <w:tcMar>
              <w:top w:w="90" w:type="dxa"/>
              <w:left w:w="120" w:type="dxa"/>
              <w:bottom w:w="90" w:type="dxa"/>
              <w:right w:w="120" w:type="dxa"/>
            </w:tcMar>
            <w:vAlign w:val="center"/>
          </w:tcPr>
          <w:p w14:paraId="151D9EA4">
            <w:pPr>
              <w:jc w:val="left"/>
            </w:pPr>
            <w:r>
              <w:rPr>
                <w:b w:val="0"/>
                <w:bCs w:val="0"/>
                <w:color w:val="1A1A1A"/>
                <w:sz w:val="19"/>
                <w:szCs w:val="19"/>
              </w:rPr>
              <w:t>Requires Grafana / Prometheus / Datadog</w:t>
            </w:r>
          </w:p>
        </w:tc>
      </w:tr>
      <w:tr w14:paraId="38B85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90" w:type="dxa"/>
              <w:left w:w="120" w:type="dxa"/>
              <w:bottom w:w="90" w:type="dxa"/>
              <w:right w:w="120" w:type="dxa"/>
            </w:tcMar>
            <w:vAlign w:val="center"/>
          </w:tcPr>
          <w:p w14:paraId="73C857BB">
            <w:pPr>
              <w:jc w:val="left"/>
            </w:pPr>
            <w:r>
              <w:rPr>
                <w:b w:val="0"/>
                <w:bCs w:val="0"/>
                <w:color w:val="1A1A1A"/>
                <w:sz w:val="19"/>
                <w:szCs w:val="19"/>
              </w:rPr>
              <w:t>Lineage</w:t>
            </w:r>
          </w:p>
        </w:tc>
        <w:tc>
          <w:tcPr>
            <w:tcW w:w="3620" w:type="dxa"/>
            <w:shd w:val="clear" w:color="auto" w:fill="FFFFFF"/>
            <w:tcMar>
              <w:top w:w="90" w:type="dxa"/>
              <w:left w:w="120" w:type="dxa"/>
              <w:bottom w:w="90" w:type="dxa"/>
              <w:right w:w="120" w:type="dxa"/>
            </w:tcMar>
            <w:vAlign w:val="center"/>
          </w:tcPr>
          <w:p w14:paraId="05379148">
            <w:pPr>
              <w:jc w:val="left"/>
            </w:pPr>
            <w:r>
              <w:rPr>
                <w:b w:val="0"/>
                <w:bCs w:val="0"/>
                <w:color w:val="1A1A1A"/>
                <w:sz w:val="19"/>
                <w:szCs w:val="19"/>
              </w:rPr>
              <w:t>Native (Unity Catalog)</w:t>
            </w:r>
          </w:p>
        </w:tc>
        <w:tc>
          <w:tcPr>
            <w:tcW w:w="3820" w:type="dxa"/>
            <w:shd w:val="clear" w:color="auto" w:fill="FFFFFF"/>
            <w:tcMar>
              <w:top w:w="90" w:type="dxa"/>
              <w:left w:w="120" w:type="dxa"/>
              <w:bottom w:w="90" w:type="dxa"/>
              <w:right w:w="120" w:type="dxa"/>
            </w:tcMar>
            <w:vAlign w:val="center"/>
          </w:tcPr>
          <w:p w14:paraId="0ECDBBA5">
            <w:pPr>
              <w:jc w:val="left"/>
            </w:pPr>
            <w:r>
              <w:rPr>
                <w:b w:val="0"/>
                <w:bCs w:val="0"/>
                <w:color w:val="1A1A1A"/>
                <w:sz w:val="19"/>
                <w:szCs w:val="19"/>
              </w:rPr>
              <w:t>Manual</w:t>
            </w:r>
          </w:p>
        </w:tc>
      </w:tr>
      <w:tr w14:paraId="3F4A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4F6F8"/>
            <w:tcMar>
              <w:top w:w="90" w:type="dxa"/>
              <w:left w:w="120" w:type="dxa"/>
              <w:bottom w:w="90" w:type="dxa"/>
              <w:right w:w="120" w:type="dxa"/>
            </w:tcMar>
            <w:vAlign w:val="center"/>
          </w:tcPr>
          <w:p w14:paraId="7169B083">
            <w:pPr>
              <w:jc w:val="left"/>
            </w:pPr>
            <w:r>
              <w:rPr>
                <w:b w:val="0"/>
                <w:bCs w:val="0"/>
                <w:color w:val="1A1A1A"/>
                <w:sz w:val="19"/>
                <w:szCs w:val="19"/>
              </w:rPr>
              <w:t>Security</w:t>
            </w:r>
          </w:p>
        </w:tc>
        <w:tc>
          <w:tcPr>
            <w:tcW w:w="3620" w:type="dxa"/>
            <w:shd w:val="clear" w:color="auto" w:fill="F4F6F8"/>
            <w:tcMar>
              <w:top w:w="90" w:type="dxa"/>
              <w:left w:w="120" w:type="dxa"/>
              <w:bottom w:w="90" w:type="dxa"/>
              <w:right w:w="120" w:type="dxa"/>
            </w:tcMar>
            <w:vAlign w:val="center"/>
          </w:tcPr>
          <w:p w14:paraId="63E33E0E">
            <w:pPr>
              <w:jc w:val="left"/>
            </w:pPr>
            <w:r>
              <w:rPr>
                <w:b w:val="0"/>
                <w:bCs w:val="0"/>
                <w:color w:val="1A1A1A"/>
                <w:sz w:val="19"/>
                <w:szCs w:val="19"/>
              </w:rPr>
              <w:t>Native</w:t>
            </w:r>
          </w:p>
        </w:tc>
        <w:tc>
          <w:tcPr>
            <w:tcW w:w="3820" w:type="dxa"/>
            <w:shd w:val="clear" w:color="auto" w:fill="F4F6F8"/>
            <w:tcMar>
              <w:top w:w="90" w:type="dxa"/>
              <w:left w:w="120" w:type="dxa"/>
              <w:bottom w:w="90" w:type="dxa"/>
              <w:right w:w="120" w:type="dxa"/>
            </w:tcMar>
            <w:vAlign w:val="center"/>
          </w:tcPr>
          <w:p w14:paraId="2E43029C">
            <w:pPr>
              <w:jc w:val="left"/>
            </w:pPr>
            <w:r>
              <w:rPr>
                <w:b w:val="0"/>
                <w:bCs w:val="0"/>
                <w:color w:val="1A1A1A"/>
                <w:sz w:val="19"/>
                <w:szCs w:val="19"/>
              </w:rPr>
              <w:t>Manual integration required</w:t>
            </w:r>
          </w:p>
        </w:tc>
      </w:tr>
      <w:tr w14:paraId="53EEC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90" w:type="dxa"/>
              <w:left w:w="120" w:type="dxa"/>
              <w:bottom w:w="90" w:type="dxa"/>
              <w:right w:w="120" w:type="dxa"/>
            </w:tcMar>
            <w:vAlign w:val="center"/>
          </w:tcPr>
          <w:p w14:paraId="27258287">
            <w:pPr>
              <w:jc w:val="left"/>
            </w:pPr>
            <w:r>
              <w:rPr>
                <w:b w:val="0"/>
                <w:bCs w:val="0"/>
                <w:color w:val="1A1A1A"/>
                <w:sz w:val="19"/>
                <w:szCs w:val="19"/>
              </w:rPr>
              <w:t>Secret management</w:t>
            </w:r>
          </w:p>
        </w:tc>
        <w:tc>
          <w:tcPr>
            <w:tcW w:w="3620" w:type="dxa"/>
            <w:shd w:val="clear" w:color="auto" w:fill="FFFFFF"/>
            <w:tcMar>
              <w:top w:w="90" w:type="dxa"/>
              <w:left w:w="120" w:type="dxa"/>
              <w:bottom w:w="90" w:type="dxa"/>
              <w:right w:w="120" w:type="dxa"/>
            </w:tcMar>
            <w:vAlign w:val="center"/>
          </w:tcPr>
          <w:p w14:paraId="166FC505">
            <w:pPr>
              <w:jc w:val="left"/>
            </w:pPr>
            <w:r>
              <w:rPr>
                <w:b w:val="0"/>
                <w:bCs w:val="0"/>
                <w:color w:val="1A1A1A"/>
                <w:sz w:val="19"/>
                <w:szCs w:val="19"/>
              </w:rPr>
              <w:t>Native</w:t>
            </w:r>
          </w:p>
        </w:tc>
        <w:tc>
          <w:tcPr>
            <w:tcW w:w="3820" w:type="dxa"/>
            <w:shd w:val="clear" w:color="auto" w:fill="FFFFFF"/>
            <w:tcMar>
              <w:top w:w="90" w:type="dxa"/>
              <w:left w:w="120" w:type="dxa"/>
              <w:bottom w:w="90" w:type="dxa"/>
              <w:right w:w="120" w:type="dxa"/>
            </w:tcMar>
            <w:vAlign w:val="center"/>
          </w:tcPr>
          <w:p w14:paraId="52334045">
            <w:pPr>
              <w:jc w:val="left"/>
            </w:pPr>
            <w:r>
              <w:rPr>
                <w:b w:val="0"/>
                <w:bCs w:val="0"/>
                <w:color w:val="1A1A1A"/>
                <w:sz w:val="19"/>
                <w:szCs w:val="19"/>
              </w:rPr>
              <w:t>Manual</w:t>
            </w:r>
          </w:p>
        </w:tc>
      </w:tr>
      <w:tr w14:paraId="03117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4F6F8"/>
            <w:tcMar>
              <w:top w:w="90" w:type="dxa"/>
              <w:left w:w="120" w:type="dxa"/>
              <w:bottom w:w="90" w:type="dxa"/>
              <w:right w:w="120" w:type="dxa"/>
            </w:tcMar>
            <w:vAlign w:val="center"/>
          </w:tcPr>
          <w:p w14:paraId="0D8F3DAD">
            <w:pPr>
              <w:jc w:val="left"/>
            </w:pPr>
            <w:r>
              <w:rPr>
                <w:b w:val="0"/>
                <w:bCs w:val="0"/>
                <w:color w:val="1A1A1A"/>
                <w:sz w:val="19"/>
                <w:szCs w:val="19"/>
              </w:rPr>
              <w:t>Schema drift handling</w:t>
            </w:r>
          </w:p>
        </w:tc>
        <w:tc>
          <w:tcPr>
            <w:tcW w:w="3620" w:type="dxa"/>
            <w:shd w:val="clear" w:color="auto" w:fill="F4F6F8"/>
            <w:tcMar>
              <w:top w:w="90" w:type="dxa"/>
              <w:left w:w="120" w:type="dxa"/>
              <w:bottom w:w="90" w:type="dxa"/>
              <w:right w:w="120" w:type="dxa"/>
            </w:tcMar>
            <w:vAlign w:val="center"/>
          </w:tcPr>
          <w:p w14:paraId="35714122">
            <w:pPr>
              <w:jc w:val="left"/>
            </w:pPr>
            <w:r>
              <w:rPr>
                <w:b w:val="0"/>
                <w:bCs w:val="0"/>
                <w:color w:val="1A1A1A"/>
                <w:sz w:val="19"/>
                <w:szCs w:val="19"/>
              </w:rPr>
              <w:t>Better, out of the box</w:t>
            </w:r>
          </w:p>
        </w:tc>
        <w:tc>
          <w:tcPr>
            <w:tcW w:w="3820" w:type="dxa"/>
            <w:shd w:val="clear" w:color="auto" w:fill="F4F6F8"/>
            <w:tcMar>
              <w:top w:w="90" w:type="dxa"/>
              <w:left w:w="120" w:type="dxa"/>
              <w:bottom w:w="90" w:type="dxa"/>
              <w:right w:w="120" w:type="dxa"/>
            </w:tcMar>
            <w:vAlign w:val="center"/>
          </w:tcPr>
          <w:p w14:paraId="18C4D580">
            <w:pPr>
              <w:jc w:val="left"/>
            </w:pPr>
            <w:r>
              <w:rPr>
                <w:b w:val="0"/>
                <w:bCs w:val="0"/>
                <w:color w:val="1A1A1A"/>
                <w:sz w:val="19"/>
                <w:szCs w:val="19"/>
              </w:rPr>
              <w:t>Depends on the specific connector</w:t>
            </w:r>
          </w:p>
        </w:tc>
      </w:tr>
      <w:tr w14:paraId="3A913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90" w:type="dxa"/>
              <w:left w:w="120" w:type="dxa"/>
              <w:bottom w:w="90" w:type="dxa"/>
              <w:right w:w="120" w:type="dxa"/>
            </w:tcMar>
            <w:vAlign w:val="center"/>
          </w:tcPr>
          <w:p w14:paraId="78F767B0">
            <w:pPr>
              <w:jc w:val="left"/>
            </w:pPr>
            <w:r>
              <w:rPr>
                <w:b w:val="0"/>
                <w:bCs w:val="0"/>
                <w:color w:val="1A1A1A"/>
                <w:sz w:val="19"/>
                <w:szCs w:val="19"/>
              </w:rPr>
              <w:t>Logging</w:t>
            </w:r>
          </w:p>
        </w:tc>
        <w:tc>
          <w:tcPr>
            <w:tcW w:w="3620" w:type="dxa"/>
            <w:shd w:val="clear" w:color="auto" w:fill="FFFFFF"/>
            <w:tcMar>
              <w:top w:w="90" w:type="dxa"/>
              <w:left w:w="120" w:type="dxa"/>
              <w:bottom w:w="90" w:type="dxa"/>
              <w:right w:w="120" w:type="dxa"/>
            </w:tcMar>
            <w:vAlign w:val="center"/>
          </w:tcPr>
          <w:p w14:paraId="15858C3D">
            <w:pPr>
              <w:jc w:val="left"/>
            </w:pPr>
            <w:r>
              <w:rPr>
                <w:b w:val="0"/>
                <w:bCs w:val="0"/>
                <w:color w:val="1A1A1A"/>
                <w:sz w:val="19"/>
                <w:szCs w:val="19"/>
              </w:rPr>
              <w:t>Native</w:t>
            </w:r>
          </w:p>
        </w:tc>
        <w:tc>
          <w:tcPr>
            <w:tcW w:w="3820" w:type="dxa"/>
            <w:shd w:val="clear" w:color="auto" w:fill="FFFFFF"/>
            <w:tcMar>
              <w:top w:w="90" w:type="dxa"/>
              <w:left w:w="120" w:type="dxa"/>
              <w:bottom w:w="90" w:type="dxa"/>
              <w:right w:w="120" w:type="dxa"/>
            </w:tcMar>
            <w:vAlign w:val="center"/>
          </w:tcPr>
          <w:p w14:paraId="086526C7">
            <w:pPr>
              <w:jc w:val="left"/>
            </w:pPr>
            <w:r>
              <w:rPr>
                <w:b w:val="0"/>
                <w:bCs w:val="0"/>
                <w:color w:val="1A1A1A"/>
                <w:sz w:val="19"/>
                <w:szCs w:val="19"/>
              </w:rPr>
              <w:t>Manual</w:t>
            </w:r>
          </w:p>
        </w:tc>
      </w:tr>
    </w:tbl>
    <w:p w14:paraId="3346912E">
      <w:pPr>
        <w:spacing w:before="100" w:after="200"/>
      </w:pPr>
      <w:r>
        <w:rPr>
          <w:i/>
          <w:iCs/>
          <w:color w:val="6B7280"/>
          <w:sz w:val="19"/>
          <w:szCs w:val="19"/>
        </w:rPr>
        <w:t>Lakeflow Connect generally wins on operational maturity; this is expected of a managed, first-party service.</w:t>
      </w:r>
    </w:p>
    <w:p w14:paraId="785A14DA">
      <w:pPr>
        <w:pStyle w:val="2"/>
        <w:pBdr>
          <w:bottom w:val="single" w:color="2E5C8A" w:sz="8" w:space="4"/>
        </w:pBdr>
        <w:spacing w:before="400" w:after="200"/>
      </w:pPr>
      <w:r>
        <w:rPr>
          <w:b/>
          <w:bCs/>
          <w:color w:val="1F2937"/>
          <w:sz w:val="30"/>
          <w:szCs w:val="30"/>
        </w:rPr>
        <w:t>8. Flexibility and Performance</w:t>
      </w:r>
    </w:p>
    <w:p w14:paraId="63936302">
      <w:pPr>
        <w:pStyle w:val="3"/>
        <w:spacing w:before="320" w:after="140"/>
      </w:pPr>
      <w:r>
        <w:rPr>
          <w:b/>
          <w:bCs/>
          <w:color w:val="2E5C8A"/>
          <w:sz w:val="24"/>
          <w:szCs w:val="24"/>
        </w:rPr>
        <w:t>8.1 Flexibility — Meltano's Strength</w:t>
      </w:r>
    </w:p>
    <w:p w14:paraId="07FDB51F">
      <w:pPr>
        <w:spacing w:after="160" w:line="300" w:lineRule="auto"/>
      </w:pPr>
      <w:r>
        <w:rPr>
          <w:color w:val="1A1A1A"/>
          <w:sz w:val="21"/>
          <w:szCs w:val="21"/>
        </w:rPr>
        <w:t>For a requirement such as "ingest data from an internal API behind custom OAuth, transform the JSON payload, then load to Bronze," Lakeflow Connect may not support the source directly, while Meltano can be extended via Singer taps or a custom connector to handle it.</w:t>
      </w:r>
    </w:p>
    <w:p w14:paraId="745E3D38">
      <w:pPr>
        <w:pStyle w:val="3"/>
        <w:spacing w:before="320" w:after="140"/>
      </w:pPr>
      <w:r>
        <w:rPr>
          <w:b/>
          <w:bCs/>
          <w:color w:val="2E5C8A"/>
          <w:sz w:val="24"/>
          <w:szCs w:val="24"/>
        </w:rPr>
        <w:t>8.2 Performance</w:t>
      </w:r>
    </w:p>
    <w:p w14:paraId="01C5A3CE">
      <w:pPr>
        <w:spacing w:after="160" w:line="300" w:lineRule="auto"/>
      </w:pPr>
      <w:r>
        <w:rPr>
          <w:color w:val="1A1A1A"/>
          <w:sz w:val="21"/>
          <w:szCs w:val="21"/>
        </w:rPr>
        <w:t>For mainstream relational sources (Oracle, SQL Server, PostgreSQL), both platforms perform comparably. Performance is driven less by the ingestion tool itself and more by network bandwidth, source database load, incremental-extraction strategy, parallelism, and compute sizing — the connector implementation matters more than the platform choice.</w:t>
      </w:r>
    </w:p>
    <w:p w14:paraId="28D5E66D">
      <w:r>
        <w:br w:type="page"/>
      </w:r>
    </w:p>
    <w:p w14:paraId="41410951">
      <w:pPr>
        <w:pStyle w:val="2"/>
        <w:pBdr>
          <w:bottom w:val="single" w:color="2E5C8A" w:sz="8" w:space="4"/>
        </w:pBdr>
        <w:spacing w:before="400" w:after="200"/>
      </w:pPr>
      <w:r>
        <w:rPr>
          <w:b/>
          <w:bCs/>
          <w:color w:val="1F2937"/>
          <w:sz w:val="30"/>
          <w:szCs w:val="30"/>
        </w:rPr>
        <w:t>9. Vendor Lock-in, Security, and Future Portability</w:t>
      </w:r>
    </w:p>
    <w:p w14:paraId="2DA8DAFE">
      <w:pPr>
        <w:pStyle w:val="3"/>
        <w:spacing w:before="320" w:after="140"/>
      </w:pPr>
      <w:r>
        <w:rPr>
          <w:b/>
          <w:bCs/>
          <w:color w:val="2E5C8A"/>
          <w:sz w:val="24"/>
          <w:szCs w:val="24"/>
        </w:rPr>
        <w:t>9.1 Vendor Lock-in</w:t>
      </w:r>
    </w:p>
    <w:tbl>
      <w:tblPr>
        <w:tblStyle w:val="9"/>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20"/>
        <w:gridCol w:w="5220"/>
      </w:tblGrid>
      <w:tr w14:paraId="5A69C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20" w:type="dxa"/>
            <w:shd w:val="clear" w:color="auto" w:fill="1F2937"/>
            <w:tcMar>
              <w:top w:w="100" w:type="dxa"/>
              <w:left w:w="120" w:type="dxa"/>
              <w:bottom w:w="100" w:type="dxa"/>
              <w:right w:w="120" w:type="dxa"/>
            </w:tcMar>
            <w:vAlign w:val="center"/>
          </w:tcPr>
          <w:p w14:paraId="0802EF35">
            <w:pPr>
              <w:jc w:val="left"/>
            </w:pPr>
            <w:r>
              <w:rPr>
                <w:b/>
                <w:bCs/>
                <w:color w:val="FFFFFF"/>
                <w:sz w:val="19"/>
                <w:szCs w:val="19"/>
              </w:rPr>
              <w:t>Lakeflow Connect</w:t>
            </w:r>
          </w:p>
        </w:tc>
        <w:tc>
          <w:tcPr>
            <w:tcW w:w="5220" w:type="dxa"/>
            <w:shd w:val="clear" w:color="auto" w:fill="1F2937"/>
            <w:tcMar>
              <w:top w:w="100" w:type="dxa"/>
              <w:left w:w="120" w:type="dxa"/>
              <w:bottom w:w="100" w:type="dxa"/>
              <w:right w:w="120" w:type="dxa"/>
            </w:tcMar>
            <w:vAlign w:val="center"/>
          </w:tcPr>
          <w:p w14:paraId="367D716B">
            <w:pPr>
              <w:jc w:val="left"/>
            </w:pPr>
            <w:r>
              <w:rPr>
                <w:b/>
                <w:bCs/>
                <w:color w:val="FFFFFF"/>
                <w:sz w:val="19"/>
                <w:szCs w:val="19"/>
              </w:rPr>
              <w:t>Meltano</w:t>
            </w:r>
          </w:p>
        </w:tc>
      </w:tr>
      <w:tr w14:paraId="73CE0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20" w:type="dxa"/>
            <w:shd w:val="clear" w:color="auto" w:fill="FFFFFF"/>
            <w:tcMar>
              <w:top w:w="90" w:type="dxa"/>
              <w:left w:w="120" w:type="dxa"/>
              <w:bottom w:w="90" w:type="dxa"/>
              <w:right w:w="120" w:type="dxa"/>
            </w:tcMar>
            <w:vAlign w:val="center"/>
          </w:tcPr>
          <w:p w14:paraId="4155FAF3">
            <w:pPr>
              <w:jc w:val="left"/>
            </w:pPr>
            <w:r>
              <w:rPr>
                <w:b w:val="0"/>
                <w:bCs w:val="0"/>
                <w:color w:val="1A1A1A"/>
                <w:sz w:val="19"/>
                <w:szCs w:val="19"/>
              </w:rPr>
              <w:t>Databricks-only</w:t>
            </w:r>
          </w:p>
        </w:tc>
        <w:tc>
          <w:tcPr>
            <w:tcW w:w="5220" w:type="dxa"/>
            <w:shd w:val="clear" w:color="auto" w:fill="FFFFFF"/>
            <w:tcMar>
              <w:top w:w="90" w:type="dxa"/>
              <w:left w:w="120" w:type="dxa"/>
              <w:bottom w:w="90" w:type="dxa"/>
              <w:right w:w="120" w:type="dxa"/>
            </w:tcMar>
            <w:vAlign w:val="center"/>
          </w:tcPr>
          <w:p w14:paraId="3933F64C">
            <w:pPr>
              <w:jc w:val="left"/>
            </w:pPr>
            <w:r>
              <w:rPr>
                <w:b w:val="0"/>
                <w:bCs w:val="0"/>
                <w:color w:val="1A1A1A"/>
                <w:sz w:val="19"/>
                <w:szCs w:val="19"/>
              </w:rPr>
              <w:t>Portable across Snowflake, BigQuery, Databricks, Redshift, Azure, AWS, and GCP targets</w:t>
            </w:r>
          </w:p>
        </w:tc>
      </w:tr>
    </w:tbl>
    <w:p w14:paraId="35F1AB0E">
      <w:pPr>
        <w:pStyle w:val="3"/>
        <w:spacing w:before="320" w:after="140"/>
      </w:pPr>
      <w:r>
        <w:rPr>
          <w:b/>
          <w:bCs/>
          <w:color w:val="2E5C8A"/>
          <w:sz w:val="24"/>
          <w:szCs w:val="24"/>
        </w:rPr>
        <w:t>9.2 Security</w:t>
      </w:r>
    </w:p>
    <w:p w14:paraId="2C52F09D">
      <w:pPr>
        <w:spacing w:after="160" w:line="300" w:lineRule="auto"/>
      </w:pPr>
      <w:r>
        <w:rPr>
          <w:color w:val="1A1A1A"/>
          <w:sz w:val="21"/>
          <w:szCs w:val="21"/>
        </w:rPr>
        <w:t>Lakeflow Connect integrates natively with Unity Catalog secrets, IAM, audit, and lineage. Meltano requires the team to integrate its own secrets management, IAM, logging, and audit trail — a real cost that must be scoped into any adoption plan.</w:t>
      </w:r>
    </w:p>
    <w:p w14:paraId="2C659A02">
      <w:pPr>
        <w:pStyle w:val="3"/>
        <w:spacing w:before="320" w:after="140"/>
      </w:pPr>
      <w:r>
        <w:rPr>
          <w:b/>
          <w:bCs/>
          <w:color w:val="2E5C8A"/>
          <w:sz w:val="24"/>
          <w:szCs w:val="24"/>
        </w:rPr>
        <w:t>9.3 Future Platform Change</w:t>
      </w:r>
    </w:p>
    <w:tbl>
      <w:tblPr>
        <w:tblStyle w:val="9"/>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20"/>
        <w:gridCol w:w="5220"/>
      </w:tblGrid>
      <w:tr w14:paraId="1A29D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20" w:type="dxa"/>
            <w:shd w:val="clear" w:color="auto" w:fill="1F2937"/>
            <w:tcMar>
              <w:top w:w="100" w:type="dxa"/>
              <w:left w:w="120" w:type="dxa"/>
              <w:bottom w:w="100" w:type="dxa"/>
              <w:right w:w="120" w:type="dxa"/>
            </w:tcMar>
            <w:vAlign w:val="center"/>
          </w:tcPr>
          <w:p w14:paraId="61B5590D">
            <w:pPr>
              <w:jc w:val="left"/>
            </w:pPr>
            <w:r>
              <w:rPr>
                <w:b/>
                <w:bCs/>
                <w:color w:val="FFFFFF"/>
                <w:sz w:val="19"/>
                <w:szCs w:val="19"/>
              </w:rPr>
              <w:t>Scenario: Migration from Databricks to another warehouse (e.g., Snowflake) after 2 years</w:t>
            </w:r>
          </w:p>
        </w:tc>
        <w:tc>
          <w:tcPr>
            <w:tcW w:w="5220" w:type="dxa"/>
            <w:shd w:val="clear" w:color="auto" w:fill="1F2937"/>
            <w:tcMar>
              <w:top w:w="100" w:type="dxa"/>
              <w:left w:w="120" w:type="dxa"/>
              <w:bottom w:w="100" w:type="dxa"/>
              <w:right w:w="120" w:type="dxa"/>
            </w:tcMar>
            <w:vAlign w:val="center"/>
          </w:tcPr>
          <w:p w14:paraId="1B29906F">
            <w:pPr>
              <w:jc w:val="left"/>
            </w:pPr>
          </w:p>
        </w:tc>
      </w:tr>
      <w:tr w14:paraId="1D21C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20" w:type="dxa"/>
            <w:shd w:val="clear" w:color="auto" w:fill="FFFFFF"/>
            <w:tcMar>
              <w:top w:w="90" w:type="dxa"/>
              <w:left w:w="120" w:type="dxa"/>
              <w:bottom w:w="90" w:type="dxa"/>
              <w:right w:w="120" w:type="dxa"/>
            </w:tcMar>
            <w:vAlign w:val="center"/>
          </w:tcPr>
          <w:p w14:paraId="2CE58C76">
            <w:pPr>
              <w:jc w:val="left"/>
            </w:pPr>
            <w:r>
              <w:rPr>
                <w:b w:val="0"/>
                <w:bCs w:val="0"/>
                <w:color w:val="1A1A1A"/>
                <w:sz w:val="19"/>
                <w:szCs w:val="19"/>
              </w:rPr>
              <w:t>Lakeflow Connect</w:t>
            </w:r>
          </w:p>
        </w:tc>
        <w:tc>
          <w:tcPr>
            <w:tcW w:w="5220" w:type="dxa"/>
            <w:shd w:val="clear" w:color="auto" w:fill="FFFFFF"/>
            <w:tcMar>
              <w:top w:w="90" w:type="dxa"/>
              <w:left w:w="120" w:type="dxa"/>
              <w:bottom w:w="90" w:type="dxa"/>
              <w:right w:w="120" w:type="dxa"/>
            </w:tcMar>
            <w:vAlign w:val="center"/>
          </w:tcPr>
          <w:p w14:paraId="6870FC64">
            <w:pPr>
              <w:jc w:val="left"/>
            </w:pPr>
            <w:r>
              <w:rPr>
                <w:b w:val="0"/>
                <w:bCs w:val="0"/>
                <w:color w:val="1A1A1A"/>
                <w:sz w:val="19"/>
                <w:szCs w:val="19"/>
              </w:rPr>
              <w:t>Ingestion layer must be redesigned — no portability</w:t>
            </w:r>
          </w:p>
        </w:tc>
      </w:tr>
      <w:tr w14:paraId="3F585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20" w:type="dxa"/>
            <w:shd w:val="clear" w:color="auto" w:fill="F4F6F8"/>
            <w:tcMar>
              <w:top w:w="90" w:type="dxa"/>
              <w:left w:w="120" w:type="dxa"/>
              <w:bottom w:w="90" w:type="dxa"/>
              <w:right w:w="120" w:type="dxa"/>
            </w:tcMar>
            <w:vAlign w:val="center"/>
          </w:tcPr>
          <w:p w14:paraId="5D8E67A6">
            <w:pPr>
              <w:jc w:val="left"/>
            </w:pPr>
            <w:r>
              <w:rPr>
                <w:b w:val="0"/>
                <w:bCs w:val="0"/>
                <w:color w:val="1A1A1A"/>
                <w:sz w:val="19"/>
                <w:szCs w:val="19"/>
              </w:rPr>
              <w:t>Meltano</w:t>
            </w:r>
          </w:p>
        </w:tc>
        <w:tc>
          <w:tcPr>
            <w:tcW w:w="5220" w:type="dxa"/>
            <w:shd w:val="clear" w:color="auto" w:fill="F4F6F8"/>
            <w:tcMar>
              <w:top w:w="90" w:type="dxa"/>
              <w:left w:w="120" w:type="dxa"/>
              <w:bottom w:w="90" w:type="dxa"/>
              <w:right w:w="120" w:type="dxa"/>
            </w:tcMar>
            <w:vAlign w:val="center"/>
          </w:tcPr>
          <w:p w14:paraId="22F9D595">
            <w:pPr>
              <w:jc w:val="left"/>
            </w:pPr>
            <w:r>
              <w:rPr>
                <w:b w:val="0"/>
                <w:bCs w:val="0"/>
                <w:color w:val="1A1A1A"/>
                <w:sz w:val="19"/>
                <w:szCs w:val="19"/>
              </w:rPr>
              <w:t>Ingestion layer largely unchanged — only the target connector changes</w:t>
            </w:r>
          </w:p>
        </w:tc>
      </w:tr>
    </w:tbl>
    <w:p w14:paraId="312ADAA5">
      <w:pPr>
        <w:pStyle w:val="2"/>
        <w:pBdr>
          <w:bottom w:val="single" w:color="2E5C8A" w:sz="8" w:space="4"/>
        </w:pBdr>
        <w:spacing w:before="400" w:after="200"/>
      </w:pPr>
      <w:r>
        <w:rPr>
          <w:b/>
          <w:bCs/>
          <w:color w:val="1F2937"/>
          <w:sz w:val="30"/>
          <w:szCs w:val="30"/>
        </w:rPr>
        <w:t>10. Final Verdict by Parameter</w:t>
      </w:r>
    </w:p>
    <w:tbl>
      <w:tblPr>
        <w:tblStyle w:val="9"/>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100"/>
        <w:gridCol w:w="5140"/>
      </w:tblGrid>
      <w:tr w14:paraId="5FF02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2937"/>
            <w:tcMar>
              <w:top w:w="100" w:type="dxa"/>
              <w:left w:w="120" w:type="dxa"/>
              <w:bottom w:w="100" w:type="dxa"/>
              <w:right w:w="120" w:type="dxa"/>
            </w:tcMar>
            <w:vAlign w:val="center"/>
          </w:tcPr>
          <w:p w14:paraId="74D56F6F">
            <w:pPr>
              <w:jc w:val="left"/>
            </w:pPr>
            <w:r>
              <w:rPr>
                <w:b/>
                <w:bCs/>
                <w:color w:val="FFFFFF"/>
                <w:sz w:val="19"/>
                <w:szCs w:val="19"/>
              </w:rPr>
              <w:t>Parameter</w:t>
            </w:r>
          </w:p>
        </w:tc>
        <w:tc>
          <w:tcPr>
            <w:tcW w:w="2100" w:type="dxa"/>
            <w:shd w:val="clear" w:color="auto" w:fill="1F2937"/>
            <w:tcMar>
              <w:top w:w="100" w:type="dxa"/>
              <w:left w:w="120" w:type="dxa"/>
              <w:bottom w:w="100" w:type="dxa"/>
              <w:right w:w="120" w:type="dxa"/>
            </w:tcMar>
            <w:vAlign w:val="center"/>
          </w:tcPr>
          <w:p w14:paraId="47217E38">
            <w:pPr>
              <w:jc w:val="left"/>
            </w:pPr>
            <w:r>
              <w:rPr>
                <w:b/>
                <w:bCs/>
                <w:color w:val="FFFFFF"/>
                <w:sz w:val="19"/>
                <w:szCs w:val="19"/>
              </w:rPr>
              <w:t>Winner</w:t>
            </w:r>
          </w:p>
        </w:tc>
        <w:tc>
          <w:tcPr>
            <w:tcW w:w="5140" w:type="dxa"/>
            <w:shd w:val="clear" w:color="auto" w:fill="1F2937"/>
            <w:tcMar>
              <w:top w:w="100" w:type="dxa"/>
              <w:left w:w="120" w:type="dxa"/>
              <w:bottom w:w="100" w:type="dxa"/>
              <w:right w:w="120" w:type="dxa"/>
            </w:tcMar>
            <w:vAlign w:val="center"/>
          </w:tcPr>
          <w:p w14:paraId="796EEAD6">
            <w:pPr>
              <w:jc w:val="left"/>
            </w:pPr>
            <w:r>
              <w:rPr>
                <w:b/>
                <w:bCs/>
                <w:color w:val="FFFFFF"/>
                <w:sz w:val="19"/>
                <w:szCs w:val="19"/>
              </w:rPr>
              <w:t>Reason</w:t>
            </w:r>
          </w:p>
        </w:tc>
      </w:tr>
      <w:tr w14:paraId="3AD9C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3BF6568F">
            <w:pPr>
              <w:jc w:val="left"/>
            </w:pPr>
            <w:r>
              <w:rPr>
                <w:b w:val="0"/>
                <w:bCs w:val="0"/>
                <w:color w:val="1A1A1A"/>
                <w:sz w:val="19"/>
                <w:szCs w:val="19"/>
              </w:rPr>
              <w:t>License cost</w:t>
            </w:r>
          </w:p>
        </w:tc>
        <w:tc>
          <w:tcPr>
            <w:tcW w:w="2100" w:type="dxa"/>
            <w:shd w:val="clear" w:color="auto" w:fill="E9F5EE"/>
            <w:tcMar>
              <w:top w:w="90" w:type="dxa"/>
              <w:left w:w="120" w:type="dxa"/>
              <w:bottom w:w="90" w:type="dxa"/>
              <w:right w:w="120" w:type="dxa"/>
            </w:tcMar>
            <w:vAlign w:val="center"/>
          </w:tcPr>
          <w:p w14:paraId="4A9339C0">
            <w:pPr>
              <w:jc w:val="left"/>
            </w:pPr>
            <w:r>
              <w:rPr>
                <w:b/>
                <w:bCs/>
                <w:color w:val="1B5E3A"/>
                <w:sz w:val="19"/>
                <w:szCs w:val="19"/>
              </w:rPr>
              <w:t>Meltano</w:t>
            </w:r>
          </w:p>
        </w:tc>
        <w:tc>
          <w:tcPr>
            <w:tcW w:w="5140" w:type="dxa"/>
            <w:shd w:val="clear" w:color="auto" w:fill="FFFFFF"/>
            <w:tcMar>
              <w:top w:w="90" w:type="dxa"/>
              <w:left w:w="120" w:type="dxa"/>
              <w:bottom w:w="90" w:type="dxa"/>
              <w:right w:w="120" w:type="dxa"/>
            </w:tcMar>
            <w:vAlign w:val="center"/>
          </w:tcPr>
          <w:p w14:paraId="1548935D">
            <w:pPr>
              <w:jc w:val="left"/>
            </w:pPr>
            <w:r>
              <w:rPr>
                <w:b w:val="0"/>
                <w:bCs w:val="0"/>
                <w:color w:val="1A1A1A"/>
                <w:sz w:val="19"/>
                <w:szCs w:val="19"/>
              </w:rPr>
              <w:t>Open source, no per-connector licensing</w:t>
            </w:r>
          </w:p>
        </w:tc>
      </w:tr>
      <w:tr w14:paraId="7D061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4F6F8"/>
            <w:tcMar>
              <w:top w:w="90" w:type="dxa"/>
              <w:left w:w="120" w:type="dxa"/>
              <w:bottom w:w="90" w:type="dxa"/>
              <w:right w:w="120" w:type="dxa"/>
            </w:tcMar>
            <w:vAlign w:val="center"/>
          </w:tcPr>
          <w:p w14:paraId="123B41B1">
            <w:pPr>
              <w:jc w:val="left"/>
            </w:pPr>
            <w:r>
              <w:rPr>
                <w:b w:val="0"/>
                <w:bCs w:val="0"/>
                <w:color w:val="1A1A1A"/>
                <w:sz w:val="19"/>
                <w:szCs w:val="19"/>
              </w:rPr>
              <w:t>Operational cost</w:t>
            </w:r>
          </w:p>
        </w:tc>
        <w:tc>
          <w:tcPr>
            <w:tcW w:w="2100" w:type="dxa"/>
            <w:shd w:val="clear" w:color="auto" w:fill="E9F5EE"/>
            <w:tcMar>
              <w:top w:w="90" w:type="dxa"/>
              <w:left w:w="120" w:type="dxa"/>
              <w:bottom w:w="90" w:type="dxa"/>
              <w:right w:w="120" w:type="dxa"/>
            </w:tcMar>
            <w:vAlign w:val="center"/>
          </w:tcPr>
          <w:p w14:paraId="222071A6">
            <w:pPr>
              <w:jc w:val="left"/>
            </w:pPr>
            <w:r>
              <w:rPr>
                <w:b/>
                <w:bCs/>
                <w:color w:val="1B5E3A"/>
                <w:sz w:val="19"/>
                <w:szCs w:val="19"/>
              </w:rPr>
              <w:t>Lakeflow Connect</w:t>
            </w:r>
          </w:p>
        </w:tc>
        <w:tc>
          <w:tcPr>
            <w:tcW w:w="5140" w:type="dxa"/>
            <w:shd w:val="clear" w:color="auto" w:fill="F4F6F8"/>
            <w:tcMar>
              <w:top w:w="90" w:type="dxa"/>
              <w:left w:w="120" w:type="dxa"/>
              <w:bottom w:w="90" w:type="dxa"/>
              <w:right w:w="120" w:type="dxa"/>
            </w:tcMar>
            <w:vAlign w:val="center"/>
          </w:tcPr>
          <w:p w14:paraId="7BA0E67E">
            <w:pPr>
              <w:jc w:val="left"/>
            </w:pPr>
            <w:r>
              <w:rPr>
                <w:b w:val="0"/>
                <w:bCs w:val="0"/>
                <w:color w:val="1A1A1A"/>
                <w:sz w:val="19"/>
                <w:szCs w:val="19"/>
              </w:rPr>
              <w:t>Managed service reduces engineering effort</w:t>
            </w:r>
          </w:p>
        </w:tc>
      </w:tr>
      <w:tr w14:paraId="687EB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612EC1FE">
            <w:pPr>
              <w:jc w:val="left"/>
            </w:pPr>
            <w:r>
              <w:rPr>
                <w:b w:val="0"/>
                <w:bCs w:val="0"/>
                <w:color w:val="1A1A1A"/>
                <w:sz w:val="19"/>
                <w:szCs w:val="19"/>
              </w:rPr>
              <w:t>Database support</w:t>
            </w:r>
          </w:p>
        </w:tc>
        <w:tc>
          <w:tcPr>
            <w:tcW w:w="2100" w:type="dxa"/>
            <w:shd w:val="clear" w:color="auto" w:fill="E9F5EE"/>
            <w:tcMar>
              <w:top w:w="90" w:type="dxa"/>
              <w:left w:w="120" w:type="dxa"/>
              <w:bottom w:w="90" w:type="dxa"/>
              <w:right w:w="120" w:type="dxa"/>
            </w:tcMar>
            <w:vAlign w:val="center"/>
          </w:tcPr>
          <w:p w14:paraId="5815CB57">
            <w:pPr>
              <w:jc w:val="left"/>
            </w:pPr>
            <w:r>
              <w:rPr>
                <w:b/>
                <w:bCs/>
                <w:color w:val="1B5E3A"/>
                <w:sz w:val="19"/>
                <w:szCs w:val="19"/>
              </w:rPr>
              <w:t>Tie</w:t>
            </w:r>
          </w:p>
        </w:tc>
        <w:tc>
          <w:tcPr>
            <w:tcW w:w="5140" w:type="dxa"/>
            <w:shd w:val="clear" w:color="auto" w:fill="FFFFFF"/>
            <w:tcMar>
              <w:top w:w="90" w:type="dxa"/>
              <w:left w:w="120" w:type="dxa"/>
              <w:bottom w:w="90" w:type="dxa"/>
              <w:right w:w="120" w:type="dxa"/>
            </w:tcMar>
            <w:vAlign w:val="center"/>
          </w:tcPr>
          <w:p w14:paraId="021BD779">
            <w:pPr>
              <w:jc w:val="left"/>
            </w:pPr>
            <w:r>
              <w:rPr>
                <w:b w:val="0"/>
                <w:bCs w:val="0"/>
                <w:color w:val="1A1A1A"/>
                <w:sz w:val="19"/>
                <w:szCs w:val="19"/>
              </w:rPr>
              <w:t>Both handle major databases; implementation quality is the differentiator</w:t>
            </w:r>
          </w:p>
        </w:tc>
      </w:tr>
      <w:tr w14:paraId="2552B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4F6F8"/>
            <w:tcMar>
              <w:top w:w="90" w:type="dxa"/>
              <w:left w:w="120" w:type="dxa"/>
              <w:bottom w:w="90" w:type="dxa"/>
              <w:right w:w="120" w:type="dxa"/>
            </w:tcMar>
            <w:vAlign w:val="center"/>
          </w:tcPr>
          <w:p w14:paraId="1F9D3214">
            <w:pPr>
              <w:jc w:val="left"/>
            </w:pPr>
            <w:r>
              <w:rPr>
                <w:b w:val="0"/>
                <w:bCs w:val="0"/>
                <w:color w:val="1A1A1A"/>
                <w:sz w:val="19"/>
                <w:szCs w:val="19"/>
              </w:rPr>
              <w:t>SaaS connectors</w:t>
            </w:r>
          </w:p>
        </w:tc>
        <w:tc>
          <w:tcPr>
            <w:tcW w:w="2100" w:type="dxa"/>
            <w:shd w:val="clear" w:color="auto" w:fill="E9F5EE"/>
            <w:tcMar>
              <w:top w:w="90" w:type="dxa"/>
              <w:left w:w="120" w:type="dxa"/>
              <w:bottom w:w="90" w:type="dxa"/>
              <w:right w:w="120" w:type="dxa"/>
            </w:tcMar>
            <w:vAlign w:val="center"/>
          </w:tcPr>
          <w:p w14:paraId="21AF2D26">
            <w:pPr>
              <w:jc w:val="left"/>
            </w:pPr>
            <w:r>
              <w:rPr>
                <w:b/>
                <w:bCs/>
                <w:color w:val="1B5E3A"/>
                <w:sz w:val="19"/>
                <w:szCs w:val="19"/>
              </w:rPr>
              <w:t>Lakeflow Connect</w:t>
            </w:r>
          </w:p>
        </w:tc>
        <w:tc>
          <w:tcPr>
            <w:tcW w:w="5140" w:type="dxa"/>
            <w:shd w:val="clear" w:color="auto" w:fill="F4F6F8"/>
            <w:tcMar>
              <w:top w:w="90" w:type="dxa"/>
              <w:left w:w="120" w:type="dxa"/>
              <w:bottom w:w="90" w:type="dxa"/>
              <w:right w:w="120" w:type="dxa"/>
            </w:tcMar>
            <w:vAlign w:val="center"/>
          </w:tcPr>
          <w:p w14:paraId="2F3F2B12">
            <w:pPr>
              <w:jc w:val="left"/>
            </w:pPr>
            <w:r>
              <w:rPr>
                <w:b w:val="0"/>
                <w:bCs w:val="0"/>
                <w:color w:val="1A1A1A"/>
                <w:sz w:val="19"/>
                <w:szCs w:val="19"/>
              </w:rPr>
              <w:t>Rich managed ecosystem for supported applications</w:t>
            </w:r>
          </w:p>
        </w:tc>
      </w:tr>
      <w:tr w14:paraId="4A031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244AAD48">
            <w:pPr>
              <w:jc w:val="left"/>
            </w:pPr>
            <w:r>
              <w:rPr>
                <w:b w:val="0"/>
                <w:bCs w:val="0"/>
                <w:color w:val="1A1A1A"/>
                <w:sz w:val="19"/>
                <w:szCs w:val="19"/>
              </w:rPr>
              <w:t>Custom APIs</w:t>
            </w:r>
          </w:p>
        </w:tc>
        <w:tc>
          <w:tcPr>
            <w:tcW w:w="2100" w:type="dxa"/>
            <w:shd w:val="clear" w:color="auto" w:fill="E9F5EE"/>
            <w:tcMar>
              <w:top w:w="90" w:type="dxa"/>
              <w:left w:w="120" w:type="dxa"/>
              <w:bottom w:w="90" w:type="dxa"/>
              <w:right w:w="120" w:type="dxa"/>
            </w:tcMar>
            <w:vAlign w:val="center"/>
          </w:tcPr>
          <w:p w14:paraId="7EB3D77A">
            <w:pPr>
              <w:jc w:val="left"/>
            </w:pPr>
            <w:r>
              <w:rPr>
                <w:b/>
                <w:bCs/>
                <w:color w:val="1B5E3A"/>
                <w:sz w:val="19"/>
                <w:szCs w:val="19"/>
              </w:rPr>
              <w:t>Meltano</w:t>
            </w:r>
          </w:p>
        </w:tc>
        <w:tc>
          <w:tcPr>
            <w:tcW w:w="5140" w:type="dxa"/>
            <w:shd w:val="clear" w:color="auto" w:fill="FFFFFF"/>
            <w:tcMar>
              <w:top w:w="90" w:type="dxa"/>
              <w:left w:w="120" w:type="dxa"/>
              <w:bottom w:w="90" w:type="dxa"/>
              <w:right w:w="120" w:type="dxa"/>
            </w:tcMar>
            <w:vAlign w:val="center"/>
          </w:tcPr>
          <w:p w14:paraId="2D570DEE">
            <w:pPr>
              <w:jc w:val="left"/>
            </w:pPr>
            <w:r>
              <w:rPr>
                <w:b w:val="0"/>
                <w:bCs w:val="0"/>
                <w:color w:val="1A1A1A"/>
                <w:sz w:val="19"/>
                <w:szCs w:val="19"/>
              </w:rPr>
              <w:t>Highly flexible via Singer taps or custom connectors</w:t>
            </w:r>
          </w:p>
        </w:tc>
      </w:tr>
      <w:tr w14:paraId="73A5D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4F6F8"/>
            <w:tcMar>
              <w:top w:w="90" w:type="dxa"/>
              <w:left w:w="120" w:type="dxa"/>
              <w:bottom w:w="90" w:type="dxa"/>
              <w:right w:w="120" w:type="dxa"/>
            </w:tcMar>
            <w:vAlign w:val="center"/>
          </w:tcPr>
          <w:p w14:paraId="411746BF">
            <w:pPr>
              <w:jc w:val="left"/>
            </w:pPr>
            <w:r>
              <w:rPr>
                <w:b w:val="0"/>
                <w:bCs w:val="0"/>
                <w:color w:val="1A1A1A"/>
                <w:sz w:val="19"/>
                <w:szCs w:val="19"/>
              </w:rPr>
              <w:t>Vendor lock-in</w:t>
            </w:r>
          </w:p>
        </w:tc>
        <w:tc>
          <w:tcPr>
            <w:tcW w:w="2100" w:type="dxa"/>
            <w:shd w:val="clear" w:color="auto" w:fill="E9F5EE"/>
            <w:tcMar>
              <w:top w:w="90" w:type="dxa"/>
              <w:left w:w="120" w:type="dxa"/>
              <w:bottom w:w="90" w:type="dxa"/>
              <w:right w:w="120" w:type="dxa"/>
            </w:tcMar>
            <w:vAlign w:val="center"/>
          </w:tcPr>
          <w:p w14:paraId="616AE3CD">
            <w:pPr>
              <w:jc w:val="left"/>
            </w:pPr>
            <w:r>
              <w:rPr>
                <w:b/>
                <w:bCs/>
                <w:color w:val="1B5E3A"/>
                <w:sz w:val="19"/>
                <w:szCs w:val="19"/>
              </w:rPr>
              <w:t>Meltano</w:t>
            </w:r>
          </w:p>
        </w:tc>
        <w:tc>
          <w:tcPr>
            <w:tcW w:w="5140" w:type="dxa"/>
            <w:shd w:val="clear" w:color="auto" w:fill="F4F6F8"/>
            <w:tcMar>
              <w:top w:w="90" w:type="dxa"/>
              <w:left w:w="120" w:type="dxa"/>
              <w:bottom w:w="90" w:type="dxa"/>
              <w:right w:w="120" w:type="dxa"/>
            </w:tcMar>
            <w:vAlign w:val="center"/>
          </w:tcPr>
          <w:p w14:paraId="572A5C6D">
            <w:pPr>
              <w:jc w:val="left"/>
            </w:pPr>
            <w:r>
              <w:rPr>
                <w:b w:val="0"/>
                <w:bCs w:val="0"/>
                <w:color w:val="1A1A1A"/>
                <w:sz w:val="19"/>
                <w:szCs w:val="19"/>
              </w:rPr>
              <w:t>Portable across warehouses and clouds</w:t>
            </w:r>
          </w:p>
        </w:tc>
      </w:tr>
      <w:tr w14:paraId="0D35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42E7AB03">
            <w:pPr>
              <w:jc w:val="left"/>
            </w:pPr>
            <w:r>
              <w:rPr>
                <w:b w:val="0"/>
                <w:bCs w:val="0"/>
                <w:color w:val="1A1A1A"/>
                <w:sz w:val="19"/>
                <w:szCs w:val="19"/>
              </w:rPr>
              <w:t>Maintenance</w:t>
            </w:r>
          </w:p>
        </w:tc>
        <w:tc>
          <w:tcPr>
            <w:tcW w:w="2100" w:type="dxa"/>
            <w:shd w:val="clear" w:color="auto" w:fill="E9F5EE"/>
            <w:tcMar>
              <w:top w:w="90" w:type="dxa"/>
              <w:left w:w="120" w:type="dxa"/>
              <w:bottom w:w="90" w:type="dxa"/>
              <w:right w:w="120" w:type="dxa"/>
            </w:tcMar>
            <w:vAlign w:val="center"/>
          </w:tcPr>
          <w:p w14:paraId="08C0E06E">
            <w:pPr>
              <w:jc w:val="left"/>
            </w:pPr>
            <w:r>
              <w:rPr>
                <w:b/>
                <w:bCs/>
                <w:color w:val="1B5E3A"/>
                <w:sz w:val="19"/>
                <w:szCs w:val="19"/>
              </w:rPr>
              <w:t>Lakeflow Connect</w:t>
            </w:r>
          </w:p>
        </w:tc>
        <w:tc>
          <w:tcPr>
            <w:tcW w:w="5140" w:type="dxa"/>
            <w:shd w:val="clear" w:color="auto" w:fill="FFFFFF"/>
            <w:tcMar>
              <w:top w:w="90" w:type="dxa"/>
              <w:left w:w="120" w:type="dxa"/>
              <w:bottom w:w="90" w:type="dxa"/>
              <w:right w:w="120" w:type="dxa"/>
            </w:tcMar>
            <w:vAlign w:val="center"/>
          </w:tcPr>
          <w:p w14:paraId="1374EE2D">
            <w:pPr>
              <w:jc w:val="left"/>
            </w:pPr>
            <w:r>
              <w:rPr>
                <w:b w:val="0"/>
                <w:bCs w:val="0"/>
                <w:color w:val="1A1A1A"/>
                <w:sz w:val="19"/>
                <w:szCs w:val="19"/>
              </w:rPr>
              <w:t>Databricks manages updates and operations</w:t>
            </w:r>
          </w:p>
        </w:tc>
      </w:tr>
      <w:tr w14:paraId="07D25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4F6F8"/>
            <w:tcMar>
              <w:top w:w="90" w:type="dxa"/>
              <w:left w:w="120" w:type="dxa"/>
              <w:bottom w:w="90" w:type="dxa"/>
              <w:right w:w="120" w:type="dxa"/>
            </w:tcMar>
            <w:vAlign w:val="center"/>
          </w:tcPr>
          <w:p w14:paraId="383495B0">
            <w:pPr>
              <w:jc w:val="left"/>
            </w:pPr>
            <w:r>
              <w:rPr>
                <w:b w:val="0"/>
                <w:bCs w:val="0"/>
                <w:color w:val="1A1A1A"/>
                <w:sz w:val="19"/>
                <w:szCs w:val="19"/>
              </w:rPr>
              <w:t>Monitoring &amp; governance</w:t>
            </w:r>
          </w:p>
        </w:tc>
        <w:tc>
          <w:tcPr>
            <w:tcW w:w="2100" w:type="dxa"/>
            <w:shd w:val="clear" w:color="auto" w:fill="E9F5EE"/>
            <w:tcMar>
              <w:top w:w="90" w:type="dxa"/>
              <w:left w:w="120" w:type="dxa"/>
              <w:bottom w:w="90" w:type="dxa"/>
              <w:right w:w="120" w:type="dxa"/>
            </w:tcMar>
            <w:vAlign w:val="center"/>
          </w:tcPr>
          <w:p w14:paraId="075AEDEC">
            <w:pPr>
              <w:jc w:val="left"/>
            </w:pPr>
            <w:r>
              <w:rPr>
                <w:b/>
                <w:bCs/>
                <w:color w:val="1B5E3A"/>
                <w:sz w:val="19"/>
                <w:szCs w:val="19"/>
              </w:rPr>
              <w:t>Lakeflow Connect</w:t>
            </w:r>
          </w:p>
        </w:tc>
        <w:tc>
          <w:tcPr>
            <w:tcW w:w="5140" w:type="dxa"/>
            <w:shd w:val="clear" w:color="auto" w:fill="F4F6F8"/>
            <w:tcMar>
              <w:top w:w="90" w:type="dxa"/>
              <w:left w:w="120" w:type="dxa"/>
              <w:bottom w:w="90" w:type="dxa"/>
              <w:right w:w="120" w:type="dxa"/>
            </w:tcMar>
            <w:vAlign w:val="center"/>
          </w:tcPr>
          <w:p w14:paraId="4C39AF1C">
            <w:pPr>
              <w:jc w:val="left"/>
            </w:pPr>
            <w:r>
              <w:rPr>
                <w:b w:val="0"/>
                <w:bCs w:val="0"/>
                <w:color w:val="1A1A1A"/>
                <w:sz w:val="19"/>
                <w:szCs w:val="19"/>
              </w:rPr>
              <w:t>Native integration with Unity Catalog</w:t>
            </w:r>
          </w:p>
        </w:tc>
      </w:tr>
      <w:tr w14:paraId="7B3C4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5925B9CA">
            <w:pPr>
              <w:jc w:val="left"/>
            </w:pPr>
            <w:r>
              <w:rPr>
                <w:b w:val="0"/>
                <w:bCs w:val="0"/>
                <w:color w:val="1A1A1A"/>
                <w:sz w:val="19"/>
                <w:szCs w:val="19"/>
              </w:rPr>
              <w:t>Flexibility</w:t>
            </w:r>
          </w:p>
        </w:tc>
        <w:tc>
          <w:tcPr>
            <w:tcW w:w="2100" w:type="dxa"/>
            <w:shd w:val="clear" w:color="auto" w:fill="E9F5EE"/>
            <w:tcMar>
              <w:top w:w="90" w:type="dxa"/>
              <w:left w:w="120" w:type="dxa"/>
              <w:bottom w:w="90" w:type="dxa"/>
              <w:right w:w="120" w:type="dxa"/>
            </w:tcMar>
            <w:vAlign w:val="center"/>
          </w:tcPr>
          <w:p w14:paraId="10F1D571">
            <w:pPr>
              <w:jc w:val="left"/>
            </w:pPr>
            <w:r>
              <w:rPr>
                <w:b/>
                <w:bCs/>
                <w:color w:val="1B5E3A"/>
                <w:sz w:val="19"/>
                <w:szCs w:val="19"/>
              </w:rPr>
              <w:t>Meltano</w:t>
            </w:r>
          </w:p>
        </w:tc>
        <w:tc>
          <w:tcPr>
            <w:tcW w:w="5140" w:type="dxa"/>
            <w:shd w:val="clear" w:color="auto" w:fill="FFFFFF"/>
            <w:tcMar>
              <w:top w:w="90" w:type="dxa"/>
              <w:left w:w="120" w:type="dxa"/>
              <w:bottom w:w="90" w:type="dxa"/>
              <w:right w:w="120" w:type="dxa"/>
            </w:tcMar>
            <w:vAlign w:val="center"/>
          </w:tcPr>
          <w:p w14:paraId="644CA2CF">
            <w:pPr>
              <w:jc w:val="left"/>
            </w:pPr>
            <w:r>
              <w:rPr>
                <w:b w:val="0"/>
                <w:bCs w:val="0"/>
                <w:color w:val="1A1A1A"/>
                <w:sz w:val="19"/>
                <w:szCs w:val="19"/>
              </w:rPr>
              <w:t>Easier to customize and extend</w:t>
            </w:r>
          </w:p>
        </w:tc>
      </w:tr>
      <w:tr w14:paraId="3B78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4F6F8"/>
            <w:tcMar>
              <w:top w:w="90" w:type="dxa"/>
              <w:left w:w="120" w:type="dxa"/>
              <w:bottom w:w="90" w:type="dxa"/>
              <w:right w:w="120" w:type="dxa"/>
            </w:tcMar>
            <w:vAlign w:val="center"/>
          </w:tcPr>
          <w:p w14:paraId="14815C5D">
            <w:pPr>
              <w:jc w:val="left"/>
            </w:pPr>
            <w:r>
              <w:rPr>
                <w:b w:val="0"/>
                <w:bCs w:val="0"/>
                <w:color w:val="1A1A1A"/>
                <w:sz w:val="19"/>
                <w:szCs w:val="19"/>
              </w:rPr>
              <w:t>Enterprise support</w:t>
            </w:r>
          </w:p>
        </w:tc>
        <w:tc>
          <w:tcPr>
            <w:tcW w:w="2100" w:type="dxa"/>
            <w:shd w:val="clear" w:color="auto" w:fill="E9F5EE"/>
            <w:tcMar>
              <w:top w:w="90" w:type="dxa"/>
              <w:left w:w="120" w:type="dxa"/>
              <w:bottom w:w="90" w:type="dxa"/>
              <w:right w:w="120" w:type="dxa"/>
            </w:tcMar>
            <w:vAlign w:val="center"/>
          </w:tcPr>
          <w:p w14:paraId="15B8BC97">
            <w:pPr>
              <w:jc w:val="left"/>
            </w:pPr>
            <w:r>
              <w:rPr>
                <w:b/>
                <w:bCs/>
                <w:color w:val="1B5E3A"/>
                <w:sz w:val="19"/>
                <w:szCs w:val="19"/>
              </w:rPr>
              <w:t>Lakeflow Connect</w:t>
            </w:r>
          </w:p>
        </w:tc>
        <w:tc>
          <w:tcPr>
            <w:tcW w:w="5140" w:type="dxa"/>
            <w:shd w:val="clear" w:color="auto" w:fill="F4F6F8"/>
            <w:tcMar>
              <w:top w:w="90" w:type="dxa"/>
              <w:left w:w="120" w:type="dxa"/>
              <w:bottom w:w="90" w:type="dxa"/>
              <w:right w:w="120" w:type="dxa"/>
            </w:tcMar>
            <w:vAlign w:val="center"/>
          </w:tcPr>
          <w:p w14:paraId="7D4072B9">
            <w:pPr>
              <w:jc w:val="left"/>
            </w:pPr>
            <w:r>
              <w:rPr>
                <w:b w:val="0"/>
                <w:bCs w:val="0"/>
                <w:color w:val="1A1A1A"/>
                <w:sz w:val="19"/>
                <w:szCs w:val="19"/>
              </w:rPr>
              <w:t>Backed by Databricks with SLAs</w:t>
            </w:r>
          </w:p>
        </w:tc>
      </w:tr>
      <w:tr w14:paraId="3FA70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0B149787">
            <w:pPr>
              <w:jc w:val="left"/>
            </w:pPr>
            <w:r>
              <w:rPr>
                <w:b w:val="0"/>
                <w:bCs w:val="0"/>
                <w:color w:val="1A1A1A"/>
                <w:sz w:val="19"/>
                <w:szCs w:val="19"/>
              </w:rPr>
              <w:t>Long-term TCO (Databricks-only)</w:t>
            </w:r>
          </w:p>
        </w:tc>
        <w:tc>
          <w:tcPr>
            <w:tcW w:w="2100" w:type="dxa"/>
            <w:shd w:val="clear" w:color="auto" w:fill="E9F5EE"/>
            <w:tcMar>
              <w:top w:w="90" w:type="dxa"/>
              <w:left w:w="120" w:type="dxa"/>
              <w:bottom w:w="90" w:type="dxa"/>
              <w:right w:w="120" w:type="dxa"/>
            </w:tcMar>
            <w:vAlign w:val="center"/>
          </w:tcPr>
          <w:p w14:paraId="70B73AB3">
            <w:pPr>
              <w:jc w:val="left"/>
            </w:pPr>
            <w:r>
              <w:rPr>
                <w:b/>
                <w:bCs/>
                <w:color w:val="1B5E3A"/>
                <w:sz w:val="19"/>
                <w:szCs w:val="19"/>
              </w:rPr>
              <w:t>Lakeflow Connect</w:t>
            </w:r>
          </w:p>
        </w:tc>
        <w:tc>
          <w:tcPr>
            <w:tcW w:w="5140" w:type="dxa"/>
            <w:shd w:val="clear" w:color="auto" w:fill="FFFFFF"/>
            <w:tcMar>
              <w:top w:w="90" w:type="dxa"/>
              <w:left w:w="120" w:type="dxa"/>
              <w:bottom w:w="90" w:type="dxa"/>
              <w:right w:w="120" w:type="dxa"/>
            </w:tcMar>
            <w:vAlign w:val="center"/>
          </w:tcPr>
          <w:p w14:paraId="42A1DF9F">
            <w:pPr>
              <w:jc w:val="left"/>
            </w:pPr>
            <w:r>
              <w:rPr>
                <w:b w:val="0"/>
                <w:bCs w:val="0"/>
                <w:color w:val="1A1A1A"/>
                <w:sz w:val="19"/>
                <w:szCs w:val="19"/>
              </w:rPr>
              <w:t>Lower operational burden typically outweighs license savings</w:t>
            </w:r>
          </w:p>
        </w:tc>
      </w:tr>
      <w:tr w14:paraId="7AAB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4F6F8"/>
            <w:tcMar>
              <w:top w:w="90" w:type="dxa"/>
              <w:left w:w="120" w:type="dxa"/>
              <w:bottom w:w="90" w:type="dxa"/>
              <w:right w:w="120" w:type="dxa"/>
            </w:tcMar>
            <w:vAlign w:val="center"/>
          </w:tcPr>
          <w:p w14:paraId="4CB24401">
            <w:pPr>
              <w:jc w:val="left"/>
            </w:pPr>
            <w:r>
              <w:rPr>
                <w:b w:val="0"/>
                <w:bCs w:val="0"/>
                <w:color w:val="1A1A1A"/>
                <w:sz w:val="19"/>
                <w:szCs w:val="19"/>
              </w:rPr>
              <w:t>Long-term TCO (hybrid / multi-cloud)</w:t>
            </w:r>
          </w:p>
        </w:tc>
        <w:tc>
          <w:tcPr>
            <w:tcW w:w="2100" w:type="dxa"/>
            <w:shd w:val="clear" w:color="auto" w:fill="E9F5EE"/>
            <w:tcMar>
              <w:top w:w="90" w:type="dxa"/>
              <w:left w:w="120" w:type="dxa"/>
              <w:bottom w:w="90" w:type="dxa"/>
              <w:right w:w="120" w:type="dxa"/>
            </w:tcMar>
            <w:vAlign w:val="center"/>
          </w:tcPr>
          <w:p w14:paraId="45FC20F7">
            <w:pPr>
              <w:jc w:val="left"/>
            </w:pPr>
            <w:r>
              <w:rPr>
                <w:b/>
                <w:bCs/>
                <w:color w:val="1B5E3A"/>
                <w:sz w:val="19"/>
                <w:szCs w:val="19"/>
              </w:rPr>
              <w:t>Meltano</w:t>
            </w:r>
          </w:p>
        </w:tc>
        <w:tc>
          <w:tcPr>
            <w:tcW w:w="5140" w:type="dxa"/>
            <w:shd w:val="clear" w:color="auto" w:fill="F4F6F8"/>
            <w:tcMar>
              <w:top w:w="90" w:type="dxa"/>
              <w:left w:w="120" w:type="dxa"/>
              <w:bottom w:w="90" w:type="dxa"/>
              <w:right w:w="120" w:type="dxa"/>
            </w:tcMar>
            <w:vAlign w:val="center"/>
          </w:tcPr>
          <w:p w14:paraId="120858EC">
            <w:pPr>
              <w:jc w:val="left"/>
            </w:pPr>
            <w:r>
              <w:rPr>
                <w:b w:val="0"/>
                <w:bCs w:val="0"/>
                <w:color w:val="1A1A1A"/>
                <w:sz w:val="19"/>
                <w:szCs w:val="19"/>
              </w:rPr>
              <w:t>Portability can reduce future migration cost</w:t>
            </w:r>
          </w:p>
        </w:tc>
      </w:tr>
    </w:tbl>
    <w:p w14:paraId="58378758">
      <w:r>
        <w:br w:type="page"/>
      </w:r>
    </w:p>
    <w:p w14:paraId="088C8859">
      <w:pPr>
        <w:pStyle w:val="2"/>
        <w:pBdr>
          <w:bottom w:val="single" w:color="2E5C8A" w:sz="8" w:space="4"/>
        </w:pBdr>
        <w:spacing w:before="400" w:after="200"/>
      </w:pPr>
      <w:r>
        <w:rPr>
          <w:b/>
          <w:bCs/>
          <w:color w:val="1F2937"/>
          <w:sz w:val="30"/>
          <w:szCs w:val="30"/>
        </w:rPr>
        <w:t>11. Recommendation</w:t>
      </w:r>
    </w:p>
    <w:p w14:paraId="61EAFBFB">
      <w:pPr>
        <w:pStyle w:val="3"/>
        <w:spacing w:before="320" w:after="140"/>
      </w:pPr>
      <w:r>
        <w:rPr>
          <w:b/>
          <w:bCs/>
          <w:color w:val="2E5C8A"/>
          <w:sz w:val="24"/>
          <w:szCs w:val="24"/>
        </w:rPr>
        <w:t>11.1 If the Organization Is Fully Committed to Databricks</w:t>
      </w:r>
    </w:p>
    <w:p w14:paraId="7C24C116">
      <w:pPr>
        <w:pStyle w:val="16"/>
        <w:numPr>
          <w:ilvl w:val="0"/>
          <w:numId w:val="1"/>
        </w:numPr>
        <w:spacing w:after="80" w:line="280" w:lineRule="auto"/>
      </w:pPr>
      <w:r>
        <w:rPr>
          <w:color w:val="1A1A1A"/>
          <w:sz w:val="21"/>
          <w:szCs w:val="21"/>
        </w:rPr>
        <w:t>Use Lakeflow Connect for supported first-party SaaS sources</w:t>
      </w:r>
    </w:p>
    <w:p w14:paraId="6D154E6E">
      <w:pPr>
        <w:pStyle w:val="16"/>
        <w:numPr>
          <w:ilvl w:val="0"/>
          <w:numId w:val="1"/>
        </w:numPr>
        <w:spacing w:after="80" w:line="280" w:lineRule="auto"/>
      </w:pPr>
      <w:r>
        <w:rPr>
          <w:color w:val="1A1A1A"/>
          <w:sz w:val="21"/>
          <w:szCs w:val="21"/>
        </w:rPr>
        <w:t>Use Auto Loader for file-based ingestion</w:t>
      </w:r>
    </w:p>
    <w:p w14:paraId="7B7CB59F">
      <w:pPr>
        <w:pStyle w:val="16"/>
        <w:numPr>
          <w:ilvl w:val="0"/>
          <w:numId w:val="1"/>
        </w:numPr>
        <w:spacing w:after="80" w:line="280" w:lineRule="auto"/>
      </w:pPr>
      <w:r>
        <w:rPr>
          <w:color w:val="1A1A1A"/>
          <w:sz w:val="21"/>
          <w:szCs w:val="21"/>
        </w:rPr>
        <w:t>Use Lakeflow Declarative Pipelines for Bronze → Silver transformation</w:t>
      </w:r>
    </w:p>
    <w:p w14:paraId="764B5A2A">
      <w:pPr>
        <w:pStyle w:val="16"/>
        <w:numPr>
          <w:ilvl w:val="0"/>
          <w:numId w:val="1"/>
        </w:numPr>
        <w:spacing w:after="80" w:line="280" w:lineRule="auto"/>
      </w:pPr>
      <w:r>
        <w:rPr>
          <w:color w:val="1A1A1A"/>
          <w:sz w:val="21"/>
          <w:szCs w:val="21"/>
        </w:rPr>
        <w:t>Use dbt for Silver → Gold business modeling</w:t>
      </w:r>
    </w:p>
    <w:p w14:paraId="5EF1CD3C">
      <w:pPr>
        <w:pStyle w:val="16"/>
        <w:numPr>
          <w:ilvl w:val="0"/>
          <w:numId w:val="1"/>
        </w:numPr>
        <w:spacing w:after="80" w:line="280" w:lineRule="auto"/>
      </w:pPr>
      <w:r>
        <w:rPr>
          <w:color w:val="1A1A1A"/>
          <w:sz w:val="21"/>
          <w:szCs w:val="21"/>
        </w:rPr>
        <w:t>Introduce Meltano only to fill connector gaps — custom APIs, niche databases, unsupported systems</w:t>
      </w:r>
    </w:p>
    <w:p w14:paraId="39539B0D">
      <w:pPr>
        <w:spacing w:before="100" w:after="200"/>
      </w:pPr>
      <w:r>
        <w:rPr>
          <w:i/>
          <w:iCs/>
          <w:color w:val="6B7280"/>
          <w:sz w:val="19"/>
          <w:szCs w:val="19"/>
        </w:rPr>
        <w:t>This keeps day-to-day operations simple while still closing connector coverage gaps.</w:t>
      </w:r>
    </w:p>
    <w:p w14:paraId="06831623">
      <w:pPr>
        <w:pStyle w:val="3"/>
        <w:spacing w:before="320" w:after="140"/>
      </w:pPr>
      <w:r>
        <w:rPr>
          <w:b/>
          <w:bCs/>
          <w:color w:val="2E5C8A"/>
          <w:sz w:val="24"/>
          <w:szCs w:val="24"/>
        </w:rPr>
        <w:t>11.2 If the Organization Is Multi-Cloud or Anticipates a Platform Change</w:t>
      </w:r>
    </w:p>
    <w:p w14:paraId="248DA479">
      <w:pPr>
        <w:spacing w:after="160" w:line="300" w:lineRule="auto"/>
      </w:pPr>
      <w:r>
        <w:rPr>
          <w:color w:val="1A1A1A"/>
          <w:sz w:val="21"/>
          <w:szCs w:val="21"/>
        </w:rPr>
        <w:t>A more portable ingestion design is preferred:</w:t>
      </w:r>
    </w:p>
    <w:p w14:paraId="1CBDE9F4">
      <w:pPr>
        <w:pStyle w:val="16"/>
        <w:numPr>
          <w:ilvl w:val="0"/>
          <w:numId w:val="1"/>
        </w:numPr>
        <w:spacing w:after="80" w:line="280" w:lineRule="auto"/>
      </w:pPr>
      <w:r>
        <w:rPr>
          <w:color w:val="1A1A1A"/>
          <w:sz w:val="21"/>
          <w:szCs w:val="21"/>
        </w:rPr>
        <w:t>Sources → Meltano → Bronze → Lakeflow Declarative Pipelines → Silver → dbt → Gold</w:t>
      </w:r>
    </w:p>
    <w:p w14:paraId="3074C5BD">
      <w:pPr>
        <w:spacing w:before="100" w:after="200"/>
      </w:pPr>
      <w:r>
        <w:rPr>
          <w:i/>
          <w:iCs/>
          <w:color w:val="6B7280"/>
          <w:sz w:val="19"/>
          <w:szCs w:val="19"/>
        </w:rPr>
        <w:t>This reduces vendor lock-in and preserves ingestion investment across a future platform migration, at the cost of higher day-to-day operational ownership.</w:t>
      </w:r>
    </w:p>
    <w:p w14:paraId="695ED3AA">
      <w:pPr>
        <w:pStyle w:val="3"/>
        <w:spacing w:before="320" w:after="140"/>
      </w:pPr>
      <w:r>
        <w:rPr>
          <w:b/>
          <w:bCs/>
          <w:color w:val="2E5C8A"/>
          <w:sz w:val="24"/>
          <w:szCs w:val="24"/>
        </w:rPr>
        <w:t>11.3 Recommended Design for This Architecture</w:t>
      </w:r>
    </w:p>
    <w:tbl>
      <w:tblPr>
        <w:tblStyle w:val="9"/>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4BAF7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40" w:type="dxa"/>
            <w:tcBorders>
              <w:top w:val="single" w:color="3E8E5B" w:sz="6" w:space="0"/>
              <w:left w:val="single" w:color="3E8E5B" w:sz="18" w:space="0"/>
              <w:bottom w:val="single" w:color="3E8E5B" w:sz="6" w:space="0"/>
              <w:right w:val="single" w:color="3E8E5B" w:sz="6" w:space="0"/>
            </w:tcBorders>
            <w:shd w:val="clear" w:color="auto" w:fill="E9F5EE"/>
            <w:tcMar>
              <w:top w:w="160" w:type="dxa"/>
              <w:left w:w="200" w:type="dxa"/>
              <w:bottom w:w="160" w:type="dxa"/>
              <w:right w:w="200" w:type="dxa"/>
            </w:tcMar>
          </w:tcPr>
          <w:p w14:paraId="357C81D9">
            <w:pPr>
              <w:spacing w:after="100"/>
            </w:pPr>
            <w:r>
              <w:rPr>
                <w:b/>
                <w:bCs/>
                <w:color w:val="1F2937"/>
                <w:sz w:val="21"/>
                <w:szCs w:val="21"/>
              </w:rPr>
              <w:t>Hybrid Ingestion Layer — Final Recommendation</w:t>
            </w:r>
          </w:p>
          <w:p w14:paraId="55E332D7">
            <w:pPr>
              <w:spacing w:after="60" w:line="270" w:lineRule="auto"/>
            </w:pPr>
            <w:r>
              <w:rPr>
                <w:color w:val="1A1A1A"/>
                <w:sz w:val="19"/>
                <w:szCs w:val="19"/>
              </w:rPr>
              <w:t>•  Lakeflow Connect for first-party supported SaaS sources (Salesforce, Workday, ServiceNow, and similar).</w:t>
            </w:r>
          </w:p>
          <w:p w14:paraId="64A6C690">
            <w:pPr>
              <w:spacing w:after="60" w:line="270" w:lineRule="auto"/>
            </w:pPr>
            <w:r>
              <w:rPr>
                <w:color w:val="1A1A1A"/>
                <w:sz w:val="19"/>
                <w:szCs w:val="19"/>
              </w:rPr>
              <w:t>•  Meltano for custom REST APIs, unsupported databases, and niche SaaS connectors.</w:t>
            </w:r>
          </w:p>
          <w:p w14:paraId="74487474">
            <w:pPr>
              <w:spacing w:after="60" w:line="270" w:lineRule="auto"/>
            </w:pPr>
            <w:r>
              <w:rPr>
                <w:color w:val="1A1A1A"/>
                <w:sz w:val="19"/>
                <w:szCs w:val="19"/>
              </w:rPr>
              <w:t>•  Auto Loader for file-based ingestion (S3, ADLS, GCS).</w:t>
            </w:r>
          </w:p>
          <w:p w14:paraId="41B0AF6C">
            <w:pPr>
              <w:spacing w:after="60" w:line="270" w:lineRule="auto"/>
            </w:pPr>
            <w:r>
              <w:rPr>
                <w:color w:val="1A1A1A"/>
                <w:sz w:val="19"/>
                <w:szCs w:val="19"/>
              </w:rPr>
              <w:t>•  Zerobus retained for streaming/event ingestion (Kafka, IoT, clickstream).</w:t>
            </w:r>
          </w:p>
          <w:p w14:paraId="128496A2">
            <w:pPr>
              <w:spacing w:after="60" w:line="270" w:lineRule="auto"/>
            </w:pPr>
            <w:r>
              <w:rPr>
                <w:color w:val="1A1A1A"/>
                <w:sz w:val="19"/>
                <w:szCs w:val="19"/>
              </w:rPr>
              <w:t>•  Lakeflow Declarative Pipelines, dbt, and Unity Catalog remain unchanged for transformation and governance.</w:t>
            </w:r>
          </w:p>
        </w:tc>
      </w:tr>
    </w:tbl>
    <w:p w14:paraId="16B39EC6">
      <w:pPr>
        <w:spacing w:after="160" w:line="300" w:lineRule="auto"/>
      </w:pPr>
      <w:r>
        <w:rPr>
          <w:b/>
          <w:bCs/>
          <w:color w:val="1A1A1A"/>
          <w:sz w:val="21"/>
          <w:szCs w:val="21"/>
        </w:rPr>
        <w:t>This hybrid approach balances cost, operational simplicity, connector flexibility, and future scalability, and is the design we are prepared to defend in an enterprise architecture review.</w:t>
      </w:r>
    </w:p>
    <w:p w14:paraId="5FFFAC79">
      <w:pPr>
        <w:spacing w:after="200"/>
      </w:pPr>
    </w:p>
    <w:p w14:paraId="0BEDAC67">
      <w:pPr>
        <w:pBdr>
          <w:bottom w:val="single" w:color="CCCCCC" w:sz="6" w:space="1"/>
        </w:pBdr>
        <w:spacing w:before="100" w:after="200"/>
      </w:pPr>
    </w:p>
    <w:p w14:paraId="3FA151C4"/>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9BEB3">
    <w:pPr>
      <w:jc w:val="center"/>
    </w:pPr>
    <w:r>
      <w:rPr>
        <w:color w:val="6B7280"/>
        <w:sz w:val="16"/>
        <w:szCs w:val="16"/>
      </w:rPr>
      <w:t xml:space="preserve">Confidential — Internal Architecture Review  |  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 xml:space="preserve">NUMPAGES</w:instrText>
    </w:r>
    <w:r>
      <w:rPr>
        <w:color w:val="6B7280"/>
        <w:sz w:val="16"/>
        <w:szCs w:val="16"/>
      </w:rPr>
      <w:fldChar w:fldCharType="separate"/>
    </w:r>
    <w:r>
      <w:rPr>
        <w:color w:val="6B72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90FFE">
    <w:pPr>
      <w:pBdr>
        <w:bottom w:val="single" w:color="CCCCCC" w:sz="4" w:space="4"/>
      </w:pBdr>
      <w:tabs>
        <w:tab w:val="right" w:pos="10080"/>
      </w:tabs>
    </w:pPr>
    <w:r>
      <w:rPr>
        <w:color w:val="6B7280"/>
        <w:sz w:val="16"/>
        <w:szCs w:val="16"/>
      </w:rPr>
      <w:t>Ingestion Layer Architecture Decision Record</w:t>
    </w:r>
    <w:r>
      <w:rPr>
        <w:color w:val="6B7280"/>
        <w:sz w:val="16"/>
        <w:szCs w:val="16"/>
      </w:rP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360" w:hanging="260"/>
      </w:pPr>
    </w:lvl>
    <w:lvl w:ilvl="1" w:tentative="0">
      <w:start w:val="1"/>
      <w:numFmt w:val="bullet"/>
      <w:lvlText w:val="◦"/>
      <w:lvlJc w:val="left"/>
      <w:pPr>
        <w:ind w:left="7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documentProtection w:enforcement="0"/>
  <w:compat>
    <w:compatSetting w:name="compatibilityMode" w:uri="http://schemas.microsoft.com/office/word" w:val="15"/>
  </w:compat>
  <w:rsids>
    <w:rsidRoot w:val="00000000"/>
    <w:rsid w:val="56C420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rPr>
  </w:style>
  <w:style w:type="paragraph" w:styleId="6">
    <w:name w:val="heading 5"/>
    <w:next w:val="1"/>
    <w:qFormat/>
    <w:uiPriority w:val="0"/>
    <w:rPr>
      <w:rFonts w:ascii="Calibri" w:hAnsi="Calibri" w:eastAsia="Calibri" w:cs="Calibri"/>
      <w:color w:val="2E74B5"/>
    </w:rPr>
  </w:style>
  <w:style w:type="paragraph" w:styleId="7">
    <w:name w:val="heading 6"/>
    <w:next w:val="1"/>
    <w:qFormat/>
    <w:uiPriority w:val="0"/>
    <w:rPr>
      <w:rFonts w:ascii="Calibri" w:hAnsi="Calibri" w:eastAsia="Calibri" w:cs="Calibri"/>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1125</Words>
  <Characters>7060</Characters>
  <TotalTime>2</TotalTime>
  <ScaleCrop>false</ScaleCrop>
  <LinksUpToDate>false</LinksUpToDate>
  <CharactersWithSpaces>8042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2026-07-16T11:38:00Z</dcterms:created>
  <dc:creator>Un-named</dc:creator>
  <cp:lastModifiedBy>GOVARDHAN REDDY</cp:lastModifiedBy>
  <dcterms:modified xsi:type="dcterms:W3CDTF">2026-07-16T13:18:54Z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eyJoZGlkIjoiYmUxOWRjZjRkNzI5NmZmODA5ZTI2N2VmMWZkOTI3MDQiLCJ1c2VySWQiOiI1Njc1Mzg5ODc5NDUifQ==</vt:lpwstr>
  </property>
  <property fmtid="{D5CDD505-2E9C-101B-9397-08002B2CF9AE}" pid="3" name="KSOProductBuildVer">
    <vt:lpwstr>1033-12.1.0.26880</vt:lpwstr>
  </property>
  <property fmtid="{D5CDD505-2E9C-101B-9397-08002B2CF9AE}" pid="4" name="ICV">
    <vt:lpwstr>B9D5D616767C404CB6DCC857D39B36AC_12</vt:lpwstr>
  </property>
</Properties>
</file>