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B2A5B"/>
          <w:sz w:val="44"/>
          <w:szCs w:val="44"/>
        </w:rPr>
        <w:t xml:space="preserve">WhiteHawk — UX/UI &amp; SEO Review</w:t>
      </w:r>
    </w:p>
    <w:p>
      <w:pPr>
        <w:spacing w:after="100"/>
      </w:pPr>
      <w:r>
        <w:rPr>
          <w:i/>
          <w:iCs/>
          <w:color w:val="64748B"/>
          <w:sz w:val="24"/>
          <w:szCs w:val="24"/>
        </w:rPr>
        <w:t xml:space="preserve">whitehawkv2 marketing site — code-based design &amp; UX audit</w:t>
      </w:r>
    </w:p>
    <w:p>
      <w:pPr>
        <w:spacing w:after="400"/>
      </w:pPr>
      <w:r>
        <w:rPr>
          <w:color w:val="64748B"/>
          <w:sz w:val="20"/>
          <w:szCs w:val="20"/>
        </w:rPr>
        <w:t xml:space="preserve">Prepared for Yara Hossam · July 15, 2026</w:t>
      </w:r>
    </w:p>
    <w:p>
      <w:pPr>
        <w:pStyle w:val="Heading1"/>
        <w:spacing w:after="200" w:before="400"/>
      </w:pPr>
      <w:r>
        <w:t xml:space="preserve">1. Overview</w:t>
      </w:r>
    </w:p>
    <w:p>
      <w:pPr>
        <w:spacing w:after="160"/>
      </w:pPr>
      <w:r>
        <w:t xml:space="preserve">The WhiteHawk site has a genuinely distinctive visual identity for a security SaaS product: six custom Three.js hero scenes (one per module) built around a coherent metaphor language — spheres, fractures, hexagonal shields, aligning tablets, converging graphs — sitting on top of a clean editorial layout system (bento grids, numbered index rows, a sticky mega-menu). The component architecture is sound: a shared design-system file (ui.tsx) provides reusable Card, Bento, Button, CTABand and FAQ primitives, and most pages compose from it rather than duplicating markup.</w:t>
      </w:r>
    </w:p>
    <w:p>
      <w:pPr>
        <w:spacing w:after="160"/>
      </w:pPr>
      <w:r>
        <w:t xml:space="preserve">The review method for this pass: because no static design files (Figma, images) were attached, the review was done directly against the live Next.js codebase — reading every page route, the shared UI/hero components, global style tokens, and metadata — rather than against screenshots. This gives more precise, line-level findings than a visual-only review, at the cost of not capturing runtime-only issues (e.g. actual rendered contrast under real fonts, real load performance).</w:t>
      </w:r>
    </w:p>
    <w:p>
      <w:pPr>
        <w:spacing w:after="160"/>
      </w:pPr>
      <w:r>
        <w:t xml:space="preserve">The strongest, most systemic issues are not cosmetic — they are structural gaps that a design polish pass won't fix on its own: there is no keyboard focus styling anywhere in the shared design system, the hero animations never respect reduced-motion preferences, and there is no SEO infrastructure (sitemap, canonical URLs, structured data) at all. Beneath those, the card and typography system has drifted — a full radius scale and color tokens are defined in styles.css, but page authors reach for one-off arbitrary values (bracketed pixel sizes, custom shadows) far more often than the shared tokens, so the same visual role often renders three or four different ways across pages.</w:t>
      </w:r>
    </w:p>
    <w:p>
      <w:pPr>
        <w:spacing w:after="160"/>
      </w:pPr>
      <w:r>
        <w:t xml:space="preserve">None of this is a rebuild-from-scratch situation. It's tightening: wire the existing tokens into the actual components, add the missing accessibility and SEO scaffolding, and resolve one hero (Offensive) where the copy promises something the animation doesn't deliver.</w:t>
      </w:r>
    </w:p>
    <w:p>
      <w:pPr>
        <w:pStyle w:val="Heading1"/>
        <w:spacing w:after="200" w:before="400"/>
      </w:pPr>
      <w:r>
        <w:t xml:space="preserve">2. Screen-by-Screen Analysis</w:t>
      </w:r>
    </w:p>
    <w:p>
      <w:pPr>
        <w:pStyle w:val="Heading2"/>
        <w:spacing w:after="150" w:before="300"/>
      </w:pPr>
      <w:r>
        <w:t xml:space="preserve">Home (/)</w:t>
      </w:r>
    </w:p>
    <w:p>
      <w:pPr>
        <w:spacing w:after="160"/>
      </w:pPr>
      <w:r>
        <w:t xml:space="preserve">Visual hierarchy is the best on the site: dark hero with a single clear headline, a logo strip for trust, then an editorial 'problem' band with three stat cells (8–14 tools, 5 days lag, 'every audit becomes a fire drill') that reads as scannable proof before the pitch. The 'Solutions' section uses a numbered index-row pattern (01–04) with a stat pulled right — an effective, magazine-like way to present four modules without four identical cards competing for attention.</w:t>
      </w:r>
    </w:p>
    <w:p>
      <w:pPr>
        <w:pStyle w:val="ListParagraph"/>
        <w:numPr>
          <w:ilvl w:val="0"/>
          <w:numId w:val="2"/>
        </w:numPr>
        <w:spacing w:after="100"/>
      </w:pPr>
      <w:r>
        <w:t xml:space="preserve">Works well: the home hero's 3D 'Command Sphere' with four orbiting module-colored nodes is the single clearest pairing of animation-to-message on the whole site — it visually is the four-modules-in-one-platform pitch.</w:t>
      </w:r>
    </w:p>
    <w:p>
      <w:pPr>
        <w:pStyle w:val="ListParagraph"/>
        <w:numPr>
          <w:ilvl w:val="0"/>
          <w:numId w:val="2"/>
        </w:numPr>
        <w:spacing w:after="100"/>
      </w:pPr>
      <w:r>
        <w:t xml:space="preserve">Works well: the FAQ uses native &lt;details&gt;/&lt;summary&gt; — accessible and JS-free by default, a good technical choice most teams skip.</w:t>
      </w:r>
    </w:p>
    <w:p>
      <w:pPr>
        <w:pStyle w:val="ListParagraph"/>
        <w:numPr>
          <w:ilvl w:val="0"/>
          <w:numId w:val="2"/>
        </w:numPr>
        <w:spacing w:after="100"/>
      </w:pPr>
      <w:r>
        <w:t xml:space="preserve">Doesn't work: the certification tiles (SOC 2 / ISO 27001 / GDPR / PCI-DSS) and the testimonial attributions both drop to 11–12px text, undercutting the otherwise confident typographic voice at exactly the point where the page is trying to build trust.</w:t>
      </w:r>
    </w:p>
    <w:p>
      <w:pPr>
        <w:pStyle w:val="Heading2"/>
        <w:spacing w:after="150" w:before="300"/>
      </w:pPr>
      <w:r>
        <w:t xml:space="preserve">Platform overview (/platform)</w:t>
      </w:r>
    </w:p>
    <w:p>
      <w:pPr>
        <w:spacing w:after="160"/>
      </w:pPr>
      <w:r>
        <w:t xml:space="preserve">Uses the light-theme hero with the 'Living Pipeline' 3D scene (four stacked translucent slabs, particles flowing bottom-to-top). The headline 'One system. Four modules. Zero seams.' pairs reasonably with the visual, though the ingest→analyze→detect→remediate narrative the animation is meant to convey (per the code's own comments) isn't something a first-time visitor would infer without the copy doing the explaining — the visual supports the message rather than carrying it alone.</w:t>
      </w:r>
    </w:p>
    <w:p>
      <w:pPr>
        <w:pStyle w:val="ListParagraph"/>
        <w:numPr>
          <w:ilvl w:val="0"/>
          <w:numId w:val="2"/>
        </w:numPr>
        <w:spacing w:after="100"/>
      </w:pPr>
      <w:r>
        <w:t xml:space="preserve">Works well: module capability tiles reuse the Bento layout consistently with the home page, so the platform page doesn't feel like a different product.</w:t>
      </w:r>
    </w:p>
    <w:p>
      <w:pPr>
        <w:pStyle w:val="ListParagraph"/>
        <w:numPr>
          <w:ilvl w:val="0"/>
          <w:numId w:val="2"/>
        </w:numPr>
        <w:spacing w:after="100"/>
      </w:pPr>
      <w:r>
        <w:t xml:space="preserve">Doesn't work: capability-card titles here render as real &lt;h3&gt; elements, but the equivalent titles on the four module sub-pages (via ModulePage.tsx) render as plain, non-heading &lt;div&gt;s — same visual role, inconsistent underlying markup and a missed SEO/semantic opportunity.</w:t>
      </w:r>
    </w:p>
    <w:p>
      <w:pPr>
        <w:pStyle w:val="Heading2"/>
        <w:spacing w:after="150" w:before="300"/>
      </w:pPr>
      <w:r>
        <w:t xml:space="preserve">Offensive / Defensive / GRC / Asset Management module pages</w:t>
      </w:r>
    </w:p>
    <w:p>
      <w:pPr>
        <w:spacing w:after="160"/>
      </w:pPr>
      <w:r>
        <w:t xml:space="preserve">All four share the ModulePage template: light hero + module 3D scene, then use-case cards and capability tiles. This consistency is a strength — a visitor bouncing between modules recognizes the pattern instantly. The differentiation problem is in the hero pairing, not the template:</w:t>
      </w:r>
    </w:p>
    <w:p>
      <w:pPr>
        <w:pStyle w:val="ListParagraph"/>
        <w:numPr>
          <w:ilvl w:val="0"/>
          <w:numId w:val="2"/>
        </w:numPr>
        <w:spacing w:after="100"/>
      </w:pPr>
      <w:r>
        <w:t xml:space="preserve">Defensive is the standout: the shield is invisible until an attack lands, at which point a hexagonal ripple flashes exactly where impact occurred, then fades — this is a one-to-one dramatization of the headline 'Invisible until it isn't.'</w:t>
      </w:r>
    </w:p>
    <w:p>
      <w:pPr>
        <w:pStyle w:val="ListParagraph"/>
        <w:numPr>
          <w:ilvl w:val="0"/>
          <w:numId w:val="2"/>
        </w:numPr>
        <w:spacing w:after="100"/>
      </w:pPr>
      <w:r>
        <w:t xml:space="preserve">Offensive is the weak link: the headline and body copy explicitly promise an 'x-ray sweep' — an active, moving reveal — but the shipped scene is a static, slowly rotating cage with a permanently visible glowing crack. A visitor who reads the copy will expect motion the visual doesn't deliver.</w:t>
      </w:r>
    </w:p>
    <w:p>
      <w:pPr>
        <w:pStyle w:val="ListParagraph"/>
        <w:numPr>
          <w:ilvl w:val="0"/>
          <w:numId w:val="2"/>
        </w:numPr>
        <w:spacing w:after="100"/>
      </w:pPr>
      <w:r>
        <w:t xml:space="preserve">GRC's animation (tablets flying in and locking into a grid) plays out once in the first ~2 seconds and then sits idle — but the copy's core claim is continuous readiness ('always audit ready, not just before the audit'), which a one-time settle animation undercuts rather than reinforces.</w:t>
      </w:r>
    </w:p>
    <w:p>
      <w:pPr>
        <w:pStyle w:val="ListParagraph"/>
        <w:numPr>
          <w:ilvl w:val="0"/>
          <w:numId w:val="2"/>
        </w:numPr>
        <w:spacing w:after="100"/>
      </w:pPr>
      <w:r>
        <w:t xml:space="preserve">Asset Management pairs well: 9 converging colored node-clusters is a literal, legible stand-in for '9 asset categories' and 'you can't secure what you can't see.'</w:t>
      </w:r>
    </w:p>
    <w:p>
      <w:pPr>
        <w:pStyle w:val="Heading2"/>
        <w:spacing w:after="150" w:before="300"/>
      </w:pPr>
      <w:r>
        <w:t xml:space="preserve">Pricing (/pricing)</w:t>
      </w:r>
    </w:p>
    <w:p>
      <w:pPr>
        <w:spacing w:after="160"/>
      </w:pPr>
      <w:r>
        <w:t xml:space="preserve">Pricing tiers are hand-built rather than using the shared Card component (rounded-2xl / p-8 vs. Card's rounded-lg / p-6), so the pricing cards look visually heavier than cards elsewhere on the site despite serving the same 'compare options' role as, e.g., the certification tiles on the home page. The comparison-table CTA buttons use the small Button size, which computes to roughly 34–36px tall — on the low side for what are likely the highest-intent buttons on the entire site.</w:t>
      </w:r>
    </w:p>
    <w:p>
      <w:pPr>
        <w:pStyle w:val="Heading2"/>
        <w:spacing w:after="150" w:before="300"/>
      </w:pPr>
      <w:r>
        <w:t xml:space="preserve">Company, Customers, Contact</w:t>
      </w:r>
    </w:p>
    <w:p>
      <w:pPr>
        <w:spacing w:after="160"/>
      </w:pPr>
      <w:r>
        <w:t xml:space="preserve">These pages each introduce their own one-off card treatment: investor-logo tiles at rounded-xl/p-5 (Company), stat cards at rounded-2xl/p-6 (Customers), and a contact form panel with a unique custom box-shadow value not used anywhere else. None of these is wrong in isolation, but together they show the card system fragmenting page by page rather than being reused. The Company page's investor logos also share one generic alt text ('Investor logo') across ten different logos — not useful for accessibility or SEO, and an easy fix since each logo file name already encodes which investor it is.</w:t>
      </w:r>
    </w:p>
    <w:p>
      <w:pPr>
        <w:pStyle w:val="Heading2"/>
        <w:spacing w:after="150" w:before="300"/>
      </w:pPr>
      <w:r>
        <w:t xml:space="preserve">Blog (/blog, /blog/[slug])</w:t>
      </w:r>
    </w:p>
    <w:p>
      <w:pPr>
        <w:spacing w:after="160"/>
      </w:pPr>
      <w:r>
        <w:t xml:space="preserve">Best-practice metadata handling on the site: per-post generateMetadata with correct title/description/OG data and a proper index:false fallback for missing posts. The gap is on the image side — cover images use alt="" (treating genuinely meaningful content images as decorative) and, like every image on the site, are raw &lt;img&gt; tags rather than next/image, which matters most here since blog covers are often the largest image on the page.</w:t>
      </w:r>
    </w:p>
    <w:p>
      <w:pPr>
        <w:pStyle w:val="Heading1"/>
        <w:spacing w:after="200" w:before="400"/>
      </w:pPr>
      <w:r>
        <w:t xml:space="preserve">3. Key Problems</w:t>
      </w:r>
    </w:p>
    <w:p>
      <w:pPr>
        <w:spacing w:after="160"/>
      </w:pPr>
      <w:r>
        <w:t xml:space="preserve">Ordered roughly by how much user-facing or discoverability impact each has: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0B2A5B" w:val="clear"/>
            <w:tcMar>
              <w:top w:type="dxa" w:w="100"/>
              <w:left w:type="dxa" w:w="120"/>
              <w:bottom w:type="dxa" w:w="100"/>
              <w:right w:type="dxa" w:w="120"/>
            </w:tcMar>
          </w:tcPr>
          <w:p>
            <w:r>
              <w:rPr>
                <w:b/>
                <w:bCs/>
                <w:color w:val="FFFFFF"/>
                <w:sz w:val="20"/>
                <w:szCs w:val="20"/>
              </w:rPr>
              <w:t xml:space="preserve">Area</w:t>
            </w:r>
          </w:p>
        </w:tc>
        <w:tc>
          <w:tcPr>
            <w:tcW w:type="dxa" w:w="2200"/>
            <w:shd w:fill="0B2A5B" w:val="clear"/>
            <w:tcMar>
              <w:top w:type="dxa" w:w="100"/>
              <w:left w:type="dxa" w:w="120"/>
              <w:bottom w:type="dxa" w:w="100"/>
              <w:right w:type="dxa" w:w="120"/>
            </w:tcMar>
          </w:tcPr>
          <w:p>
            <w:r>
              <w:rPr>
                <w:b/>
                <w:bCs/>
                <w:color w:val="FFFFFF"/>
                <w:sz w:val="20"/>
                <w:szCs w:val="20"/>
              </w:rPr>
              <w:t xml:space="preserve">Severity</w:t>
            </w:r>
          </w:p>
        </w:tc>
        <w:tc>
          <w:tcPr>
            <w:tcW w:type="dxa" w:w="4600"/>
            <w:shd w:fill="0B2A5B" w:val="clear"/>
            <w:tcMar>
              <w:top w:type="dxa" w:w="100"/>
              <w:left w:type="dxa" w:w="120"/>
              <w:bottom w:type="dxa" w:w="100"/>
              <w:right w:type="dxa" w:w="120"/>
            </w:tcMar>
          </w:tcPr>
          <w:p>
            <w:r>
              <w:rPr>
                <w:b/>
                <w:bCs/>
                <w:color w:val="FFFFFF"/>
                <w:sz w:val="20"/>
                <w:szCs w:val="20"/>
              </w:rPr>
              <w:t xml:space="preserve">Issue</w:t>
            </w:r>
          </w:p>
        </w:tc>
      </w:tr>
      <w:tr>
        <w:tc>
          <w:tcPr>
            <w:tcW w:type="dxa" w:w="2200"/>
            <w:shd w:fill="F5F7FA" w:val="clear"/>
            <w:tcMar>
              <w:top w:type="dxa" w:w="100"/>
              <w:left w:type="dxa" w:w="120"/>
              <w:bottom w:type="dxa" w:w="100"/>
              <w:right w:type="dxa" w:w="120"/>
            </w:tcMar>
          </w:tcPr>
          <w:p>
            <w:r>
              <w:rPr>
                <w:sz w:val="20"/>
                <w:szCs w:val="20"/>
              </w:rPr>
              <w:t xml:space="preserve">Accessibility</w:t>
            </w:r>
          </w:p>
        </w:tc>
        <w:tc>
          <w:tcPr>
            <w:tcW w:type="dxa" w:w="2200"/>
            <w:shd w:fill="F5F7FA" w:val="clear"/>
            <w:tcMar>
              <w:top w:type="dxa" w:w="100"/>
              <w:left w:type="dxa" w:w="120"/>
              <w:bottom w:type="dxa" w:w="100"/>
              <w:right w:type="dxa" w:w="120"/>
            </w:tcMar>
          </w:tcPr>
          <w:p>
            <w:r>
              <w:rPr>
                <w:sz w:val="20"/>
                <w:szCs w:val="20"/>
              </w:rPr>
              <w:t xml:space="preserve">High</w:t>
            </w:r>
          </w:p>
        </w:tc>
        <w:tc>
          <w:tcPr>
            <w:tcW w:type="dxa" w:w="4600"/>
            <w:tcMar>
              <w:top w:type="dxa" w:w="100"/>
              <w:left w:type="dxa" w:w="120"/>
              <w:bottom w:type="dxa" w:w="100"/>
              <w:right w:type="dxa" w:w="120"/>
            </w:tcMar>
          </w:tcPr>
          <w:p>
            <w:r>
              <w:rPr>
                <w:sz w:val="20"/>
                <w:szCs w:val="20"/>
              </w:rPr>
              <w:t xml:space="preserve">No focus-visible styling anywhere in the shared design system (Button, Card, BentoTile, Header nav, mega-menu) — keyboard users get inconsistent or no visible focus across almost the entire public site.</w:t>
            </w:r>
          </w:p>
        </w:tc>
      </w:tr>
      <w:tr>
        <w:tc>
          <w:tcPr>
            <w:tcW w:type="dxa" w:w="2200"/>
            <w:shd w:fill="F5F7FA" w:val="clear"/>
            <w:tcMar>
              <w:top w:type="dxa" w:w="100"/>
              <w:left w:type="dxa" w:w="120"/>
              <w:bottom w:type="dxa" w:w="100"/>
              <w:right w:type="dxa" w:w="120"/>
            </w:tcMar>
          </w:tcPr>
          <w:p>
            <w:r>
              <w:rPr>
                <w:sz w:val="20"/>
                <w:szCs w:val="20"/>
              </w:rPr>
              <w:t xml:space="preserve">Accessibility</w:t>
            </w:r>
          </w:p>
        </w:tc>
        <w:tc>
          <w:tcPr>
            <w:tcW w:type="dxa" w:w="2200"/>
            <w:shd w:fill="F5F7FA" w:val="clear"/>
            <w:tcMar>
              <w:top w:type="dxa" w:w="100"/>
              <w:left w:type="dxa" w:w="120"/>
              <w:bottom w:type="dxa" w:w="100"/>
              <w:right w:type="dxa" w:w="120"/>
            </w:tcMar>
          </w:tcPr>
          <w:p>
            <w:r>
              <w:rPr>
                <w:sz w:val="20"/>
                <w:szCs w:val="20"/>
              </w:rPr>
              <w:t xml:space="preserve">High</w:t>
            </w:r>
          </w:p>
        </w:tc>
        <w:tc>
          <w:tcPr>
            <w:tcW w:type="dxa" w:w="4600"/>
            <w:tcMar>
              <w:top w:type="dxa" w:w="100"/>
              <w:left w:type="dxa" w:w="120"/>
              <w:bottom w:type="dxa" w:w="100"/>
              <w:right w:type="dxa" w:w="120"/>
            </w:tcMar>
          </w:tcPr>
          <w:p>
            <w:r>
              <w:rPr>
                <w:sz w:val="20"/>
                <w:szCs w:val="20"/>
              </w:rPr>
              <w:t xml:space="preserve">Hero3D animations ignore prefers-reduced-motion — six WebGL scenes (pulsing, streaking, flashing) run unconditionally, unlike every other animated element in the codebase.</w:t>
            </w:r>
          </w:p>
        </w:tc>
      </w:tr>
      <w:tr>
        <w:tc>
          <w:tcPr>
            <w:tcW w:type="dxa" w:w="2200"/>
            <w:shd w:fill="F5F7FA" w:val="clear"/>
            <w:tcMar>
              <w:top w:type="dxa" w:w="100"/>
              <w:left w:type="dxa" w:w="120"/>
              <w:bottom w:type="dxa" w:w="100"/>
              <w:right w:type="dxa" w:w="120"/>
            </w:tcMar>
          </w:tcPr>
          <w:p>
            <w:r>
              <w:rPr>
                <w:sz w:val="20"/>
                <w:szCs w:val="20"/>
              </w:rPr>
              <w:t xml:space="preserve">SEO</w:t>
            </w:r>
          </w:p>
        </w:tc>
        <w:tc>
          <w:tcPr>
            <w:tcW w:type="dxa" w:w="2200"/>
            <w:shd w:fill="F5F7FA" w:val="clear"/>
            <w:tcMar>
              <w:top w:type="dxa" w:w="100"/>
              <w:left w:type="dxa" w:w="120"/>
              <w:bottom w:type="dxa" w:w="100"/>
              <w:right w:type="dxa" w:w="120"/>
            </w:tcMar>
          </w:tcPr>
          <w:p>
            <w:r>
              <w:rPr>
                <w:sz w:val="20"/>
                <w:szCs w:val="20"/>
              </w:rPr>
              <w:t xml:space="preserve">High</w:t>
            </w:r>
          </w:p>
        </w:tc>
        <w:tc>
          <w:tcPr>
            <w:tcW w:type="dxa" w:w="4600"/>
            <w:tcMar>
              <w:top w:type="dxa" w:w="100"/>
              <w:left w:type="dxa" w:w="120"/>
              <w:bottom w:type="dxa" w:w="100"/>
              <w:right w:type="dxa" w:w="120"/>
            </w:tcMar>
          </w:tcPr>
          <w:p>
            <w:r>
              <w:rPr>
                <w:sz w:val="20"/>
                <w:szCs w:val="20"/>
              </w:rPr>
              <w:t xml:space="preserve">No sitemap.xml, no canonical tags, no structured data (Organization/SoftwareApplication/FAQPage) anywhere in the site.</w:t>
            </w:r>
          </w:p>
        </w:tc>
      </w:tr>
      <w:tr>
        <w:tc>
          <w:tcPr>
            <w:tcW w:type="dxa" w:w="2200"/>
            <w:shd w:fill="F5F7FA" w:val="clear"/>
            <w:tcMar>
              <w:top w:type="dxa" w:w="100"/>
              <w:left w:type="dxa" w:w="120"/>
              <w:bottom w:type="dxa" w:w="100"/>
              <w:right w:type="dxa" w:w="120"/>
            </w:tcMar>
          </w:tcPr>
          <w:p>
            <w:r>
              <w:rPr>
                <w:sz w:val="20"/>
                <w:szCs w:val="20"/>
              </w:rPr>
              <w:t xml:space="preserve">SEO</w:t>
            </w:r>
          </w:p>
        </w:tc>
        <w:tc>
          <w:tcPr>
            <w:tcW w:type="dxa" w:w="2200"/>
            <w:shd w:fill="F5F7FA" w:val="clear"/>
            <w:tcMar>
              <w:top w:type="dxa" w:w="100"/>
              <w:left w:type="dxa" w:w="120"/>
              <w:bottom w:type="dxa" w:w="100"/>
              <w:right w:type="dxa" w:w="120"/>
            </w:tcMar>
          </w:tcPr>
          <w:p>
            <w:r>
              <w:rPr>
                <w:sz w:val="20"/>
                <w:szCs w:val="20"/>
              </w:rPr>
              <w:t xml:space="preserve">Medium</w:t>
            </w:r>
          </w:p>
        </w:tc>
        <w:tc>
          <w:tcPr>
            <w:tcW w:type="dxa" w:w="4600"/>
            <w:tcMar>
              <w:top w:type="dxa" w:w="100"/>
              <w:left w:type="dxa" w:w="120"/>
              <w:bottom w:type="dxa" w:w="100"/>
              <w:right w:type="dxa" w:w="120"/>
            </w:tcMar>
          </w:tcPr>
          <w:p>
            <w:r>
              <w:rPr>
                <w:sz w:val="20"/>
                <w:szCs w:val="20"/>
              </w:rPr>
              <w:t xml:space="preserve">Every image is a raw &lt;img&gt;, not next/image — no responsive srcset, lazy-loading, or format negotiation; a real Core Web Vitals/LCP risk.</w:t>
            </w:r>
          </w:p>
        </w:tc>
      </w:tr>
      <w:tr>
        <w:tc>
          <w:tcPr>
            <w:tcW w:type="dxa" w:w="2200"/>
            <w:shd w:fill="F5F7FA" w:val="clear"/>
            <w:tcMar>
              <w:top w:type="dxa" w:w="100"/>
              <w:left w:type="dxa" w:w="120"/>
              <w:bottom w:type="dxa" w:w="100"/>
              <w:right w:type="dxa" w:w="120"/>
            </w:tcMar>
          </w:tcPr>
          <w:p>
            <w:r>
              <w:rPr>
                <w:sz w:val="20"/>
                <w:szCs w:val="20"/>
              </w:rPr>
              <w:t xml:space="preserve">Visual consistency</w:t>
            </w:r>
          </w:p>
        </w:tc>
        <w:tc>
          <w:tcPr>
            <w:tcW w:type="dxa" w:w="2200"/>
            <w:shd w:fill="F5F7FA" w:val="clear"/>
            <w:tcMar>
              <w:top w:type="dxa" w:w="100"/>
              <w:left w:type="dxa" w:w="120"/>
              <w:bottom w:type="dxa" w:w="100"/>
              <w:right w:type="dxa" w:w="120"/>
            </w:tcMar>
          </w:tcPr>
          <w:p>
            <w:r>
              <w:rPr>
                <w:sz w:val="20"/>
                <w:szCs w:val="20"/>
              </w:rPr>
              <w:t xml:space="preserve">Medium</w:t>
            </w:r>
          </w:p>
        </w:tc>
        <w:tc>
          <w:tcPr>
            <w:tcW w:type="dxa" w:w="4600"/>
            <w:tcMar>
              <w:top w:type="dxa" w:w="100"/>
              <w:left w:type="dxa" w:w="120"/>
              <w:bottom w:type="dxa" w:w="100"/>
              <w:right w:type="dxa" w:w="120"/>
            </w:tcMar>
          </w:tcPr>
          <w:p>
            <w:r>
              <w:rPr>
                <w:sz w:val="20"/>
                <w:szCs w:val="20"/>
              </w:rPr>
              <w:t xml:space="preserve">Four different card border-radius values (rounded-lg/xl/2xl/full) and 5+ one-off box-shadow values used interchangeably for the same 'card' concept.</w:t>
            </w:r>
          </w:p>
        </w:tc>
      </w:tr>
      <w:tr>
        <w:tc>
          <w:tcPr>
            <w:tcW w:type="dxa" w:w="2200"/>
            <w:shd w:fill="F5F7FA" w:val="clear"/>
            <w:tcMar>
              <w:top w:type="dxa" w:w="100"/>
              <w:left w:type="dxa" w:w="120"/>
              <w:bottom w:type="dxa" w:w="100"/>
              <w:right w:type="dxa" w:w="120"/>
            </w:tcMar>
          </w:tcPr>
          <w:p>
            <w:r>
              <w:rPr>
                <w:sz w:val="20"/>
                <w:szCs w:val="20"/>
              </w:rPr>
              <w:t xml:space="preserve">Visual consistency</w:t>
            </w:r>
          </w:p>
        </w:tc>
        <w:tc>
          <w:tcPr>
            <w:tcW w:type="dxa" w:w="2200"/>
            <w:shd w:fill="F5F7FA" w:val="clear"/>
            <w:tcMar>
              <w:top w:type="dxa" w:w="100"/>
              <w:left w:type="dxa" w:w="120"/>
              <w:bottom w:type="dxa" w:w="100"/>
              <w:right w:type="dxa" w:w="120"/>
            </w:tcMar>
          </w:tcPr>
          <w:p>
            <w:r>
              <w:rPr>
                <w:sz w:val="20"/>
                <w:szCs w:val="20"/>
              </w:rPr>
              <w:t xml:space="preserve">Medium</w:t>
            </w:r>
          </w:p>
        </w:tc>
        <w:tc>
          <w:tcPr>
            <w:tcW w:type="dxa" w:w="4600"/>
            <w:tcMar>
              <w:top w:type="dxa" w:w="100"/>
              <w:left w:type="dxa" w:w="120"/>
              <w:bottom w:type="dxa" w:w="100"/>
              <w:right w:type="dxa" w:w="120"/>
            </w:tcMar>
          </w:tcPr>
          <w:p>
            <w:r>
              <w:rPr>
                <w:sz w:val="20"/>
                <w:szCs w:val="20"/>
              </w:rPr>
              <w:t xml:space="preserve">No enforced type scale — 200+ arbitrary bracket font sizes across the codebase; equivalent H1s render at 52/54/58/60px depending on page.</w:t>
            </w:r>
          </w:p>
        </w:tc>
      </w:tr>
      <w:tr>
        <w:tc>
          <w:tcPr>
            <w:tcW w:type="dxa" w:w="2200"/>
            <w:shd w:fill="F5F7FA" w:val="clear"/>
            <w:tcMar>
              <w:top w:type="dxa" w:w="100"/>
              <w:left w:type="dxa" w:w="120"/>
              <w:bottom w:type="dxa" w:w="100"/>
              <w:right w:type="dxa" w:w="120"/>
            </w:tcMar>
          </w:tcPr>
          <w:p>
            <w:r>
              <w:rPr>
                <w:sz w:val="20"/>
                <w:szCs w:val="20"/>
              </w:rPr>
              <w:t xml:space="preserve">Usability</w:t>
            </w:r>
          </w:p>
        </w:tc>
        <w:tc>
          <w:tcPr>
            <w:tcW w:type="dxa" w:w="2200"/>
            <w:shd w:fill="F5F7FA" w:val="clear"/>
            <w:tcMar>
              <w:top w:type="dxa" w:w="100"/>
              <w:left w:type="dxa" w:w="120"/>
              <w:bottom w:type="dxa" w:w="100"/>
              <w:right w:type="dxa" w:w="120"/>
            </w:tcMar>
          </w:tcPr>
          <w:p>
            <w:r>
              <w:rPr>
                <w:sz w:val="20"/>
                <w:szCs w:val="20"/>
              </w:rPr>
              <w:t xml:space="preserve">Medium</w:t>
            </w:r>
          </w:p>
        </w:tc>
        <w:tc>
          <w:tcPr>
            <w:tcW w:type="dxa" w:w="4600"/>
            <w:tcMar>
              <w:top w:type="dxa" w:w="100"/>
              <w:left w:type="dxa" w:w="120"/>
              <w:bottom w:type="dxa" w:w="100"/>
              <w:right w:type="dxa" w:w="120"/>
            </w:tcMar>
          </w:tcPr>
          <w:p>
            <w:r>
              <w:rPr>
                <w:sz w:val="20"/>
                <w:szCs w:val="20"/>
              </w:rPr>
              <w:t xml:space="preserve">Offensive hero's copy promises an active 'x-ray sweep' but the shipped 3D scene is a static rotating cage with a permanently visible crack — the words and the visual don't match.</w:t>
            </w:r>
          </w:p>
        </w:tc>
      </w:tr>
      <w:tr>
        <w:tc>
          <w:tcPr>
            <w:tcW w:type="dxa" w:w="2200"/>
            <w:shd w:fill="F5F7FA" w:val="clear"/>
            <w:tcMar>
              <w:top w:type="dxa" w:w="100"/>
              <w:left w:type="dxa" w:w="120"/>
              <w:bottom w:type="dxa" w:w="100"/>
              <w:right w:type="dxa" w:w="120"/>
            </w:tcMar>
          </w:tcPr>
          <w:p>
            <w:r>
              <w:rPr>
                <w:sz w:val="20"/>
                <w:szCs w:val="20"/>
              </w:rPr>
              <w:t xml:space="preserve">Usability</w:t>
            </w:r>
          </w:p>
        </w:tc>
        <w:tc>
          <w:tcPr>
            <w:tcW w:type="dxa" w:w="2200"/>
            <w:shd w:fill="F5F7FA" w:val="clear"/>
            <w:tcMar>
              <w:top w:type="dxa" w:w="100"/>
              <w:left w:type="dxa" w:w="120"/>
              <w:bottom w:type="dxa" w:w="100"/>
              <w:right w:type="dxa" w:w="120"/>
            </w:tcMar>
          </w:tcPr>
          <w:p>
            <w:r>
              <w:rPr>
                <w:sz w:val="20"/>
                <w:szCs w:val="20"/>
              </w:rPr>
              <w:t xml:space="preserve">Low</w:t>
            </w:r>
          </w:p>
        </w:tc>
        <w:tc>
          <w:tcPr>
            <w:tcW w:type="dxa" w:w="4600"/>
            <w:tcMar>
              <w:top w:type="dxa" w:w="100"/>
              <w:left w:type="dxa" w:w="120"/>
              <w:bottom w:type="dxa" w:w="100"/>
              <w:right w:type="dxa" w:w="120"/>
            </w:tcMar>
          </w:tcPr>
          <w:p>
            <w:r>
              <w:rPr>
                <w:sz w:val="20"/>
                <w:szCs w:val="20"/>
              </w:rPr>
              <w:t xml:space="preserve">Mobile nav accordion has no outside-tap-to-close or Escape handling, unlike the desktop mega-menu.</w:t>
            </w:r>
          </w:p>
        </w:tc>
      </w:tr>
      <w:tr>
        <w:tc>
          <w:tcPr>
            <w:tcW w:type="dxa" w:w="2200"/>
            <w:shd w:fill="F5F7FA" w:val="clear"/>
            <w:tcMar>
              <w:top w:type="dxa" w:w="100"/>
              <w:left w:type="dxa" w:w="120"/>
              <w:bottom w:type="dxa" w:w="100"/>
              <w:right w:type="dxa" w:w="120"/>
            </w:tcMar>
          </w:tcPr>
          <w:p>
            <w:r>
              <w:rPr>
                <w:sz w:val="20"/>
                <w:szCs w:val="20"/>
              </w:rPr>
              <w:t xml:space="preserve">Accessibility</w:t>
            </w:r>
          </w:p>
        </w:tc>
        <w:tc>
          <w:tcPr>
            <w:tcW w:type="dxa" w:w="2200"/>
            <w:shd w:fill="F5F7FA" w:val="clear"/>
            <w:tcMar>
              <w:top w:type="dxa" w:w="100"/>
              <w:left w:type="dxa" w:w="120"/>
              <w:bottom w:type="dxa" w:w="100"/>
              <w:right w:type="dxa" w:w="120"/>
            </w:tcMar>
          </w:tcPr>
          <w:p>
            <w:r>
              <w:rPr>
                <w:sz w:val="20"/>
                <w:szCs w:val="20"/>
              </w:rPr>
              <w:t xml:space="preserve">Low</w:t>
            </w:r>
          </w:p>
        </w:tc>
        <w:tc>
          <w:tcPr>
            <w:tcW w:type="dxa" w:w="4600"/>
            <w:tcMar>
              <w:top w:type="dxa" w:w="100"/>
              <w:left w:type="dxa" w:w="120"/>
              <w:bottom w:type="dxa" w:w="100"/>
              <w:right w:type="dxa" w:w="120"/>
            </w:tcMar>
          </w:tcPr>
          <w:p>
            <w:r>
              <w:rPr>
                <w:sz w:val="20"/>
                <w:szCs w:val="20"/>
              </w:rPr>
              <w:t xml:space="preserve">Several tap targets sit below 40px (36px hamburger, 32px blog share buttons) and body copy repeatedly drops to 10.5–13px.</w:t>
            </w:r>
          </w:p>
        </w:tc>
      </w:tr>
    </w:tbl>
    <w:p>
      <w:pPr>
        <w:pStyle w:val="Heading1"/>
        <w:spacing w:after="200" w:before="400"/>
      </w:pPr>
      <w:r>
        <w:t xml:space="preserve">4. Recommended Improvements</w:t>
      </w:r>
    </w:p>
    <w:p>
      <w:pPr>
        <w:pStyle w:val="Heading3"/>
        <w:spacing w:after="100" w:before="200"/>
      </w:pPr>
      <w:r>
        <w:t xml:space="preserve">Accessibility</w:t>
      </w:r>
    </w:p>
    <w:p>
      <w:pPr>
        <w:pStyle w:val="ListParagraph"/>
        <w:numPr>
          <w:ilvl w:val="0"/>
          <w:numId w:val="2"/>
        </w:numPr>
        <w:spacing w:after="100"/>
      </w:pPr>
      <w:r>
        <w:t xml:space="preserve">Add a shared focus-visible ring (e.g. a Tailwind focus-visible:ring-2 focus-visible:ring-accent focus-visible:ring-offset-2 utility) directly on the Button, Card, BentoTile and Header nav-link/mega-menu components in ui.tsx and Header.tsx, so it propagates everywhere in one change instead of being added page-by-page.</w:t>
      </w:r>
    </w:p>
    <w:p>
      <w:pPr>
        <w:pStyle w:val="ListParagraph"/>
        <w:numPr>
          <w:ilvl w:val="0"/>
          <w:numId w:val="2"/>
        </w:numPr>
        <w:spacing w:after="100"/>
      </w:pPr>
      <w:r>
        <w:t xml:space="preserve">Wrap the Hero3D animation loop in a prefers-reduced-motion check (window.matchMedia('(prefers-reduced-motion: reduce)')) exactly the way HeroParticles.tsx already does — freeze on the settled/idle frame rather than looping indefinitely, for all six scene variants.</w:t>
      </w:r>
    </w:p>
    <w:p>
      <w:pPr>
        <w:pStyle w:val="ListParagraph"/>
        <w:numPr>
          <w:ilvl w:val="0"/>
          <w:numId w:val="2"/>
        </w:numPr>
        <w:spacing w:after="100"/>
      </w:pPr>
      <w:r>
        <w:t xml:space="preserve">Raise the hamburger button and blog share buttons to at least 40x40px, and add ~4px more gap between the three share buttons so adjacent icons aren't tap-adjacent on mobile.</w:t>
      </w:r>
    </w:p>
    <w:p>
      <w:pPr>
        <w:pStyle w:val="ListParagraph"/>
        <w:numPr>
          <w:ilvl w:val="0"/>
          <w:numId w:val="2"/>
        </w:numPr>
        <w:spacing w:after="100"/>
      </w:pPr>
      <w:r>
        <w:t xml:space="preserve">Replace the generic 'Investor logo' alt text on Company with the actual investor name per image (the file names already indicate which is which), and give the blog cover images real, descriptive alt text instead of alt="".</w:t>
      </w:r>
    </w:p>
    <w:p>
      <w:pPr>
        <w:pStyle w:val="ListParagraph"/>
        <w:numPr>
          <w:ilvl w:val="0"/>
          <w:numId w:val="2"/>
        </w:numPr>
        <w:spacing w:after="100"/>
      </w:pPr>
      <w:r>
        <w:t xml:space="preserve">Re-check text-[#9bb4e6] on navy and text-slate on wash wherever they appear below 14px — nudge those specific instances to 14px or a slightly higher-contrast shade so borderline AA passes don't become failures under stricter tooling.</w:t>
      </w:r>
    </w:p>
    <w:p>
      <w:pPr>
        <w:pStyle w:val="Heading3"/>
        <w:spacing w:after="100" w:before="200"/>
      </w:pPr>
      <w:r>
        <w:t xml:space="preserve">SEO</w:t>
      </w:r>
    </w:p>
    <w:p>
      <w:pPr>
        <w:pStyle w:val="ListParagraph"/>
        <w:numPr>
          <w:ilvl w:val="0"/>
          <w:numId w:val="2"/>
        </w:numPr>
        <w:spacing w:after="100"/>
      </w:pPr>
      <w:r>
        <w:t xml:space="preserve">Add a src/app/sitemap.ts (Next.js supports this natively) covering all public routes, and reference it from robots.txt with a Sitemap: line.</w:t>
      </w:r>
    </w:p>
    <w:p>
      <w:pPr>
        <w:pStyle w:val="ListParagraph"/>
        <w:numPr>
          <w:ilvl w:val="0"/>
          <w:numId w:val="2"/>
        </w:numPr>
        <w:spacing w:after="100"/>
      </w:pPr>
      <w:r>
        <w:t xml:space="preserve">Set metadataBase in the root layout so relative OG/Twitter image URLs resolve correctly when the site is shared on Slack/LinkedIn/Twitter.</w:t>
      </w:r>
    </w:p>
    <w:p>
      <w:pPr>
        <w:pStyle w:val="ListParagraph"/>
        <w:numPr>
          <w:ilvl w:val="0"/>
          <w:numId w:val="2"/>
        </w:numPr>
        <w:spacing w:after="100"/>
      </w:pPr>
      <w:r>
        <w:t xml:space="preserve">Add alternates.canonical to each page's metadata export to prevent duplicate-content dilution.</w:t>
      </w:r>
    </w:p>
    <w:p>
      <w:pPr>
        <w:pStyle w:val="ListParagraph"/>
        <w:numPr>
          <w:ilvl w:val="0"/>
          <w:numId w:val="2"/>
        </w:numPr>
        <w:spacing w:after="100"/>
      </w:pPr>
      <w:r>
        <w:t xml:space="preserve">Add JSON-LD structured data: Organization on the root layout, SoftwareApplication or Product on /platform and module pages, and FAQPage on the home page — the FAQ data already exists in the codebase and just needs to be echoed into a schema block.</w:t>
      </w:r>
    </w:p>
    <w:p>
      <w:pPr>
        <w:pStyle w:val="ListParagraph"/>
        <w:numPr>
          <w:ilvl w:val="0"/>
          <w:numId w:val="2"/>
        </w:numPr>
        <w:spacing w:after="100"/>
      </w:pPr>
      <w:r>
        <w:t xml:space="preserve">Migrate the 8 raw &lt;img&gt; tags to next/image, starting with blog cover images and the home/company logo grids, for automatic responsive images and better LCP.</w:t>
      </w:r>
    </w:p>
    <w:p>
      <w:pPr>
        <w:pStyle w:val="ListParagraph"/>
        <w:numPr>
          <w:ilvl w:val="0"/>
          <w:numId w:val="2"/>
        </w:numPr>
        <w:spacing w:after="100"/>
      </w:pPr>
      <w:r>
        <w:t xml:space="preserve">Add robots: { index: false } to the /admin layout (or disallow /admin/ in robots.txt) so internal tooling can't be indexed.</w:t>
      </w:r>
    </w:p>
    <w:p>
      <w:pPr>
        <w:pStyle w:val="ListParagraph"/>
        <w:numPr>
          <w:ilvl w:val="0"/>
          <w:numId w:val="2"/>
        </w:numPr>
        <w:spacing w:after="100"/>
      </w:pPr>
      <w:r>
        <w:t xml:space="preserve">Give ModulePage.tsx capability-tile titles a real heading element (h3/h4) to match the pattern already used on /platform, improving both semantic structure and on-page SEO signal.</w:t>
      </w:r>
    </w:p>
    <w:p>
      <w:pPr>
        <w:pStyle w:val="Heading3"/>
        <w:spacing w:after="100" w:before="200"/>
      </w:pPr>
      <w:r>
        <w:t xml:space="preserve">Card and section design</w:t>
      </w:r>
    </w:p>
    <w:p>
      <w:pPr>
        <w:pStyle w:val="ListParagraph"/>
        <w:numPr>
          <w:ilvl w:val="0"/>
          <w:numId w:val="2"/>
        </w:numPr>
        <w:spacing w:after="100"/>
      </w:pPr>
      <w:r>
        <w:t xml:space="preserve">Pick one radius per role and use it everywhere: e.g. rounded-2xl for all primary content cards (Bento tiles, pricing tiers, stat cards, investor tiles), rounded-lg reserved for smaller inline elements. Update Card and the pricing/company/customers one-off divs to match rather than defining new values.</w:t>
      </w:r>
    </w:p>
    <w:p>
      <w:pPr>
        <w:pStyle w:val="ListParagraph"/>
        <w:numPr>
          <w:ilvl w:val="0"/>
          <w:numId w:val="2"/>
        </w:numPr>
        <w:spacing w:after="100"/>
      </w:pPr>
      <w:r>
        <w:t xml:space="preserve">Replace all custom shadow-[...] values (contact form, contact info panel, Header mega-menu, pricing cards) with the existing --shadow-elegant / --shadow-glow tokens already defined in styles.css — they exist specifically to prevent this kind of one-off drift.</w:t>
      </w:r>
    </w:p>
    <w:p>
      <w:pPr>
        <w:pStyle w:val="ListParagraph"/>
        <w:numPr>
          <w:ilvl w:val="0"/>
          <w:numId w:val="2"/>
        </w:numPr>
        <w:spacing w:after="100"/>
      </w:pPr>
      <w:r>
        <w:t xml:space="preserve">Standardize card padding to two tiers (e.g. p-6 for standard cards, p-8 for feature/hero cards) instead of the current p-4/p-5/p-6/p-7/p-8 spread.</w:t>
      </w:r>
    </w:p>
    <w:p>
      <w:pPr>
        <w:pStyle w:val="Heading3"/>
        <w:spacing w:after="100" w:before="200"/>
      </w:pPr>
      <w:r>
        <w:t xml:space="preserve">Typography</w:t>
      </w:r>
    </w:p>
    <w:p>
      <w:pPr>
        <w:pStyle w:val="ListParagraph"/>
        <w:numPr>
          <w:ilvl w:val="0"/>
          <w:numId w:val="2"/>
        </w:numPr>
        <w:spacing w:after="100"/>
      </w:pPr>
      <w:r>
        <w:t xml:space="preserve">Define a small set of semantic heading utilities (text-h1, text-h2, text-h3, text-body, text-caption, or equivalent Tailwind @theme tokens) covering the ~6 sizes actually needed, and migrate the highest-traffic pages first (home, pricing, module pages). This turns a 200+ instance cleanup into a handful of token definitions that future pages inherit automatically.</w:t>
      </w:r>
    </w:p>
    <w:p>
      <w:pPr>
        <w:pStyle w:val="ListParagraph"/>
        <w:numPr>
          <w:ilvl w:val="0"/>
          <w:numId w:val="2"/>
        </w:numPr>
        <w:spacing w:after="100"/>
      </w:pPr>
      <w:r>
        <w:t xml:space="preserve">Specifically reconcile the four different 'page hero H1' sizes (52/54/58/60px across pricing, home/module heroes, contact, and customers) to one shared value — there's no evident reason for these four pages' equivalent headings to differ.</w:t>
      </w:r>
    </w:p>
    <w:p>
      <w:pPr>
        <w:pStyle w:val="Heading3"/>
        <w:spacing w:after="100" w:before="200"/>
      </w:pPr>
      <w:r>
        <w:t xml:space="preserve">Hero sections / 3D</w:t>
      </w:r>
    </w:p>
    <w:p>
      <w:pPr>
        <w:pStyle w:val="ListParagraph"/>
        <w:numPr>
          <w:ilvl w:val="0"/>
          <w:numId w:val="2"/>
        </w:numPr>
        <w:spacing w:after="100"/>
      </w:pPr>
      <w:r>
        <w:t xml:space="preserve">Offensive: either rename the copy away from 'x-ray sweep' language to match the static-crack visual that's actually shipped, or implement the sweeping light-plane the code comments describe — a moving reveal band that only shows the fracture inside its slice, sealing again as it passes. The second option better matches the strength of the other five scenes and is the more on-brand fix.</w:t>
      </w:r>
    </w:p>
    <w:p>
      <w:pPr>
        <w:pStyle w:val="ListParagraph"/>
        <w:numPr>
          <w:ilvl w:val="0"/>
          <w:numId w:val="2"/>
        </w:numPr>
        <w:spacing w:after="100"/>
      </w:pPr>
      <w:r>
        <w:t xml:space="preserve">GRC: give the settle animation a subtle idling behavior after alignment — e.g. seals periodically re-pulse, or a slow ambient scan light passes over the aligned tablets — so the scene visibly communicates an ongoing/continuous state rather than reading as 'done' after 2 seconds, matching the 'always audit ready' claim.</w:t>
      </w:r>
    </w:p>
    <w:p>
      <w:pPr>
        <w:pStyle w:val="ListParagraph"/>
        <w:numPr>
          <w:ilvl w:val="0"/>
          <w:numId w:val="2"/>
        </w:numPr>
        <w:spacing w:after="100"/>
      </w:pPr>
      <w:r>
        <w:t xml:space="preserve">Consider adding a shared low-motion fallback frame (a static rendered image or CSS-only shimmer) per variant for reduced-motion users, rather than simply freezing mid-animation, since some scenes (e.g. Defensive) could freeze on an uninteresting idle frame with nothing visible.</w:t>
      </w:r>
    </w:p>
    <w:p>
      <w:pPr>
        <w:pStyle w:val="Heading1"/>
        <w:spacing w:after="200" w:before="400"/>
      </w:pPr>
      <w:r>
        <w:t xml:space="preserve">5. Quick Wins</w:t>
      </w:r>
    </w:p>
    <w:p>
      <w:pPr>
        <w:spacing w:after="160"/>
      </w:pPr>
      <w:r>
        <w:t xml:space="preserve">Highest impact for lowest effort, roughly in order:</w:t>
      </w:r>
    </w:p>
    <w:p>
      <w:pPr>
        <w:pStyle w:val="ListParagraph"/>
        <w:numPr>
          <w:ilvl w:val="0"/>
          <w:numId w:val="2"/>
        </w:numPr>
        <w:spacing w:after="100"/>
      </w:pPr>
      <w:r>
        <w:t xml:space="preserve">Add one focus-visible utility class to Button, Card, BentoTile and Header nav links in ui.tsx / Header.tsx — a single shared class, touches the whole site's keyboard accessibility in one PR.</w:t>
      </w:r>
    </w:p>
    <w:p>
      <w:pPr>
        <w:pStyle w:val="ListParagraph"/>
        <w:numPr>
          <w:ilvl w:val="0"/>
          <w:numId w:val="2"/>
        </w:numPr>
        <w:spacing w:after="100"/>
      </w:pPr>
      <w:r>
        <w:t xml:space="preserve">Add the prefers-reduced-motion guard to Hero3D.tsx's tick() function — copy the one-line pattern already working in HeroParticles.tsx.</w:t>
      </w:r>
    </w:p>
    <w:p>
      <w:pPr>
        <w:pStyle w:val="ListParagraph"/>
        <w:numPr>
          <w:ilvl w:val="0"/>
          <w:numId w:val="2"/>
        </w:numPr>
        <w:spacing w:after="100"/>
      </w:pPr>
      <w:r>
        <w:t xml:space="preserve">Write src/app/sitemap.ts and add the Sitemap: line to robots.txt — a sitemap generator for a route list this size is a 20-line file.</w:t>
      </w:r>
    </w:p>
    <w:p>
      <w:pPr>
        <w:pStyle w:val="ListParagraph"/>
        <w:numPr>
          <w:ilvl w:val="0"/>
          <w:numId w:val="2"/>
        </w:numPr>
        <w:spacing w:after="100"/>
      </w:pPr>
      <w:r>
        <w:t xml:space="preserve">Fix the 10 investor alt="Investor logo" tags to use each investor's actual name — a find-and-replace, immediate accessibility and SEO benefit.</w:t>
      </w:r>
    </w:p>
    <w:p>
      <w:pPr>
        <w:pStyle w:val="ListParagraph"/>
        <w:numPr>
          <w:ilvl w:val="0"/>
          <w:numId w:val="2"/>
        </w:numPr>
        <w:spacing w:after="100"/>
      </w:pPr>
      <w:r>
        <w:t xml:space="preserve">Swap the contact form panel, contact info panel, and Header mega-menu's custom shadow-[...] values for the existing --shadow-elegant token — three small class swaps that immediately reduce visual drift.</w:t>
      </w:r>
    </w:p>
    <w:p>
      <w:pPr>
        <w:pStyle w:val="ListParagraph"/>
        <w:numPr>
          <w:ilvl w:val="0"/>
          <w:numId w:val="2"/>
        </w:numPr>
        <w:spacing w:after="100"/>
      </w:pPr>
      <w:r>
        <w:t xml:space="preserve">Bump the mobile hamburger and blog share buttons to 40px minimum tap size — a padding/size class change, no layout redesign needed.</w:t>
      </w:r>
    </w:p>
    <w:p>
      <w:pPr>
        <w:pStyle w:val="Heading1"/>
        <w:spacing w:after="200" w:before="400"/>
      </w:pPr>
      <w:r>
        <w:t xml:space="preserve">6. SEO Optimization &amp; Card/Section Design — Summary Checklist</w:t>
      </w:r>
    </w:p>
    <w:p>
      <w:pPr>
        <w:spacing w:after="160"/>
      </w:pPr>
      <w:r>
        <w:t xml:space="preserve">Consolidating the SEO and card-consistency findings above into a single checklist for implementation tracking:</w:t>
      </w:r>
    </w:p>
    <w:p>
      <w:pPr>
        <w:pStyle w:val="ListParagraph"/>
        <w:numPr>
          <w:ilvl w:val="0"/>
          <w:numId w:val="2"/>
        </w:numPr>
        <w:spacing w:after="100"/>
      </w:pPr>
      <w:r>
        <w:rPr>
          <w:b/>
          <w:bCs/>
        </w:rPr>
        <w:t xml:space="preserve">SEO infrastructure: </w:t>
      </w:r>
      <w:r>
        <w:t xml:space="preserve">sitemap.ts, canonical URLs, JSON-LD (Organization / SoftwareApplication / FAQPage), metadataBase — currently all absent.</w:t>
      </w:r>
    </w:p>
    <w:p>
      <w:pPr>
        <w:pStyle w:val="ListParagraph"/>
        <w:numPr>
          <w:ilvl w:val="0"/>
          <w:numId w:val="2"/>
        </w:numPr>
        <w:spacing w:after="100"/>
      </w:pPr>
      <w:r>
        <w:rPr>
          <w:b/>
          <w:bCs/>
        </w:rPr>
        <w:t xml:space="preserve">Image optimization: </w:t>
      </w:r>
      <w:r>
        <w:t xml:space="preserve">migrate all 8 raw &lt;img&gt; usages to next/image; fix empty/generic alt text on blog covers and investor logos.</w:t>
      </w:r>
    </w:p>
    <w:p>
      <w:pPr>
        <w:pStyle w:val="ListParagraph"/>
        <w:numPr>
          <w:ilvl w:val="0"/>
          <w:numId w:val="2"/>
        </w:numPr>
        <w:spacing w:after="100"/>
      </w:pPr>
      <w:r>
        <w:rPr>
          <w:b/>
          <w:bCs/>
        </w:rPr>
        <w:t xml:space="preserve">Semantic headings: </w:t>
      </w:r>
      <w:r>
        <w:t xml:space="preserve">give ModulePage capability-tile titles real heading tags to match /platform's pattern; this doubles as an SEO and accessibility fix.</w:t>
      </w:r>
    </w:p>
    <w:p>
      <w:pPr>
        <w:pStyle w:val="ListParagraph"/>
        <w:numPr>
          <w:ilvl w:val="0"/>
          <w:numId w:val="2"/>
        </w:numPr>
        <w:spacing w:after="100"/>
      </w:pPr>
      <w:r>
        <w:rPr>
          <w:b/>
          <w:bCs/>
        </w:rPr>
        <w:t xml:space="preserve">Admin routes: </w:t>
      </w:r>
      <w:r>
        <w:t xml:space="preserve">noindex /admin/* — currently crawlable with no protection.</w:t>
      </w:r>
    </w:p>
    <w:p>
      <w:pPr>
        <w:pStyle w:val="ListParagraph"/>
        <w:numPr>
          <w:ilvl w:val="0"/>
          <w:numId w:val="2"/>
        </w:numPr>
        <w:spacing w:after="100"/>
      </w:pPr>
      <w:r>
        <w:rPr>
          <w:b/>
          <w:bCs/>
        </w:rPr>
        <w:t xml:space="preserve">Card system: </w:t>
      </w:r>
      <w:r>
        <w:t xml:space="preserve">consolidate to one radius scale and reuse the existing --shadow-elegant/--shadow-glow tokens instead of one-off shadows; standardize to two padding tiers.</w:t>
      </w:r>
    </w:p>
    <w:p>
      <w:pPr>
        <w:pStyle w:val="ListParagraph"/>
        <w:numPr>
          <w:ilvl w:val="0"/>
          <w:numId w:val="2"/>
        </w:numPr>
        <w:spacing w:after="100"/>
      </w:pPr>
      <w:r>
        <w:rPr>
          <w:b/>
          <w:bCs/>
        </w:rPr>
        <w:t xml:space="preserve">Typography scale: </w:t>
      </w:r>
      <w:r>
        <w:t xml:space="preserve">introduce ~6 semantic text-size tokens to replace the 200+ arbitrary bracket values, starting with reconciling the four different 'page hero H1' sizes.</w:t>
      </w:r>
    </w:p>
    <w:p>
      <w:pPr>
        <w:pStyle w:val="Heading1"/>
        <w:spacing w:after="200" w:before="400"/>
      </w:pPr>
      <w:r>
        <w:t xml:space="preserve">7. Hero Section &amp; 3D Design Validation</w:t>
      </w:r>
    </w:p>
    <w:p>
      <w:pPr>
        <w:spacing w:after="160"/>
      </w:pPr>
      <w:r>
        <w:t xml:space="preserve">Each module's hero pairs a custom Three.js scene with a headline. The table below rates how directly each 3D concept reinforces its accompanying copy, based on a full read of Hero3D.tsx and each page's actual hero props.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000"/>
        <w:gridCol w:w="1200"/>
      </w:tblGrid>
      <w:tr>
        <w:tc>
          <w:tcPr>
            <w:tcW w:type="dxa" w:w="1600"/>
            <w:shd w:fill="0B2A5B" w:val="clear"/>
            <w:tcMar>
              <w:top w:type="dxa" w:w="100"/>
              <w:left w:type="dxa" w:w="120"/>
              <w:bottom w:type="dxa" w:w="100"/>
              <w:right w:type="dxa" w:w="120"/>
            </w:tcMar>
          </w:tcPr>
          <w:p>
            <w:r>
              <w:rPr>
                <w:b/>
                <w:bCs/>
                <w:color w:val="FFFFFF"/>
                <w:sz w:val="20"/>
                <w:szCs w:val="20"/>
              </w:rPr>
              <w:t xml:space="preserve">Page</w:t>
            </w:r>
          </w:p>
        </w:tc>
        <w:tc>
          <w:tcPr>
            <w:tcW w:type="dxa" w:w="3200"/>
            <w:shd w:fill="0B2A5B" w:val="clear"/>
            <w:tcMar>
              <w:top w:type="dxa" w:w="100"/>
              <w:left w:type="dxa" w:w="120"/>
              <w:bottom w:type="dxa" w:w="100"/>
              <w:right w:type="dxa" w:w="120"/>
            </w:tcMar>
          </w:tcPr>
          <w:p>
            <w:r>
              <w:rPr>
                <w:b/>
                <w:bCs/>
                <w:color w:val="FFFFFF"/>
                <w:sz w:val="20"/>
                <w:szCs w:val="20"/>
              </w:rPr>
              <w:t xml:space="preserve">3D concept</w:t>
            </w:r>
          </w:p>
        </w:tc>
        <w:tc>
          <w:tcPr>
            <w:tcW w:type="dxa" w:w="3000"/>
            <w:shd w:fill="0B2A5B" w:val="clear"/>
            <w:tcMar>
              <w:top w:type="dxa" w:w="100"/>
              <w:left w:type="dxa" w:w="120"/>
              <w:bottom w:type="dxa" w:w="100"/>
              <w:right w:type="dxa" w:w="120"/>
            </w:tcMar>
          </w:tcPr>
          <w:p>
            <w:r>
              <w:rPr>
                <w:b/>
                <w:bCs/>
                <w:color w:val="FFFFFF"/>
                <w:sz w:val="20"/>
                <w:szCs w:val="20"/>
              </w:rPr>
              <w:t xml:space="preserve">Headline</w:t>
            </w:r>
          </w:p>
        </w:tc>
        <w:tc>
          <w:tcPr>
            <w:tcW w:type="dxa" w:w="1200"/>
            <w:shd w:fill="0B2A5B" w:val="clear"/>
            <w:tcMar>
              <w:top w:type="dxa" w:w="100"/>
              <w:left w:type="dxa" w:w="120"/>
              <w:bottom w:type="dxa" w:w="100"/>
              <w:right w:type="dxa" w:w="120"/>
            </w:tcMar>
          </w:tcPr>
          <w:p>
            <w:r>
              <w:rPr>
                <w:b/>
                <w:bCs/>
                <w:color w:val="FFFFFF"/>
                <w:sz w:val="20"/>
                <w:szCs w:val="20"/>
              </w:rPr>
              <w:t xml:space="preserve">Match</w:t>
            </w:r>
          </w:p>
        </w:tc>
      </w:tr>
      <w:tr>
        <w:tc>
          <w:tcPr>
            <w:tcW w:type="dxa" w:w="1600"/>
            <w:tcMar>
              <w:top w:type="dxa" w:w="100"/>
              <w:left w:type="dxa" w:w="120"/>
              <w:bottom w:type="dxa" w:w="100"/>
              <w:right w:type="dxa" w:w="120"/>
            </w:tcMar>
          </w:tcPr>
          <w:p>
            <w:r>
              <w:rPr>
                <w:sz w:val="20"/>
                <w:szCs w:val="20"/>
              </w:rPr>
              <w:t xml:space="preserve">Home</w:t>
            </w:r>
          </w:p>
        </w:tc>
        <w:tc>
          <w:tcPr>
            <w:tcW w:type="dxa" w:w="3200"/>
            <w:tcMar>
              <w:top w:type="dxa" w:w="100"/>
              <w:left w:type="dxa" w:w="120"/>
              <w:bottom w:type="dxa" w:w="100"/>
              <w:right w:type="dxa" w:w="120"/>
            </w:tcMar>
          </w:tcPr>
          <w:p>
            <w:r>
              <w:rPr>
                <w:sz w:val="20"/>
                <w:szCs w:val="20"/>
              </w:rPr>
              <w:t xml:space="preserve">Faceted glass sphere with pulsing core + 4 orbiting module nodes</w:t>
            </w:r>
          </w:p>
        </w:tc>
        <w:tc>
          <w:tcPr>
            <w:tcW w:type="dxa" w:w="3000"/>
            <w:tcMar>
              <w:top w:type="dxa" w:w="100"/>
              <w:left w:type="dxa" w:w="120"/>
              <w:bottom w:type="dxa" w:w="100"/>
              <w:right w:type="dxa" w:w="120"/>
            </w:tcMar>
          </w:tcPr>
          <w:p>
            <w:r>
              <w:rPr>
                <w:sz w:val="20"/>
                <w:szCs w:val="20"/>
              </w:rPr>
              <w:t xml:space="preserve">"Secure the whole program. One platform, end to end."</w:t>
            </w:r>
          </w:p>
        </w:tc>
        <w:tc>
          <w:tcPr>
            <w:tcW w:type="dxa" w:w="1200"/>
            <w:shd w:fill="F5F7FA" w:val="clear"/>
            <w:tcMar>
              <w:top w:type="dxa" w:w="100"/>
              <w:left w:type="dxa" w:w="120"/>
              <w:bottom w:type="dxa" w:w="100"/>
              <w:right w:type="dxa" w:w="120"/>
            </w:tcMar>
          </w:tcPr>
          <w:p>
            <w:r>
              <w:rPr>
                <w:sz w:val="20"/>
                <w:szCs w:val="20"/>
              </w:rPr>
              <w:t xml:space="preserve">Strong</w:t>
            </w:r>
          </w:p>
        </w:tc>
      </w:tr>
      <w:tr>
        <w:tc>
          <w:tcPr>
            <w:tcW w:type="dxa" w:w="1600"/>
            <w:tcMar>
              <w:top w:type="dxa" w:w="100"/>
              <w:left w:type="dxa" w:w="120"/>
              <w:bottom w:type="dxa" w:w="100"/>
              <w:right w:type="dxa" w:w="120"/>
            </w:tcMar>
          </w:tcPr>
          <w:p>
            <w:r>
              <w:rPr>
                <w:sz w:val="20"/>
                <w:szCs w:val="20"/>
              </w:rPr>
              <w:t xml:space="preserve">Platform</w:t>
            </w:r>
          </w:p>
        </w:tc>
        <w:tc>
          <w:tcPr>
            <w:tcW w:type="dxa" w:w="3200"/>
            <w:tcMar>
              <w:top w:type="dxa" w:w="100"/>
              <w:left w:type="dxa" w:w="120"/>
              <w:bottom w:type="dxa" w:w="100"/>
              <w:right w:type="dxa" w:w="120"/>
            </w:tcMar>
          </w:tcPr>
          <w:p>
            <w:r>
              <w:rPr>
                <w:sz w:val="20"/>
                <w:szCs w:val="20"/>
              </w:rPr>
              <w:t xml:space="preserve">4 stacked slabs, particle stream flowing chaos → order</w:t>
            </w:r>
          </w:p>
        </w:tc>
        <w:tc>
          <w:tcPr>
            <w:tcW w:type="dxa" w:w="3000"/>
            <w:tcMar>
              <w:top w:type="dxa" w:w="100"/>
              <w:left w:type="dxa" w:w="120"/>
              <w:bottom w:type="dxa" w:w="100"/>
              <w:right w:type="dxa" w:w="120"/>
            </w:tcMar>
          </w:tcPr>
          <w:p>
            <w:r>
              <w:rPr>
                <w:sz w:val="20"/>
                <w:szCs w:val="20"/>
              </w:rPr>
              <w:t xml:space="preserve">"One system. Four modules. Zero seams."</w:t>
            </w:r>
          </w:p>
        </w:tc>
        <w:tc>
          <w:tcPr>
            <w:tcW w:type="dxa" w:w="1200"/>
            <w:shd w:fill="F5F7FA" w:val="clear"/>
            <w:tcMar>
              <w:top w:type="dxa" w:w="100"/>
              <w:left w:type="dxa" w:w="120"/>
              <w:bottom w:type="dxa" w:w="100"/>
              <w:right w:type="dxa" w:w="120"/>
            </w:tcMar>
          </w:tcPr>
          <w:p>
            <w:r>
              <w:rPr>
                <w:sz w:val="20"/>
                <w:szCs w:val="20"/>
              </w:rPr>
              <w:t xml:space="preserve">Good</w:t>
            </w:r>
          </w:p>
        </w:tc>
      </w:tr>
      <w:tr>
        <w:tc>
          <w:tcPr>
            <w:tcW w:type="dxa" w:w="1600"/>
            <w:tcMar>
              <w:top w:type="dxa" w:w="100"/>
              <w:left w:type="dxa" w:w="120"/>
              <w:bottom w:type="dxa" w:w="100"/>
              <w:right w:type="dxa" w:w="120"/>
            </w:tcMar>
          </w:tcPr>
          <w:p>
            <w:r>
              <w:rPr>
                <w:sz w:val="20"/>
                <w:szCs w:val="20"/>
              </w:rPr>
              <w:t xml:space="preserve">Offensive</w:t>
            </w:r>
          </w:p>
        </w:tc>
        <w:tc>
          <w:tcPr>
            <w:tcW w:type="dxa" w:w="3200"/>
            <w:tcMar>
              <w:top w:type="dxa" w:w="100"/>
              <w:left w:type="dxa" w:w="120"/>
              <w:bottom w:type="dxa" w:w="100"/>
              <w:right w:type="dxa" w:w="120"/>
            </w:tcMar>
          </w:tcPr>
          <w:p>
            <w:r>
              <w:rPr>
                <w:sz w:val="20"/>
                <w:szCs w:val="20"/>
              </w:rPr>
              <w:t xml:space="preserve">Static wireframe cage with a permanently visible red fracture</w:t>
            </w:r>
          </w:p>
        </w:tc>
        <w:tc>
          <w:tcPr>
            <w:tcW w:type="dxa" w:w="3000"/>
            <w:tcMar>
              <w:top w:type="dxa" w:w="100"/>
              <w:left w:type="dxa" w:w="120"/>
              <w:bottom w:type="dxa" w:w="100"/>
              <w:right w:type="dxa" w:w="120"/>
            </w:tcMar>
          </w:tcPr>
          <w:p>
            <w:r>
              <w:rPr>
                <w:sz w:val="20"/>
                <w:szCs w:val="20"/>
              </w:rPr>
              <w:t xml:space="preserve">"See the weaknesses others can’t" / "x-ray sweep"</w:t>
            </w:r>
          </w:p>
        </w:tc>
        <w:tc>
          <w:tcPr>
            <w:tcW w:type="dxa" w:w="1200"/>
            <w:shd w:fill="F5F7FA" w:val="clear"/>
            <w:tcMar>
              <w:top w:type="dxa" w:w="100"/>
              <w:left w:type="dxa" w:w="120"/>
              <w:bottom w:type="dxa" w:w="100"/>
              <w:right w:type="dxa" w:w="120"/>
            </w:tcMar>
          </w:tcPr>
          <w:p>
            <w:r>
              <w:rPr>
                <w:sz w:val="20"/>
                <w:szCs w:val="20"/>
              </w:rPr>
              <w:t xml:space="preserve">Mismatch</w:t>
            </w:r>
          </w:p>
        </w:tc>
      </w:tr>
      <w:tr>
        <w:tc>
          <w:tcPr>
            <w:tcW w:type="dxa" w:w="1600"/>
            <w:tcMar>
              <w:top w:type="dxa" w:w="100"/>
              <w:left w:type="dxa" w:w="120"/>
              <w:bottom w:type="dxa" w:w="100"/>
              <w:right w:type="dxa" w:w="120"/>
            </w:tcMar>
          </w:tcPr>
          <w:p>
            <w:r>
              <w:rPr>
                <w:sz w:val="20"/>
                <w:szCs w:val="20"/>
              </w:rPr>
              <w:t xml:space="preserve">Defensive</w:t>
            </w:r>
          </w:p>
        </w:tc>
        <w:tc>
          <w:tcPr>
            <w:tcW w:type="dxa" w:w="3200"/>
            <w:tcMar>
              <w:top w:type="dxa" w:w="100"/>
              <w:left w:type="dxa" w:w="120"/>
              <w:bottom w:type="dxa" w:w="100"/>
              <w:right w:type="dxa" w:w="120"/>
            </w:tcMar>
          </w:tcPr>
          <w:p>
            <w:r>
              <w:rPr>
                <w:sz w:val="20"/>
                <w:szCs w:val="20"/>
              </w:rPr>
              <w:t xml:space="preserve">Invisible shield; threats detonate a hex-flash reveal on impact</w:t>
            </w:r>
          </w:p>
        </w:tc>
        <w:tc>
          <w:tcPr>
            <w:tcW w:type="dxa" w:w="3000"/>
            <w:tcMar>
              <w:top w:type="dxa" w:w="100"/>
              <w:left w:type="dxa" w:w="120"/>
              <w:bottom w:type="dxa" w:w="100"/>
              <w:right w:type="dxa" w:w="120"/>
            </w:tcMar>
          </w:tcPr>
          <w:p>
            <w:r>
              <w:rPr>
                <w:sz w:val="20"/>
                <w:szCs w:val="20"/>
              </w:rPr>
              <w:t xml:space="preserve">"Invisible until it isn’t."</w:t>
            </w:r>
          </w:p>
        </w:tc>
        <w:tc>
          <w:tcPr>
            <w:tcW w:type="dxa" w:w="1200"/>
            <w:shd w:fill="F5F7FA" w:val="clear"/>
            <w:tcMar>
              <w:top w:type="dxa" w:w="100"/>
              <w:left w:type="dxa" w:w="120"/>
              <w:bottom w:type="dxa" w:w="100"/>
              <w:right w:type="dxa" w:w="120"/>
            </w:tcMar>
          </w:tcPr>
          <w:p>
            <w:r>
              <w:rPr>
                <w:sz w:val="20"/>
                <w:szCs w:val="20"/>
              </w:rPr>
              <w:t xml:space="preserve">Excellent</w:t>
            </w:r>
          </w:p>
        </w:tc>
      </w:tr>
      <w:tr>
        <w:tc>
          <w:tcPr>
            <w:tcW w:type="dxa" w:w="1600"/>
            <w:tcMar>
              <w:top w:type="dxa" w:w="100"/>
              <w:left w:type="dxa" w:w="120"/>
              <w:bottom w:type="dxa" w:w="100"/>
              <w:right w:type="dxa" w:w="120"/>
            </w:tcMar>
          </w:tcPr>
          <w:p>
            <w:r>
              <w:rPr>
                <w:sz w:val="20"/>
                <w:szCs w:val="20"/>
              </w:rPr>
              <w:t xml:space="preserve">GRC</w:t>
            </w:r>
          </w:p>
        </w:tc>
        <w:tc>
          <w:tcPr>
            <w:tcW w:type="dxa" w:w="3200"/>
            <w:tcMar>
              <w:top w:type="dxa" w:w="100"/>
              <w:left w:type="dxa" w:w="120"/>
              <w:bottom w:type="dxa" w:w="100"/>
              <w:right w:type="dxa" w:w="120"/>
            </w:tcMar>
          </w:tcPr>
          <w:p>
            <w:r>
              <w:rPr>
                <w:sz w:val="20"/>
                <w:szCs w:val="20"/>
              </w:rPr>
              <w:t xml:space="preserve">9 scattered tablets snap into a 3x3 grid, seals light up once</w:t>
            </w:r>
          </w:p>
        </w:tc>
        <w:tc>
          <w:tcPr>
            <w:tcW w:type="dxa" w:w="3000"/>
            <w:tcMar>
              <w:top w:type="dxa" w:w="100"/>
              <w:left w:type="dxa" w:w="120"/>
              <w:bottom w:type="dxa" w:w="100"/>
              <w:right w:type="dxa" w:w="120"/>
            </w:tcMar>
          </w:tcPr>
          <w:p>
            <w:r>
              <w:rPr>
                <w:sz w:val="20"/>
                <w:szCs w:val="20"/>
              </w:rPr>
              <w:t xml:space="preserve">"Always audit ready, not just before the audit."</w:t>
            </w:r>
          </w:p>
        </w:tc>
        <w:tc>
          <w:tcPr>
            <w:tcW w:type="dxa" w:w="1200"/>
            <w:shd w:fill="F5F7FA" w:val="clear"/>
            <w:tcMar>
              <w:top w:type="dxa" w:w="100"/>
              <w:left w:type="dxa" w:w="120"/>
              <w:bottom w:type="dxa" w:w="100"/>
              <w:right w:type="dxa" w:w="120"/>
            </w:tcMar>
          </w:tcPr>
          <w:p>
            <w:r>
              <w:rPr>
                <w:sz w:val="20"/>
                <w:szCs w:val="20"/>
              </w:rPr>
              <w:t xml:space="preserve">Weaker</w:t>
            </w:r>
          </w:p>
        </w:tc>
      </w:tr>
      <w:tr>
        <w:tc>
          <w:tcPr>
            <w:tcW w:type="dxa" w:w="1600"/>
            <w:tcMar>
              <w:top w:type="dxa" w:w="100"/>
              <w:left w:type="dxa" w:w="120"/>
              <w:bottom w:type="dxa" w:w="100"/>
              <w:right w:type="dxa" w:w="120"/>
            </w:tcMar>
          </w:tcPr>
          <w:p>
            <w:r>
              <w:rPr>
                <w:sz w:val="20"/>
                <w:szCs w:val="20"/>
              </w:rPr>
              <w:t xml:space="preserve">Asset Mgmt</w:t>
            </w:r>
          </w:p>
        </w:tc>
        <w:tc>
          <w:tcPr>
            <w:tcW w:type="dxa" w:w="3200"/>
            <w:tcMar>
              <w:top w:type="dxa" w:w="100"/>
              <w:left w:type="dxa" w:w="120"/>
              <w:bottom w:type="dxa" w:w="100"/>
              <w:right w:type="dxa" w:w="120"/>
            </w:tcMar>
          </w:tcPr>
          <w:p>
            <w:r>
              <w:rPr>
                <w:sz w:val="20"/>
                <w:szCs w:val="20"/>
              </w:rPr>
              <w:t xml:space="preserve">260 nodes converge into 9 distinct colored clusters</w:t>
            </w:r>
          </w:p>
        </w:tc>
        <w:tc>
          <w:tcPr>
            <w:tcW w:type="dxa" w:w="3000"/>
            <w:tcMar>
              <w:top w:type="dxa" w:w="100"/>
              <w:left w:type="dxa" w:w="120"/>
              <w:bottom w:type="dxa" w:w="100"/>
              <w:right w:type="dxa" w:w="120"/>
            </w:tcMar>
          </w:tcPr>
          <w:p>
            <w:r>
              <w:rPr>
                <w:sz w:val="20"/>
                <w:szCs w:val="20"/>
              </w:rPr>
              <w:t xml:space="preserve">"You can’t secure what you can’t see."</w:t>
            </w:r>
          </w:p>
        </w:tc>
        <w:tc>
          <w:tcPr>
            <w:tcW w:type="dxa" w:w="1200"/>
            <w:shd w:fill="F5F7FA" w:val="clear"/>
            <w:tcMar>
              <w:top w:type="dxa" w:w="100"/>
              <w:left w:type="dxa" w:w="120"/>
              <w:bottom w:type="dxa" w:w="100"/>
              <w:right w:type="dxa" w:w="120"/>
            </w:tcMar>
          </w:tcPr>
          <w:p>
            <w:r>
              <w:rPr>
                <w:sz w:val="20"/>
                <w:szCs w:val="20"/>
              </w:rPr>
              <w:t xml:space="preserve">Strong</w:t>
            </w:r>
          </w:p>
        </w:tc>
      </w:tr>
    </w:tbl>
    <w:p>
      <w:pPr>
        <w:spacing w:after="160"/>
      </w:pPr>
      <w:r>
        <w:t xml:space="preserve"/>
      </w:r>
    </w:p>
    <w:p>
      <w:pPr>
        <w:pStyle w:val="Heading3"/>
        <w:spacing w:after="100" w:before="200"/>
      </w:pPr>
      <w:r>
        <w:t xml:space="preserve">Ideas for improving the weaker pairings</w:t>
      </w:r>
    </w:p>
    <w:p>
      <w:pPr>
        <w:pStyle w:val="ListParagraph"/>
        <w:numPr>
          <w:ilvl w:val="0"/>
          <w:numId w:val="2"/>
        </w:numPr>
        <w:spacing w:after="100"/>
      </w:pPr>
      <w:r>
        <w:t xml:space="preserve">Offensive — replace the static cage-with-visible-crack with the originally-intended sweeping light plane: a bright vertical band moves left-to-right across the sealed vault; only inside that moving slice does the shell turn briefly transparent to reveal the fracture, then it seals again as the band passes. This makes 'x-ray sweep' literal and gives the scene the same reveal-then-conceal mechanic that makes Defensive the strongest scene on the site.</w:t>
      </w:r>
    </w:p>
    <w:p>
      <w:pPr>
        <w:pStyle w:val="ListParagraph"/>
        <w:numPr>
          <w:ilvl w:val="0"/>
          <w:numId w:val="2"/>
        </w:numPr>
        <w:spacing w:after="100"/>
      </w:pPr>
      <w:r>
        <w:t xml:space="preserve">GRC — after the tablets align (~2s), add a subtle recurring signal (a slow scan-line pass, or seals re-pulsing every few seconds) so the scene reads as an ongoing state of readiness rather than a completed one-time animation, matching the 'always audit ready' claim.</w:t>
      </w:r>
    </w:p>
    <w:p>
      <w:pPr>
        <w:pStyle w:val="ListParagraph"/>
        <w:numPr>
          <w:ilvl w:val="0"/>
          <w:numId w:val="2"/>
        </w:numPr>
        <w:spacing w:after="100"/>
      </w:pPr>
      <w:r>
        <w:t xml:space="preserve">Platform — consider adding small labels or a brief on-scroll caption sequence ('ingest → analyze → detect → remediate') tied to the particle stream's stages, since the four-stage narrative described in the code comments isn't currently legible from the visual alone without the surrounding copy doing all the work.</w:t>
      </w:r>
    </w:p>
    <w:p>
      <w:pPr>
        <w:pStyle w:val="ListParagraph"/>
        <w:numPr>
          <w:ilvl w:val="0"/>
          <w:numId w:val="2"/>
        </w:numPr>
        <w:spacing w:after="100"/>
      </w:pPr>
      <w:r>
        <w:t xml:space="preserve">Across all six scenes — define one shared low-motion/reduced-motion fallback treatment (e.g., a static hero-frame image or gentle CSS-only shimmer) so users with motion sensitivity get a deliberately designed calm state instead of a scene that happens to freeze wherever the animation loop was interrupted.</w:t>
      </w:r>
    </w:p>
    <w:p>
      <w:pPr>
        <w:pStyle w:val="ListParagraph"/>
        <w:numPr>
          <w:ilvl w:val="0"/>
          <w:numId w:val="2"/>
        </w:numPr>
        <w:spacing w:after="100"/>
      </w:pPr>
      <w:r>
        <w:t xml:space="preserve">Home remains the model to replicate: the four orbiting nodes map one-to-one onto the four modules named in the nav and the headline. Where possible, module scenes should aim for this same directness — one dominant visual idea that a viewer could describe correctly without reading the caption.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200" w:before="400"/>
    </w:pPr>
    <w:rPr>
      <w:rFonts w:ascii="Calibri" w:cs="Calibri" w:eastAsia="Calibri" w:hAnsi="Calibri"/>
      <w:b/>
      <w:bCs/>
      <w:color w:val="0B2A5B"/>
      <w:sz w:val="32"/>
      <w:szCs w:val="32"/>
    </w:rPr>
  </w:style>
  <w:style w:type="paragraph" w:styleId="Heading2">
    <w:name w:val="Heading 2"/>
    <w:basedOn w:val="Normal"/>
    <w:next w:val="Normal"/>
    <w:qFormat/>
    <w:pPr>
      <w:spacing w:after="150" w:before="300"/>
    </w:pPr>
    <w:rPr>
      <w:rFonts w:ascii="Calibri" w:cs="Calibri" w:eastAsia="Calibri" w:hAnsi="Calibri"/>
      <w:b/>
      <w:bCs/>
      <w:color w:val="0B2A5B"/>
      <w:sz w:val="26"/>
      <w:szCs w:val="26"/>
    </w:rPr>
  </w:style>
  <w:style w:type="paragraph" w:styleId="Heading3">
    <w:name w:val="Heading 3"/>
    <w:basedOn w:val="Normal"/>
    <w:next w:val="Normal"/>
    <w:qFormat/>
    <w:pPr>
      <w:spacing w:after="100" w:before="200"/>
    </w:pPr>
    <w:rPr>
      <w:rFonts w:ascii="Calibri" w:cs="Calibri" w:eastAsia="Calibri" w:hAnsi="Calibri"/>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2026-07-15T09:58:36.860Z</dcterms:created>
  <dcterms:modified xsi:type="dcterms:W3CDTF">2026-07-15T09:58:36.861Z</dcterms:modified>
</cp:coreProperties>
</file>

<file path=docProps/custom.xml><?xml version="1.0" encoding="utf-8"?>
<Properties xmlns="http://schemas.openxmlformats.org/officeDocument/2006/custom-properties" xmlns:vt="http://schemas.openxmlformats.org/officeDocument/2006/docPropsVTypes"/>
</file>