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1A" w:rsidRPr="00E326A4" w:rsidRDefault="00E326A4" w:rsidP="00E326A4">
      <w:pPr>
        <w:pStyle w:val="ListParagraph"/>
        <w:numPr>
          <w:ilvl w:val="0"/>
          <w:numId w:val="1"/>
        </w:numPr>
        <w:rPr>
          <w:rFonts w:ascii="Times New Roman" w:hAnsi="Times New Roman" w:cs="Times New Roman"/>
          <w:sz w:val="24"/>
        </w:rPr>
      </w:pPr>
      <w:r w:rsidRPr="00E326A4">
        <w:rPr>
          <w:rFonts w:ascii="Times New Roman" w:hAnsi="Times New Roman" w:cs="Times New Roman"/>
          <w:sz w:val="32"/>
        </w:rPr>
        <w:t>Evaluating the e</w:t>
      </w:r>
      <w:r w:rsidR="00B0789C" w:rsidRPr="00E326A4">
        <w:rPr>
          <w:rFonts w:ascii="Times New Roman" w:hAnsi="Times New Roman" w:cs="Times New Roman"/>
          <w:sz w:val="32"/>
        </w:rPr>
        <w:t xml:space="preserve">vidence for </w:t>
      </w:r>
      <w:r w:rsidR="00EB1EC5" w:rsidRPr="00E326A4">
        <w:rPr>
          <w:rFonts w:ascii="Times New Roman" w:hAnsi="Times New Roman" w:cs="Times New Roman"/>
          <w:sz w:val="32"/>
        </w:rPr>
        <w:t xml:space="preserve">environmental drivers </w:t>
      </w:r>
      <w:r w:rsidR="00910D72" w:rsidRPr="00E326A4">
        <w:rPr>
          <w:rFonts w:ascii="Times New Roman" w:hAnsi="Times New Roman" w:cs="Times New Roman"/>
          <w:sz w:val="32"/>
        </w:rPr>
        <w:t xml:space="preserve">of marine organic </w:t>
      </w:r>
      <w:r w:rsidR="00B73689" w:rsidRPr="00E326A4">
        <w:rPr>
          <w:rFonts w:ascii="Times New Roman" w:hAnsi="Times New Roman" w:cs="Times New Roman"/>
          <w:sz w:val="32"/>
        </w:rPr>
        <w:t>carbon</w:t>
      </w:r>
      <w:r w:rsidR="00910D72" w:rsidRPr="00E326A4">
        <w:rPr>
          <w:rFonts w:ascii="Times New Roman" w:hAnsi="Times New Roman" w:cs="Times New Roman"/>
          <w:sz w:val="32"/>
        </w:rPr>
        <w:t xml:space="preserve"> flux </w:t>
      </w:r>
      <w:r w:rsidR="00ED255F" w:rsidRPr="00E326A4">
        <w:rPr>
          <w:rFonts w:ascii="Times New Roman" w:hAnsi="Times New Roman" w:cs="Times New Roman"/>
          <w:sz w:val="32"/>
        </w:rPr>
        <w:t>via</w:t>
      </w:r>
      <w:r w:rsidR="00910D72" w:rsidRPr="00E326A4">
        <w:rPr>
          <w:rFonts w:ascii="Times New Roman" w:hAnsi="Times New Roman" w:cs="Times New Roman"/>
          <w:sz w:val="32"/>
        </w:rPr>
        <w:t xml:space="preserve"> </w:t>
      </w:r>
      <w:r w:rsidR="00D0271A" w:rsidRPr="00E326A4">
        <w:rPr>
          <w:rFonts w:ascii="Times New Roman" w:hAnsi="Times New Roman" w:cs="Times New Roman"/>
          <w:sz w:val="32"/>
        </w:rPr>
        <w:t xml:space="preserve">hierarchical Bayesian </w:t>
      </w:r>
      <w:r w:rsidR="00ED16B9" w:rsidRPr="00E326A4">
        <w:rPr>
          <w:rFonts w:ascii="Times New Roman" w:hAnsi="Times New Roman" w:cs="Times New Roman"/>
          <w:sz w:val="32"/>
        </w:rPr>
        <w:t>analysis</w:t>
      </w:r>
    </w:p>
    <w:p w:rsidR="00E326A4" w:rsidRPr="00E326A4" w:rsidRDefault="00E326A4" w:rsidP="00E326A4">
      <w:pPr>
        <w:pStyle w:val="ListParagraph"/>
        <w:numPr>
          <w:ilvl w:val="0"/>
          <w:numId w:val="1"/>
        </w:numPr>
        <w:rPr>
          <w:rFonts w:ascii="Times New Roman" w:hAnsi="Times New Roman" w:cs="Times New Roman"/>
          <w:sz w:val="24"/>
        </w:rPr>
      </w:pPr>
      <w:r>
        <w:rPr>
          <w:rFonts w:ascii="Times New Roman" w:hAnsi="Times New Roman" w:cs="Times New Roman"/>
          <w:sz w:val="32"/>
        </w:rPr>
        <w:t>Evaluating the evidence for environmental drivers of marine organic carbon flux</w:t>
      </w:r>
    </w:p>
    <w:p w:rsidR="00E326A4" w:rsidRPr="00E326A4" w:rsidRDefault="00E326A4" w:rsidP="00E326A4">
      <w:pPr>
        <w:pStyle w:val="ListParagraph"/>
        <w:numPr>
          <w:ilvl w:val="0"/>
          <w:numId w:val="1"/>
        </w:numPr>
        <w:rPr>
          <w:rFonts w:ascii="Times New Roman" w:hAnsi="Times New Roman" w:cs="Times New Roman"/>
          <w:sz w:val="24"/>
        </w:rPr>
      </w:pPr>
      <w:r>
        <w:rPr>
          <w:rFonts w:ascii="Times New Roman" w:hAnsi="Times New Roman" w:cs="Times New Roman"/>
          <w:sz w:val="32"/>
        </w:rPr>
        <w:t>XX best explains marine organic carbon flux observations</w:t>
      </w:r>
    </w:p>
    <w:p w:rsidR="00E87413" w:rsidRPr="00546CA6" w:rsidRDefault="00D0271A" w:rsidP="00D0271A">
      <w:pPr>
        <w:rPr>
          <w:rFonts w:ascii="Times New Roman" w:hAnsi="Times New Roman" w:cs="Times New Roman"/>
          <w:sz w:val="24"/>
        </w:rPr>
      </w:pPr>
      <w:r w:rsidRPr="00546CA6">
        <w:rPr>
          <w:rFonts w:ascii="Times New Roman" w:hAnsi="Times New Roman" w:cs="Times New Roman"/>
          <w:sz w:val="24"/>
        </w:rPr>
        <w:t>Gregory L. Britten</w:t>
      </w:r>
      <w:r w:rsidR="00CE75F7">
        <w:rPr>
          <w:rFonts w:ascii="Times New Roman" w:hAnsi="Times New Roman" w:cs="Times New Roman"/>
          <w:sz w:val="24"/>
        </w:rPr>
        <w:t>†</w:t>
      </w:r>
      <w:r w:rsidRPr="00546CA6">
        <w:rPr>
          <w:rFonts w:ascii="Times New Roman" w:hAnsi="Times New Roman" w:cs="Times New Roman"/>
          <w:sz w:val="24"/>
        </w:rPr>
        <w:t>, Fran</w:t>
      </w:r>
      <w:r w:rsidRPr="00546CA6">
        <w:rPr>
          <w:rFonts w:ascii="Times New Roman" w:hAnsi="Times New Roman" w:cs="Times New Roman"/>
          <w:sz w:val="24"/>
          <w:szCs w:val="24"/>
        </w:rPr>
        <w:t>ç</w:t>
      </w:r>
      <w:r w:rsidRPr="00546CA6">
        <w:rPr>
          <w:rFonts w:ascii="Times New Roman" w:hAnsi="Times New Roman" w:cs="Times New Roman"/>
          <w:sz w:val="24"/>
        </w:rPr>
        <w:t xml:space="preserve">ois W. Primeau, </w:t>
      </w:r>
      <w:r w:rsidR="00E87413" w:rsidRPr="00546CA6">
        <w:rPr>
          <w:rFonts w:ascii="Times New Roman" w:hAnsi="Times New Roman" w:cs="Times New Roman"/>
          <w:sz w:val="24"/>
        </w:rPr>
        <w:t xml:space="preserve">and </w:t>
      </w:r>
      <w:r w:rsidR="00CE75F7">
        <w:rPr>
          <w:rFonts w:ascii="Times New Roman" w:hAnsi="Times New Roman" w:cs="Times New Roman"/>
          <w:sz w:val="24"/>
        </w:rPr>
        <w:t>participants</w:t>
      </w:r>
      <w:r w:rsidR="00E87413" w:rsidRPr="00546CA6">
        <w:rPr>
          <w:rFonts w:ascii="Times New Roman" w:hAnsi="Times New Roman" w:cs="Times New Roman"/>
          <w:sz w:val="24"/>
        </w:rPr>
        <w:t xml:space="preserve"> of the Bayesian modeling course</w:t>
      </w:r>
    </w:p>
    <w:p w:rsidR="00D0271A" w:rsidRPr="00546CA6" w:rsidRDefault="00D0271A" w:rsidP="00D0271A">
      <w:pPr>
        <w:rPr>
          <w:rFonts w:ascii="Times New Roman" w:hAnsi="Times New Roman" w:cs="Times New Roman"/>
          <w:sz w:val="24"/>
        </w:rPr>
      </w:pPr>
      <w:r w:rsidRPr="00546CA6">
        <w:rPr>
          <w:rFonts w:ascii="Times New Roman" w:hAnsi="Times New Roman" w:cs="Times New Roman"/>
          <w:sz w:val="24"/>
        </w:rPr>
        <w:t>Department of Earth System Science, University of California, Irvine</w:t>
      </w:r>
      <w:r w:rsidR="00CE75F7">
        <w:rPr>
          <w:rFonts w:ascii="Times New Roman" w:hAnsi="Times New Roman" w:cs="Times New Roman"/>
          <w:sz w:val="24"/>
        </w:rPr>
        <w:br/>
        <w:t>†gregleebritten@gmail.com</w:t>
      </w:r>
    </w:p>
    <w:p w:rsidR="00D0271A" w:rsidRPr="00546CA6" w:rsidRDefault="00D0271A" w:rsidP="00D0271A">
      <w:pPr>
        <w:rPr>
          <w:rFonts w:ascii="Times New Roman" w:hAnsi="Times New Roman" w:cs="Times New Roman"/>
          <w:sz w:val="24"/>
        </w:rPr>
      </w:pPr>
    </w:p>
    <w:p w:rsidR="00D0271A" w:rsidRPr="00546CA6" w:rsidRDefault="00D0271A" w:rsidP="00D0271A">
      <w:pPr>
        <w:rPr>
          <w:rFonts w:ascii="Times New Roman" w:hAnsi="Times New Roman" w:cs="Times New Roman"/>
          <w:b/>
          <w:sz w:val="24"/>
        </w:rPr>
      </w:pPr>
      <w:r w:rsidRPr="00546CA6">
        <w:rPr>
          <w:rFonts w:ascii="Times New Roman" w:hAnsi="Times New Roman" w:cs="Times New Roman"/>
          <w:b/>
          <w:sz w:val="24"/>
        </w:rPr>
        <w:t>Abstract</w:t>
      </w:r>
    </w:p>
    <w:p w:rsidR="00D0271A" w:rsidRPr="00546CA6" w:rsidRDefault="00D0271A" w:rsidP="00D0271A">
      <w:pPr>
        <w:rPr>
          <w:rFonts w:ascii="Times New Roman" w:hAnsi="Times New Roman" w:cs="Times New Roman"/>
          <w:sz w:val="24"/>
        </w:rPr>
      </w:pPr>
      <w:r w:rsidRPr="00546CA6">
        <w:rPr>
          <w:rFonts w:ascii="Times New Roman" w:hAnsi="Times New Roman" w:cs="Times New Roman"/>
          <w:sz w:val="24"/>
        </w:rPr>
        <w:t xml:space="preserve">The balance of carbon between the ocean and atmosphere is sensitive to the shape of the ocean’s organic </w:t>
      </w:r>
      <w:r w:rsidR="00B73689">
        <w:rPr>
          <w:rFonts w:ascii="Times New Roman" w:hAnsi="Times New Roman" w:cs="Times New Roman"/>
          <w:sz w:val="24"/>
        </w:rPr>
        <w:t>carbon</w:t>
      </w:r>
      <w:r w:rsidRPr="00546CA6">
        <w:rPr>
          <w:rFonts w:ascii="Times New Roman" w:hAnsi="Times New Roman" w:cs="Times New Roman"/>
          <w:sz w:val="24"/>
        </w:rPr>
        <w:t xml:space="preserve"> flux profile, yet direct observations have poorly </w:t>
      </w:r>
      <w:r w:rsidR="00EB1EC5">
        <w:rPr>
          <w:rFonts w:ascii="Times New Roman" w:hAnsi="Times New Roman" w:cs="Times New Roman"/>
          <w:sz w:val="24"/>
        </w:rPr>
        <w:t>constrained</w:t>
      </w:r>
      <w:r w:rsidRPr="00546CA6">
        <w:rPr>
          <w:rFonts w:ascii="Times New Roman" w:hAnsi="Times New Roman" w:cs="Times New Roman"/>
          <w:sz w:val="24"/>
        </w:rPr>
        <w:t xml:space="preserve"> fluxes due to large regional and temporal variability. Here we model a global compilation of organic </w:t>
      </w:r>
      <w:r w:rsidR="00B73689">
        <w:rPr>
          <w:rFonts w:ascii="Times New Roman" w:hAnsi="Times New Roman" w:cs="Times New Roman"/>
          <w:sz w:val="24"/>
        </w:rPr>
        <w:t>carbon</w:t>
      </w:r>
      <w:r w:rsidRPr="00546CA6">
        <w:rPr>
          <w:rFonts w:ascii="Times New Roman" w:hAnsi="Times New Roman" w:cs="Times New Roman"/>
          <w:sz w:val="24"/>
        </w:rPr>
        <w:t xml:space="preserve"> flux observations via hierarchical Bayesian methods to </w:t>
      </w:r>
      <w:r w:rsidR="00142B09">
        <w:rPr>
          <w:rFonts w:ascii="Times New Roman" w:hAnsi="Times New Roman" w:cs="Times New Roman"/>
          <w:sz w:val="24"/>
        </w:rPr>
        <w:t>evaluate</w:t>
      </w:r>
      <w:r w:rsidRPr="00546CA6">
        <w:rPr>
          <w:rFonts w:ascii="Times New Roman" w:hAnsi="Times New Roman" w:cs="Times New Roman"/>
          <w:sz w:val="24"/>
        </w:rPr>
        <w:t xml:space="preserve"> the </w:t>
      </w:r>
      <w:r w:rsidR="00142B09">
        <w:rPr>
          <w:rFonts w:ascii="Times New Roman" w:hAnsi="Times New Roman" w:cs="Times New Roman"/>
          <w:sz w:val="24"/>
        </w:rPr>
        <w:t xml:space="preserve">empirical </w:t>
      </w:r>
      <w:r w:rsidRPr="00546CA6">
        <w:rPr>
          <w:rFonts w:ascii="Times New Roman" w:hAnsi="Times New Roman" w:cs="Times New Roman"/>
          <w:sz w:val="24"/>
        </w:rPr>
        <w:t>evidence for environmental</w:t>
      </w:r>
      <w:r w:rsidR="00142B09">
        <w:rPr>
          <w:rFonts w:ascii="Times New Roman" w:hAnsi="Times New Roman" w:cs="Times New Roman"/>
          <w:sz w:val="24"/>
        </w:rPr>
        <w:t xml:space="preserve"> drivers of flux profile parameters</w:t>
      </w:r>
      <w:r w:rsidR="00E87413" w:rsidRPr="00546CA6">
        <w:rPr>
          <w:rFonts w:ascii="Times New Roman" w:hAnsi="Times New Roman" w:cs="Times New Roman"/>
          <w:sz w:val="24"/>
        </w:rPr>
        <w:t xml:space="preserve">. </w:t>
      </w:r>
      <w:r w:rsidR="009C73CB">
        <w:rPr>
          <w:rFonts w:ascii="Times New Roman" w:hAnsi="Times New Roman" w:cs="Times New Roman"/>
          <w:sz w:val="24"/>
        </w:rPr>
        <w:t xml:space="preserve">We test… </w:t>
      </w:r>
      <w:r w:rsidR="00EB1EC5">
        <w:rPr>
          <w:rFonts w:ascii="Times New Roman" w:hAnsi="Times New Roman" w:cs="Times New Roman"/>
          <w:sz w:val="24"/>
        </w:rPr>
        <w:t xml:space="preserve">We find …. </w:t>
      </w:r>
    </w:p>
    <w:p w:rsidR="00D0271A" w:rsidRPr="00546CA6" w:rsidRDefault="00D0271A" w:rsidP="00D0271A">
      <w:pPr>
        <w:rPr>
          <w:rFonts w:ascii="Times New Roman" w:hAnsi="Times New Roman" w:cs="Times New Roman"/>
          <w:sz w:val="24"/>
        </w:rPr>
      </w:pPr>
    </w:p>
    <w:p w:rsidR="00D0271A" w:rsidRPr="00546CA6" w:rsidRDefault="00D0271A" w:rsidP="00D0271A">
      <w:pPr>
        <w:rPr>
          <w:rFonts w:ascii="Times New Roman" w:hAnsi="Times New Roman" w:cs="Times New Roman"/>
          <w:b/>
          <w:sz w:val="24"/>
        </w:rPr>
      </w:pPr>
      <w:r w:rsidRPr="00546CA6">
        <w:rPr>
          <w:rFonts w:ascii="Times New Roman" w:hAnsi="Times New Roman" w:cs="Times New Roman"/>
          <w:b/>
          <w:sz w:val="24"/>
        </w:rPr>
        <w:t>Introduction</w:t>
      </w:r>
    </w:p>
    <w:p w:rsidR="00E75529" w:rsidRDefault="00D0271A" w:rsidP="00D0271A">
      <w:pPr>
        <w:rPr>
          <w:rFonts w:ascii="Times New Roman" w:hAnsi="Times New Roman" w:cs="Times New Roman"/>
          <w:sz w:val="24"/>
        </w:rPr>
      </w:pPr>
      <w:r w:rsidRPr="00546CA6">
        <w:rPr>
          <w:rFonts w:ascii="Times New Roman" w:hAnsi="Times New Roman" w:cs="Times New Roman"/>
          <w:sz w:val="24"/>
        </w:rPr>
        <w:t xml:space="preserve">The sinking flux and subsequent remineralization of organic </w:t>
      </w:r>
      <w:r w:rsidR="00B73689">
        <w:rPr>
          <w:rFonts w:ascii="Times New Roman" w:hAnsi="Times New Roman" w:cs="Times New Roman"/>
          <w:sz w:val="24"/>
        </w:rPr>
        <w:t>carbon</w:t>
      </w:r>
      <w:r w:rsidRPr="00546CA6">
        <w:rPr>
          <w:rFonts w:ascii="Times New Roman" w:hAnsi="Times New Roman" w:cs="Times New Roman"/>
          <w:sz w:val="24"/>
        </w:rPr>
        <w:t xml:space="preserve"> at depth maintains a depth gradient in dissolved inorganic carbon that acts to sequester carbon from the atmosphere</w:t>
      </w:r>
      <w:r w:rsidR="00E75529">
        <w:rPr>
          <w:rFonts w:ascii="Times New Roman" w:hAnsi="Times New Roman" w:cs="Times New Roman"/>
          <w:sz w:val="24"/>
        </w:rPr>
        <w:t xml:space="preserve"> </w:t>
      </w:r>
      <w:r w:rsidR="00E75529">
        <w:rPr>
          <w:rFonts w:ascii="Times New Roman" w:hAnsi="Times New Roman" w:cs="Times New Roman"/>
          <w:sz w:val="24"/>
        </w:rPr>
        <w:fldChar w:fldCharType="begin" w:fldLock="1"/>
      </w:r>
      <w:r w:rsidR="00ED255F">
        <w:rPr>
          <w:rFonts w:ascii="Times New Roman" w:hAnsi="Times New Roman" w:cs="Times New Roman"/>
          <w:sz w:val="24"/>
        </w:rPr>
        <w:instrText>ADDIN CSL_CITATION { "citationItems" : [ { "id" : "ITEM-1", "itemData" : { "author" : [ { "dropping-particle" : "", "family" : "Kwon", "given" : "Eun Young", "non-dropping-particle" : "", "parse-names" : false, "suffix" : "" }, { "dropping-particle" : "", "family" : "Primeau", "given" : "Fran\u00e7ois", "non-dropping-particle" : "", "parse-names" : false, "suffix" : "" }, { "dropping-particle" : "", "family" : "Sarmiento", "given" : "Jorge L.", "non-dropping-particle" : "", "parse-names" : false, "suffix" : "" } ], "container-title" : "Nature Geoscience", "id" : "ITEM-1", "issue" : "9", "issued" : { "date-parts" : [ [ "2009" ] ] }, "page" : "630-635", "title" : "The impact of remineralization depth on the air\u2013sea carbon balance", "type" : "article-journal", "volume" : "2" }, "uris" : [ "http://www.mendeley.com/documents/?uuid=bf4e4f70-f15b-48e8-9c60-6ad1e0c0c067" ] } ], "mendeley" : { "formattedCitation" : "[&lt;i&gt;Kwon et al.&lt;/i&gt;, 2009]", "plainTextFormattedCitation" : "[Kwon et al., 2009]", "previouslyFormattedCitation" : "[&lt;i&gt;Kwon et al.&lt;/i&gt;, 2009]" }, "properties" : { "noteIndex" : 0 }, "schema" : "https://github.com/citation-style-language/schema/raw/master/csl-citation.json" }</w:instrText>
      </w:r>
      <w:r w:rsidR="00E75529">
        <w:rPr>
          <w:rFonts w:ascii="Times New Roman" w:hAnsi="Times New Roman" w:cs="Times New Roman"/>
          <w:sz w:val="24"/>
        </w:rPr>
        <w:fldChar w:fldCharType="separate"/>
      </w:r>
      <w:r w:rsidR="00E75529" w:rsidRPr="00E75529">
        <w:rPr>
          <w:rFonts w:ascii="Times New Roman" w:hAnsi="Times New Roman" w:cs="Times New Roman"/>
          <w:noProof/>
          <w:sz w:val="24"/>
        </w:rPr>
        <w:t>[</w:t>
      </w:r>
      <w:r w:rsidR="00E75529" w:rsidRPr="00E75529">
        <w:rPr>
          <w:rFonts w:ascii="Times New Roman" w:hAnsi="Times New Roman" w:cs="Times New Roman"/>
          <w:i/>
          <w:noProof/>
          <w:sz w:val="24"/>
        </w:rPr>
        <w:t>Kwon et al.</w:t>
      </w:r>
      <w:r w:rsidR="00E75529" w:rsidRPr="00E75529">
        <w:rPr>
          <w:rFonts w:ascii="Times New Roman" w:hAnsi="Times New Roman" w:cs="Times New Roman"/>
          <w:noProof/>
          <w:sz w:val="24"/>
        </w:rPr>
        <w:t>, 2009]</w:t>
      </w:r>
      <w:r w:rsidR="00E75529">
        <w:rPr>
          <w:rFonts w:ascii="Times New Roman" w:hAnsi="Times New Roman" w:cs="Times New Roman"/>
          <w:sz w:val="24"/>
        </w:rPr>
        <w:fldChar w:fldCharType="end"/>
      </w:r>
      <w:r w:rsidRPr="00546CA6">
        <w:rPr>
          <w:rFonts w:ascii="Times New Roman" w:hAnsi="Times New Roman" w:cs="Times New Roman"/>
          <w:sz w:val="24"/>
        </w:rPr>
        <w:t>.</w:t>
      </w:r>
      <w:r w:rsidR="00E75529">
        <w:rPr>
          <w:rFonts w:ascii="Times New Roman" w:hAnsi="Times New Roman" w:cs="Times New Roman"/>
          <w:sz w:val="24"/>
        </w:rPr>
        <w:t xml:space="preserve"> </w:t>
      </w:r>
    </w:p>
    <w:p w:rsidR="00D0271A" w:rsidRDefault="00E75529" w:rsidP="00D0271A">
      <w:pPr>
        <w:rPr>
          <w:rFonts w:ascii="Times New Roman" w:hAnsi="Times New Roman" w:cs="Times New Roman"/>
          <w:sz w:val="24"/>
        </w:rPr>
      </w:pPr>
      <w:r>
        <w:rPr>
          <w:rFonts w:ascii="Times New Roman" w:hAnsi="Times New Roman" w:cs="Times New Roman"/>
          <w:sz w:val="24"/>
        </w:rPr>
        <w:t>The sin</w:t>
      </w:r>
      <w:r w:rsidR="00ED255F">
        <w:rPr>
          <w:rFonts w:ascii="Times New Roman" w:hAnsi="Times New Roman" w:cs="Times New Roman"/>
          <w:sz w:val="24"/>
        </w:rPr>
        <w:t>king flux is a</w:t>
      </w:r>
      <w:r w:rsidR="00B73689">
        <w:rPr>
          <w:rFonts w:ascii="Times New Roman" w:hAnsi="Times New Roman" w:cs="Times New Roman"/>
          <w:sz w:val="24"/>
        </w:rPr>
        <w:t xml:space="preserve"> </w:t>
      </w:r>
      <w:r w:rsidR="00ED255F">
        <w:rPr>
          <w:rFonts w:ascii="Times New Roman" w:hAnsi="Times New Roman" w:cs="Times New Roman"/>
          <w:sz w:val="24"/>
        </w:rPr>
        <w:t xml:space="preserve">net effect </w:t>
      </w:r>
      <w:r>
        <w:rPr>
          <w:rFonts w:ascii="Times New Roman" w:hAnsi="Times New Roman" w:cs="Times New Roman"/>
          <w:sz w:val="24"/>
        </w:rPr>
        <w:t xml:space="preserve">of many interacting </w:t>
      </w:r>
      <w:r w:rsidR="00ED255F">
        <w:rPr>
          <w:rFonts w:ascii="Times New Roman" w:hAnsi="Times New Roman" w:cs="Times New Roman"/>
          <w:sz w:val="24"/>
        </w:rPr>
        <w:t>processes</w:t>
      </w:r>
      <w:r>
        <w:rPr>
          <w:rFonts w:ascii="Times New Roman" w:hAnsi="Times New Roman" w:cs="Times New Roman"/>
          <w:sz w:val="24"/>
        </w:rPr>
        <w:t>.</w:t>
      </w:r>
      <w:r w:rsidR="00ED255F">
        <w:rPr>
          <w:rFonts w:ascii="Times New Roman" w:hAnsi="Times New Roman" w:cs="Times New Roman"/>
          <w:sz w:val="24"/>
        </w:rPr>
        <w:t xml:space="preserve"> Important factors thought to control </w:t>
      </w:r>
      <w:r>
        <w:rPr>
          <w:rFonts w:ascii="Times New Roman" w:hAnsi="Times New Roman" w:cs="Times New Roman"/>
          <w:sz w:val="24"/>
        </w:rPr>
        <w:t>organic matter</w:t>
      </w:r>
      <w:r w:rsidR="00ED255F">
        <w:rPr>
          <w:rFonts w:ascii="Times New Roman" w:hAnsi="Times New Roman" w:cs="Times New Roman"/>
          <w:sz w:val="24"/>
        </w:rPr>
        <w:t xml:space="preserve"> flux include:</w:t>
      </w:r>
      <w:r>
        <w:rPr>
          <w:rFonts w:ascii="Times New Roman" w:hAnsi="Times New Roman" w:cs="Times New Roman"/>
          <w:sz w:val="24"/>
        </w:rPr>
        <w:t xml:space="preserve"> net primary productivity, temperature, oxygen, viscosity, among others. </w:t>
      </w:r>
      <w:r w:rsidR="00B73689">
        <w:rPr>
          <w:rFonts w:ascii="Times New Roman" w:hAnsi="Times New Roman" w:cs="Times New Roman"/>
          <w:sz w:val="24"/>
        </w:rPr>
        <w:t>Details …</w:t>
      </w:r>
    </w:p>
    <w:p w:rsidR="00E75529" w:rsidRPr="00546CA6" w:rsidRDefault="00E75529" w:rsidP="00D0271A">
      <w:pPr>
        <w:rPr>
          <w:rFonts w:ascii="Times New Roman" w:hAnsi="Times New Roman" w:cs="Times New Roman"/>
          <w:sz w:val="24"/>
        </w:rPr>
      </w:pPr>
    </w:p>
    <w:p w:rsidR="00D0271A" w:rsidRPr="00546CA6" w:rsidRDefault="00D0271A" w:rsidP="00D0271A">
      <w:pPr>
        <w:rPr>
          <w:rFonts w:ascii="Times New Roman" w:hAnsi="Times New Roman" w:cs="Times New Roman"/>
          <w:b/>
          <w:sz w:val="24"/>
        </w:rPr>
      </w:pPr>
      <w:r w:rsidRPr="00546CA6">
        <w:rPr>
          <w:rFonts w:ascii="Times New Roman" w:hAnsi="Times New Roman" w:cs="Times New Roman"/>
          <w:b/>
          <w:sz w:val="24"/>
        </w:rPr>
        <w:t>Methods</w:t>
      </w:r>
    </w:p>
    <w:p w:rsidR="00D0271A" w:rsidRDefault="00D0271A" w:rsidP="00D0271A">
      <w:pPr>
        <w:rPr>
          <w:rFonts w:ascii="Times New Roman" w:hAnsi="Times New Roman" w:cs="Times New Roman"/>
          <w:sz w:val="24"/>
        </w:rPr>
      </w:pPr>
      <w:r w:rsidRPr="00546CA6">
        <w:rPr>
          <w:rFonts w:ascii="Times New Roman" w:hAnsi="Times New Roman" w:cs="Times New Roman"/>
          <w:sz w:val="24"/>
        </w:rPr>
        <w:t xml:space="preserve">We utilize a recently published global compilation of organic matter flux observations via </w:t>
      </w:r>
      <w:r w:rsidRPr="00546CA6">
        <w:rPr>
          <w:rFonts w:ascii="Times New Roman" w:hAnsi="Times New Roman" w:cs="Times New Roman"/>
          <w:i/>
          <w:sz w:val="24"/>
        </w:rPr>
        <w:t>in-situ</w:t>
      </w:r>
      <w:r w:rsidRPr="00546CA6">
        <w:rPr>
          <w:rFonts w:ascii="Times New Roman" w:hAnsi="Times New Roman" w:cs="Times New Roman"/>
          <w:sz w:val="24"/>
        </w:rPr>
        <w:t xml:space="preserve"> sediment traps</w:t>
      </w:r>
      <w:r w:rsidR="00BE596B">
        <w:rPr>
          <w:rFonts w:ascii="Times New Roman" w:hAnsi="Times New Roman" w:cs="Times New Roman"/>
          <w:sz w:val="24"/>
        </w:rPr>
        <w:t xml:space="preserve"> </w:t>
      </w:r>
      <w:r w:rsidR="00BE596B">
        <w:rPr>
          <w:rFonts w:ascii="Times New Roman" w:hAnsi="Times New Roman" w:cs="Times New Roman"/>
          <w:sz w:val="24"/>
        </w:rPr>
        <w:fldChar w:fldCharType="begin" w:fldLock="1"/>
      </w:r>
      <w:r w:rsidR="00BE596B">
        <w:rPr>
          <w:rFonts w:ascii="Times New Roman" w:hAnsi="Times New Roman" w:cs="Times New Roman"/>
          <w:sz w:val="24"/>
        </w:rPr>
        <w:instrText>ADDIN CSL_CITATION { "citationItems" : [ { "id" : "ITEM-1", "itemData" : { "author" : [ { "dropping-particle" : "", "family" : "Mouw", "given" : "Colleen B", "non-dropping-particle" : "", "parse-names" : false, "suffix" : "" }, { "dropping-particle" : "", "family" : "Barnett", "given" : "Audrey", "non-dropping-particle" : "", "parse-names" : false, "suffix" : "" }, { "dropping-particle" : "", "family" : "Mckinley", "given" : "Galen A", "non-dropping-particle" : "", "parse-names" : false, "suffix" : "" }, { "dropping-particle" : "", "family" : "Gloege", "given" : "Lucas", "non-dropping-particle" : "", "parse-names" : false, "suffix" : "" }, { "dropping-particle" : "", "family" : "Pilcher", "given" : "Darren", "non-dropping-particle" : "", "parse-names" : false, "suffix" : "" } ], "container-title" : "Earth System Science Data", "id" : "ITEM-1", "issued" : { "date-parts" : [ [ "2016" ] ] }, "page" : "531-541", "title" : "Global ocean particulate organic carbon flux merged with satellite parameters", "type" : "article-journal", "volume" : "8" }, "uris" : [ "http://www.mendeley.com/documents/?uuid=791d8f4c-977a-4f3d-a8f6-62e2ec9e7863" ] } ], "mendeley" : { "formattedCitation" : "[&lt;i&gt;Mouw et al.&lt;/i&gt;, 2016]", "plainTextFormattedCitation" : "[Mouw et al., 2016]", "previouslyFormattedCitation" : "[&lt;i&gt;Mouw et al.&lt;/i&gt;, 2016]" }, "properties" : { "noteIndex" : 0 }, "schema" : "https://github.com/citation-style-language/schema/raw/master/csl-citation.json" }</w:instrText>
      </w:r>
      <w:r w:rsidR="00BE596B">
        <w:rPr>
          <w:rFonts w:ascii="Times New Roman" w:hAnsi="Times New Roman" w:cs="Times New Roman"/>
          <w:sz w:val="24"/>
        </w:rPr>
        <w:fldChar w:fldCharType="separate"/>
      </w:r>
      <w:r w:rsidR="00BE596B" w:rsidRPr="00BE596B">
        <w:rPr>
          <w:rFonts w:ascii="Times New Roman" w:hAnsi="Times New Roman" w:cs="Times New Roman"/>
          <w:noProof/>
          <w:sz w:val="24"/>
        </w:rPr>
        <w:t>[</w:t>
      </w:r>
      <w:r w:rsidR="00BE596B" w:rsidRPr="00BE596B">
        <w:rPr>
          <w:rFonts w:ascii="Times New Roman" w:hAnsi="Times New Roman" w:cs="Times New Roman"/>
          <w:i/>
          <w:noProof/>
          <w:sz w:val="24"/>
        </w:rPr>
        <w:t>Mouw et al.</w:t>
      </w:r>
      <w:r w:rsidR="00BE596B" w:rsidRPr="00BE596B">
        <w:rPr>
          <w:rFonts w:ascii="Times New Roman" w:hAnsi="Times New Roman" w:cs="Times New Roman"/>
          <w:noProof/>
          <w:sz w:val="24"/>
        </w:rPr>
        <w:t>, 2016]</w:t>
      </w:r>
      <w:r w:rsidR="00BE596B">
        <w:rPr>
          <w:rFonts w:ascii="Times New Roman" w:hAnsi="Times New Roman" w:cs="Times New Roman"/>
          <w:sz w:val="24"/>
        </w:rPr>
        <w:fldChar w:fldCharType="end"/>
      </w:r>
      <w:r w:rsidRPr="00546CA6">
        <w:rPr>
          <w:rFonts w:ascii="Times New Roman" w:hAnsi="Times New Roman" w:cs="Times New Roman"/>
          <w:sz w:val="24"/>
        </w:rPr>
        <w:t xml:space="preserve">. </w:t>
      </w:r>
    </w:p>
    <w:p w:rsidR="00ED255F" w:rsidRPr="00546CA6" w:rsidRDefault="00ED255F" w:rsidP="00D0271A">
      <w:pPr>
        <w:rPr>
          <w:rFonts w:ascii="Times New Roman" w:hAnsi="Times New Roman" w:cs="Times New Roman"/>
          <w:sz w:val="24"/>
        </w:rPr>
      </w:pPr>
      <w:r>
        <w:rPr>
          <w:rFonts w:ascii="Times New Roman" w:hAnsi="Times New Roman" w:cs="Times New Roman"/>
          <w:sz w:val="24"/>
        </w:rPr>
        <w:t xml:space="preserve">We model the vertical flux profile of organic matter via the Martin curve </w:t>
      </w:r>
      <w:r>
        <w:rPr>
          <w:rFonts w:ascii="Times New Roman" w:hAnsi="Times New Roman" w:cs="Times New Roman"/>
          <w:sz w:val="24"/>
        </w:rPr>
        <w:fldChar w:fldCharType="begin" w:fldLock="1"/>
      </w:r>
      <w:r w:rsidR="00CE75F7">
        <w:rPr>
          <w:rFonts w:ascii="Times New Roman" w:hAnsi="Times New Roman" w:cs="Times New Roman"/>
          <w:sz w:val="24"/>
        </w:rPr>
        <w:instrText>ADDIN CSL_CITATION { "citationItems" : [ { "id" : "ITEM-1", "itemData" : { "ISBN" : "0198-0149", "ISSN" : "01980149", "abstract" : "Particulate organic carbon fluxes were measured with free-floating particle traps at nine locations during VERTEX and related studies. Examination of these data indicated that there was relatively little spatial variability in open ocean fluxes. To obtain mean rates representative of the oligotrophic environment, flux data from six stations were combined and fitted to a normalized power function, F = F100 (z/100)b; e.g. the open ocean composite C flux in mol m-2 y-1 = 1.53 (z/100-0.858 with depth z in meters. It is shown that the vertical derivative of particulate fluxes may indicate solute regeneration rates, and accordingly regeneration rates for C, H and N were estimated. Oxygen utilization rates were also estimated under the assumption that 1.5, 1.0 and 0.25 moles of O2 were used for each mole of N, C and H regenerated. Regeneration ratios of these elements were depth-dependent: i.e. N:C:H:-O2 = 1.0 N: 6.2 (z/100)0.130 C: 10.0(z/100)0.146 H: [1.5 + 6.2 (z/100)0.130 + 2.5 (z/100)0.146]-O2. Comparisons of our rates with those in the literature indicate that trap-derived new productivities in the open Pacific (\u22481.5 mol C m-2 y-1) are substantially less than those estimated from oxygen utilization rates in the Sargasso Sea (\u22484 mol C m-2 y-1). A hypothesis is presented which attempts to explain this discrepancy on the basis of the lateral transport and decomposition of slow or non-sinking POC in the Sargasso Sea. Data gathered during the VERTEX studies are also used for various global estimates. Open ocean primary productivities are estimated at 130 g C m-2 y-1 which results in a global open ocean productivity of 42 Gt y-1. Organic C removal from the surface of the ocean via particulate sinking (new production) is on the order of 6 Gt y-1. Fifty percent of this C is regenerated in the upper 300 m of the water column. The ratio of new production (measured with traps) to total primary production (measured via 14C) is 0.14. It is concluded that the 14C technique yields reasonable estimates of primary productivity provided that care is taken to prevent heavy metal contamination. \u00a9 1987.", "author" : [ { "dropping-particle" : "", "family" : "Martin", "given" : "John H.", "non-dropping-particle" : "", "parse-names" : false, "suffix" : "" }, { "dropping-particle" : "", "family" : "Knauer", "given" : "George a.", "non-dropping-particle" : "", "parse-names" : false, "suffix" : "" }, { "dropping-particle" : "", "family" : "Karl", "given" : "David M.", "non-dropping-particle" : "", "parse-names" : false, "suffix" : "" }, { "dropping-particle" : "", "family" : "Broenkow", "given" : "William W.", "non-dropping-particle" : "", "parse-names" : false, "suffix" : "" } ], "container-title" : "Deep Sea Research Part A, Oceanographic Research Papers", "id" : "ITEM-1", "issue" : "2", "issued" : { "date-parts" : [ [ "1987" ] ] }, "page" : "267-285", "title" : "VERTEX: carbon cycling in the northeast Pacific", "type" : "article-journal", "volume" : "34" }, "uris" : [ "http://www.mendeley.com/documents/?uuid=ac3303e2-aa20-40d6-9266-9bf5816753bc" ] } ], "mendeley" : { "formattedCitation" : "[&lt;i&gt;Martin et al.&lt;/i&gt;, 1987]", "plainTextFormattedCitation" : "[Martin et al., 1987]", "previouslyFormattedCitation" : "[&lt;i&gt;Martin et al.&lt;/i&gt;, 1987]" }, "properties" : { "noteIndex" : 0 }, "schema" : "https://github.com/citation-style-language/schema/raw/master/csl-citation.json" }</w:instrText>
      </w:r>
      <w:r>
        <w:rPr>
          <w:rFonts w:ascii="Times New Roman" w:hAnsi="Times New Roman" w:cs="Times New Roman"/>
          <w:sz w:val="24"/>
        </w:rPr>
        <w:fldChar w:fldCharType="separate"/>
      </w:r>
      <w:r w:rsidRPr="00ED255F">
        <w:rPr>
          <w:rFonts w:ascii="Times New Roman" w:hAnsi="Times New Roman" w:cs="Times New Roman"/>
          <w:noProof/>
          <w:sz w:val="24"/>
        </w:rPr>
        <w:t>[</w:t>
      </w:r>
      <w:r w:rsidRPr="00ED255F">
        <w:rPr>
          <w:rFonts w:ascii="Times New Roman" w:hAnsi="Times New Roman" w:cs="Times New Roman"/>
          <w:i/>
          <w:noProof/>
          <w:sz w:val="24"/>
        </w:rPr>
        <w:t>Martin et al.</w:t>
      </w:r>
      <w:r w:rsidRPr="00ED255F">
        <w:rPr>
          <w:rFonts w:ascii="Times New Roman" w:hAnsi="Times New Roman" w:cs="Times New Roman"/>
          <w:noProof/>
          <w:sz w:val="24"/>
        </w:rPr>
        <w:t>, 1987]</w:t>
      </w:r>
      <w:r>
        <w:rPr>
          <w:rFonts w:ascii="Times New Roman" w:hAnsi="Times New Roman" w:cs="Times New Roman"/>
          <w:sz w:val="24"/>
        </w:rPr>
        <w:fldChar w:fldCharType="end"/>
      </w:r>
    </w:p>
    <w:p w:rsidR="00D0271A" w:rsidRPr="00ED255F" w:rsidRDefault="00546CA6" w:rsidP="00D0271A">
      <w:pPr>
        <w:rPr>
          <w:rFonts w:ascii="Times New Roman" w:eastAsiaTheme="minorEastAsia" w:hAnsi="Times New Roman" w:cs="Times New Roman"/>
          <w:sz w:val="24"/>
        </w:rPr>
      </w:pPr>
      <m:oMathPara>
        <m:oMath>
          <m:r>
            <w:rPr>
              <w:rFonts w:ascii="Cambria Math" w:hAnsi="Cambria Math" w:cs="Times New Roman"/>
              <w:sz w:val="24"/>
            </w:rPr>
            <m:t>J=</m:t>
          </m:r>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z</m:t>
                      </m:r>
                    </m:num>
                    <m:den>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0</m:t>
                          </m:r>
                        </m:sub>
                      </m:sSub>
                    </m:den>
                  </m:f>
                </m:e>
              </m:d>
            </m:e>
            <m:sup>
              <m:r>
                <w:rPr>
                  <w:rFonts w:ascii="Cambria Math" w:hAnsi="Cambria Math" w:cs="Times New Roman"/>
                  <w:sz w:val="24"/>
                </w:rPr>
                <m:t>-b</m:t>
              </m:r>
            </m:sup>
          </m:sSup>
          <m:r>
            <w:rPr>
              <w:rFonts w:ascii="Cambria Math" w:eastAsiaTheme="minorEastAsia" w:hAnsi="Cambria Math" w:cs="Times New Roman"/>
              <w:sz w:val="24"/>
            </w:rPr>
            <m:t>.</m:t>
          </m:r>
        </m:oMath>
      </m:oMathPara>
    </w:p>
    <w:p w:rsidR="00ED255F" w:rsidRPr="00546CA6" w:rsidRDefault="00ED255F" w:rsidP="00D0271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The model is linearized by taking the log</w:t>
      </w:r>
    </w:p>
    <w:p w:rsidR="00546CA6" w:rsidRPr="00023C15" w:rsidRDefault="00AA3B7E" w:rsidP="00D0271A">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J</m:t>
              </m:r>
            </m:e>
          </m:func>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log</m:t>
              </m:r>
            </m:fName>
            <m:e>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e>
          </m:func>
          <m:r>
            <w:rPr>
              <w:rFonts w:ascii="Cambria Math" w:hAnsi="Cambria Math" w:cs="Times New Roman"/>
              <w:sz w:val="24"/>
            </w:rPr>
            <m:t>-b</m:t>
          </m:r>
          <m:func>
            <m:funcPr>
              <m:ctrlPr>
                <w:rPr>
                  <w:rFonts w:ascii="Cambria Math" w:hAnsi="Cambria Math" w:cs="Times New Roman"/>
                  <w:i/>
                  <w:sz w:val="24"/>
                </w:rPr>
              </m:ctrlPr>
            </m:funcPr>
            <m:fName>
              <m:r>
                <m:rPr>
                  <m:sty m:val="p"/>
                </m:rPr>
                <w:rPr>
                  <w:rFonts w:ascii="Cambria Math" w:hAnsi="Cambria Math" w:cs="Times New Roman"/>
                  <w:sz w:val="24"/>
                </w:rPr>
                <m:t>log</m:t>
              </m:r>
            </m:fName>
            <m:e>
              <m:f>
                <m:fPr>
                  <m:ctrlPr>
                    <w:rPr>
                      <w:rFonts w:ascii="Cambria Math" w:hAnsi="Cambria Math" w:cs="Times New Roman"/>
                      <w:i/>
                      <w:sz w:val="24"/>
                    </w:rPr>
                  </m:ctrlPr>
                </m:fPr>
                <m:num>
                  <m:r>
                    <w:rPr>
                      <w:rFonts w:ascii="Cambria Math" w:hAnsi="Cambria Math" w:cs="Times New Roman"/>
                      <w:sz w:val="24"/>
                    </w:rPr>
                    <m:t>z</m:t>
                  </m:r>
                </m:num>
                <m:den>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0</m:t>
                      </m:r>
                    </m:sub>
                  </m:sSub>
                </m:den>
              </m:f>
            </m:e>
          </m:func>
        </m:oMath>
      </m:oMathPara>
    </w:p>
    <w:p w:rsidR="00023C15" w:rsidRPr="00546CA6" w:rsidRDefault="00023C15" w:rsidP="00D0271A">
      <w:pPr>
        <w:rPr>
          <w:rFonts w:ascii="Times New Roman" w:eastAsiaTheme="minorEastAsia" w:hAnsi="Times New Roman" w:cs="Times New Roman"/>
          <w:sz w:val="24"/>
        </w:rPr>
      </w:pPr>
      <w:r>
        <w:rPr>
          <w:rFonts w:ascii="Times New Roman" w:eastAsiaTheme="minorEastAsia" w:hAnsi="Times New Roman" w:cs="Times New Roman"/>
          <w:sz w:val="24"/>
        </w:rPr>
        <w:t>We also test functional forms for the depth dependence of carbon flux.</w:t>
      </w:r>
    </w:p>
    <w:p w:rsidR="00546CA6" w:rsidRPr="00546CA6" w:rsidRDefault="00546CA6" w:rsidP="00D0271A">
      <w:pPr>
        <w:rPr>
          <w:rFonts w:ascii="Times New Roman" w:eastAsiaTheme="minorEastAsia" w:hAnsi="Times New Roman" w:cs="Times New Roman"/>
          <w:sz w:val="24"/>
        </w:rPr>
      </w:pPr>
      <w:r w:rsidRPr="00546CA6">
        <w:rPr>
          <w:rFonts w:ascii="Times New Roman" w:eastAsiaTheme="minorEastAsia" w:hAnsi="Times New Roman" w:cs="Times New Roman"/>
          <w:sz w:val="24"/>
        </w:rPr>
        <w:t xml:space="preserve">We model the parameters </w:t>
      </w:r>
      <w:r w:rsidR="00EA63D9">
        <w:rPr>
          <w:rFonts w:ascii="Times New Roman" w:eastAsiaTheme="minorEastAsia" w:hAnsi="Times New Roman" w:cs="Times New Roman"/>
          <w:sz w:val="24"/>
        </w:rPr>
        <w:t>and observations hierarchically via the following Bayesian hierarchical model</w:t>
      </w:r>
    </w:p>
    <w:p w:rsidR="00546CA6" w:rsidRPr="00546CA6" w:rsidRDefault="00AA3B7E" w:rsidP="00D0271A">
      <w:pPr>
        <w:rPr>
          <w:rFonts w:ascii="Times New Roman" w:hAnsi="Times New Roman" w:cs="Times New Roman"/>
          <w:sz w:val="24"/>
        </w:rPr>
      </w:pPr>
      <m:oMathPara>
        <m:oMath>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i</m:t>
                  </m:r>
                </m:sup>
              </m:sSubSup>
            </m:e>
          </m:func>
          <m:r>
            <w:rPr>
              <w:rFonts w:ascii="Cambria Math" w:eastAsiaTheme="minorEastAsia" w:hAnsi="Cambria Math" w:cs="Times New Roman"/>
              <w:sz w:val="24"/>
            </w:rPr>
            <m:t xml:space="preserve"> ~ N</m:t>
          </m:r>
          <m:d>
            <m:dPr>
              <m:ctrlPr>
                <w:rPr>
                  <w:rFonts w:ascii="Cambria Math" w:eastAsiaTheme="minorEastAsia" w:hAnsi="Cambria Math" w:cs="Times New Roman"/>
                  <w:i/>
                  <w:sz w:val="24"/>
                </w:rPr>
              </m:ctrlPr>
            </m:dPr>
            <m:e>
              <m:sSub>
                <m:sSubPr>
                  <m:ctrlPr>
                    <w:rPr>
                      <w:rFonts w:ascii="Cambria Math" w:eastAsiaTheme="minorEastAsia" w:hAnsi="Cambria Math" w:cs="Times New Roman"/>
                      <w:b/>
                      <w:sz w:val="24"/>
                    </w:rPr>
                  </m:ctrlPr>
                </m:sSubPr>
                <m:e>
                  <m:r>
                    <m:rPr>
                      <m:sty m:val="b"/>
                    </m:rPr>
                    <w:rPr>
                      <w:rFonts w:ascii="Cambria Math" w:eastAsiaTheme="minorEastAsia" w:hAnsi="Cambria Math" w:cs="Times New Roman"/>
                      <w:sz w:val="24"/>
                    </w:rPr>
                    <m:t>X</m:t>
                  </m:r>
                </m:e>
                <m:sub>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 xml:space="preserve"> </m:t>
                      </m:r>
                    </m:sup>
                  </m:sSubSup>
                </m:sub>
              </m:sSub>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β</m:t>
                  </m:r>
                </m:e>
                <m:sub>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 xml:space="preserve"> </m:t>
                      </m:r>
                    </m:sup>
                  </m:sSubSup>
                </m:sub>
              </m:sSub>
              <m:r>
                <m:rPr>
                  <m:sty m:val="bi"/>
                </m:rP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9</m:t>
                          </m:r>
                        </m:sub>
                      </m:sSub>
                    </m:e>
                  </m:func>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e>
          </m:d>
        </m:oMath>
      </m:oMathPara>
    </w:p>
    <w:p w:rsidR="00546CA6" w:rsidRPr="00546CA6" w:rsidRDefault="00AA3B7E" w:rsidP="00546CA6">
      <w:pPr>
        <w:rPr>
          <w:rFonts w:ascii="Times New Roman" w:eastAsiaTheme="minorEastAsia"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i</m:t>
              </m:r>
            </m:sup>
          </m:sSup>
          <m:r>
            <w:rPr>
              <w:rFonts w:ascii="Cambria Math" w:eastAsiaTheme="minorEastAsia" w:hAnsi="Cambria Math" w:cs="Times New Roman"/>
              <w:sz w:val="24"/>
            </w:rPr>
            <m:t xml:space="preserve"> ~ N</m:t>
          </m:r>
          <m:d>
            <m:dPr>
              <m:ctrlPr>
                <w:rPr>
                  <w:rFonts w:ascii="Cambria Math" w:eastAsiaTheme="minorEastAsia" w:hAnsi="Cambria Math" w:cs="Times New Roman"/>
                  <w:i/>
                  <w:sz w:val="24"/>
                </w:rPr>
              </m:ctrlPr>
            </m:dPr>
            <m:e>
              <m:sSub>
                <m:sSubPr>
                  <m:ctrlPr>
                    <w:rPr>
                      <w:rFonts w:ascii="Cambria Math" w:eastAsiaTheme="minorEastAsia" w:hAnsi="Cambria Math" w:cs="Times New Roman"/>
                      <w:b/>
                      <w:sz w:val="24"/>
                    </w:rPr>
                  </m:ctrlPr>
                </m:sSubPr>
                <m:e>
                  <m:r>
                    <m:rPr>
                      <m:sty m:val="b"/>
                    </m:rPr>
                    <w:rPr>
                      <w:rFonts w:ascii="Cambria Math" w:eastAsiaTheme="minorEastAsia" w:hAnsi="Cambria Math" w:cs="Times New Roman"/>
                      <w:sz w:val="24"/>
                    </w:rPr>
                    <m:t>X</m:t>
                  </m:r>
                </m:e>
                <m:sub>
                  <m:r>
                    <w:rPr>
                      <w:rFonts w:ascii="Cambria Math" w:hAnsi="Cambria Math" w:cs="Times New Roman"/>
                      <w:sz w:val="24"/>
                    </w:rPr>
                    <m:t>b</m:t>
                  </m:r>
                </m:sub>
              </m:sSub>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β</m:t>
                  </m:r>
                </m:e>
                <m:sub>
                  <m:r>
                    <w:rPr>
                      <w:rFonts w:ascii="Cambria Math" w:hAnsi="Cambria Math" w:cs="Times New Roman"/>
                      <w:sz w:val="24"/>
                    </w:rPr>
                    <m:t>b</m:t>
                  </m:r>
                </m:sub>
              </m:sSub>
              <m:r>
                <m:rPr>
                  <m:sty m:val="bi"/>
                </m:rP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 xml:space="preserve">b </m:t>
                  </m:r>
                </m:sub>
                <m:sup>
                  <m:r>
                    <w:rPr>
                      <w:rFonts w:ascii="Cambria Math" w:eastAsiaTheme="minorEastAsia" w:hAnsi="Cambria Math" w:cs="Times New Roman"/>
                      <w:sz w:val="24"/>
                    </w:rPr>
                    <m:t>2</m:t>
                  </m:r>
                </m:sup>
              </m:sSubSup>
            </m:e>
          </m:d>
        </m:oMath>
      </m:oMathPara>
    </w:p>
    <w:p w:rsidR="00546CA6" w:rsidRPr="00910D72" w:rsidRDefault="00B36914" w:rsidP="00546CA6">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obs</m:t>
                  </m:r>
                </m:sub>
                <m:sup>
                  <m:r>
                    <w:rPr>
                      <w:rFonts w:ascii="Cambria Math" w:hAnsi="Cambria Math" w:cs="Times New Roman"/>
                      <w:sz w:val="24"/>
                    </w:rPr>
                    <m:t>i</m:t>
                  </m:r>
                </m:sup>
              </m:sSubSup>
            </m:e>
          </m:func>
          <m:r>
            <w:rPr>
              <w:rFonts w:ascii="Cambria Math" w:eastAsiaTheme="minorEastAsia" w:hAnsi="Cambria Math" w:cs="Times New Roman"/>
              <w:sz w:val="24"/>
            </w:rPr>
            <m:t xml:space="preserve"> ~ N</m:t>
          </m:r>
          <m:d>
            <m:dPr>
              <m:ctrlPr>
                <w:rPr>
                  <w:rFonts w:ascii="Cambria Math" w:eastAsiaTheme="minorEastAsia" w:hAnsi="Cambria Math" w:cs="Times New Roman"/>
                  <w:i/>
                  <w:sz w:val="24"/>
                </w:rPr>
              </m:ctrlPr>
            </m:dPr>
            <m:e>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i</m:t>
                      </m:r>
                    </m:sup>
                  </m:sSubSup>
                </m:e>
              </m:func>
              <m:r>
                <w:rPr>
                  <w:rFonts w:ascii="Cambria Math" w:eastAsiaTheme="minorEastAsia"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i</m:t>
                  </m:r>
                </m:sup>
              </m:sSup>
              <m:func>
                <m:funcPr>
                  <m:ctrlPr>
                    <w:rPr>
                      <w:rFonts w:ascii="Cambria Math" w:hAnsi="Cambria Math" w:cs="Times New Roman"/>
                      <w:i/>
                      <w:sz w:val="24"/>
                    </w:rPr>
                  </m:ctrlPr>
                </m:funcPr>
                <m:fName>
                  <m:r>
                    <m:rPr>
                      <m:sty m:val="p"/>
                    </m:rPr>
                    <w:rPr>
                      <w:rFonts w:ascii="Cambria Math" w:hAnsi="Cambria Math" w:cs="Times New Roman"/>
                      <w:sz w:val="24"/>
                    </w:rPr>
                    <m:t>log</m:t>
                  </m:r>
                </m:fName>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z</m:t>
                          </m:r>
                        </m:e>
                        <m:sub>
                          <m:r>
                            <w:rPr>
                              <w:rFonts w:ascii="Cambria Math" w:hAnsi="Cambria Math" w:cs="Times New Roman"/>
                              <w:sz w:val="24"/>
                            </w:rPr>
                            <m:t>obs</m:t>
                          </m:r>
                        </m:sub>
                        <m:sup>
                          <m:r>
                            <w:rPr>
                              <w:rFonts w:ascii="Cambria Math" w:hAnsi="Cambria Math" w:cs="Times New Roman"/>
                              <w:sz w:val="24"/>
                            </w:rPr>
                            <m:t>i</m:t>
                          </m:r>
                        </m:sup>
                      </m:sSubSup>
                    </m:num>
                    <m:den>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0</m:t>
                          </m:r>
                        </m:sub>
                      </m:sSub>
                    </m:den>
                  </m:f>
                </m:e>
              </m:func>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obs</m:t>
                  </m:r>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e>
          </m:d>
        </m:oMath>
      </m:oMathPara>
    </w:p>
    <w:p w:rsidR="002F6868" w:rsidRPr="00EA63D9" w:rsidRDefault="00EA63D9" w:rsidP="00546CA6">
      <w:pPr>
        <w:rPr>
          <w:rFonts w:ascii="Times New Roman" w:eastAsiaTheme="minorEastAsia" w:hAnsi="Times New Roman" w:cs="Times New Roman"/>
          <w:sz w:val="24"/>
        </w:rPr>
      </w:pPr>
      <w:proofErr w:type="gramStart"/>
      <w:r>
        <w:rPr>
          <w:rFonts w:ascii="Times New Roman" w:eastAsiaTheme="minorEastAsia" w:hAnsi="Times New Roman" w:cs="Times New Roman"/>
          <w:sz w:val="24"/>
        </w:rPr>
        <w:t>where</w:t>
      </w:r>
      <w:proofErr w:type="gramEnd"/>
      <w:r>
        <w:rPr>
          <w:rFonts w:ascii="Times New Roman" w:eastAsiaTheme="minorEastAsia" w:hAnsi="Times New Roman" w:cs="Times New Roman"/>
          <w:sz w:val="24"/>
        </w:rPr>
        <w:t xml:space="preserve"> superscript </w:t>
      </w:r>
      <m:oMath>
        <m:r>
          <w:rPr>
            <w:rFonts w:ascii="Cambria Math" w:hAnsi="Cambria Math" w:cs="Times New Roman"/>
            <w:sz w:val="24"/>
          </w:rPr>
          <m:t>i</m:t>
        </m:r>
      </m:oMath>
      <w:r w:rsidR="00005026">
        <w:rPr>
          <w:rFonts w:ascii="Times New Roman" w:eastAsiaTheme="minorEastAsia" w:hAnsi="Times New Roman" w:cs="Times New Roman"/>
          <w:sz w:val="24"/>
        </w:rPr>
        <w:t xml:space="preserve"> indicates an individual observed flux profile at a particular location and at a particular time</w:t>
      </w:r>
      <w:r>
        <w:rPr>
          <w:rFonts w:ascii="Times New Roman" w:eastAsiaTheme="minorEastAsia" w:hAnsi="Times New Roman" w:cs="Times New Roman"/>
          <w:sz w:val="24"/>
        </w:rPr>
        <w:t xml:space="preserve">, matrix </w:t>
      </w:r>
      <m:oMath>
        <m:r>
          <m:rPr>
            <m:sty m:val="b"/>
          </m:rPr>
          <w:rPr>
            <w:rFonts w:ascii="Cambria Math" w:eastAsiaTheme="minorEastAsia" w:hAnsi="Cambria Math" w:cs="Times New Roman"/>
            <w:sz w:val="24"/>
          </w:rPr>
          <m:t>X</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is the regression ‘design matrix’ which contains the environmental data for the regression as columns </w:t>
      </w:r>
      <w:r w:rsidR="00B73689">
        <w:rPr>
          <w:rFonts w:ascii="Times New Roman" w:eastAsiaTheme="minorEastAsia" w:hAnsi="Times New Roman" w:cs="Times New Roman"/>
          <w:sz w:val="24"/>
        </w:rPr>
        <w:t>and</w:t>
      </w:r>
      <w:r>
        <w:rPr>
          <w:rFonts w:ascii="Times New Roman" w:eastAsiaTheme="minorEastAsia" w:hAnsi="Times New Roman" w:cs="Times New Roman"/>
          <w:sz w:val="24"/>
        </w:rPr>
        <w:t xml:space="preserve"> a vector of ones for the intercept. Probabilistically, </w:t>
      </w:r>
      <m:oMath>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i</m:t>
                </m:r>
              </m:sup>
            </m:sSubSup>
          </m:e>
        </m:func>
      </m:oMath>
      <w:r>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i</m:t>
            </m:r>
          </m:sup>
        </m:sSup>
      </m:oMath>
      <w:r>
        <w:rPr>
          <w:rFonts w:ascii="Times New Roman" w:eastAsiaTheme="minorEastAsia" w:hAnsi="Times New Roman" w:cs="Times New Roman"/>
          <w:sz w:val="24"/>
        </w:rPr>
        <w:t xml:space="preserve"> are distributed Normally, with mean given by the regression and error variance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9</m:t>
                    </m:r>
                  </m:sub>
                </m:sSub>
              </m:e>
            </m:func>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 xml:space="preserve">and </w:t>
      </w:r>
      <w:proofErr w:type="gramEnd"/>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 xml:space="preserve">b </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respectively. </w:t>
      </w:r>
    </w:p>
    <w:p w:rsidR="00EA63D9" w:rsidRDefault="00EA63D9" w:rsidP="00546CA6">
      <w:pPr>
        <w:rPr>
          <w:rFonts w:ascii="Times New Roman" w:eastAsiaTheme="minorEastAsia" w:hAnsi="Times New Roman" w:cs="Times New Roman"/>
          <w:sz w:val="24"/>
        </w:rPr>
      </w:pPr>
      <w:r>
        <w:rPr>
          <w:rFonts w:ascii="Times New Roman" w:eastAsiaTheme="minorEastAsia" w:hAnsi="Times New Roman" w:cs="Times New Roman"/>
          <w:sz w:val="24"/>
        </w:rPr>
        <w:t xml:space="preserve">The models are fit in the probabilistic programming language Stan </w:t>
      </w:r>
      <w:r>
        <w:rPr>
          <w:rFonts w:ascii="Times New Roman" w:eastAsiaTheme="minorEastAsia" w:hAnsi="Times New Roman" w:cs="Times New Roman"/>
          <w:sz w:val="24"/>
        </w:rPr>
        <w:fldChar w:fldCharType="begin" w:fldLock="1"/>
      </w:r>
      <w:r w:rsidR="00CE75F7">
        <w:rPr>
          <w:rFonts w:ascii="Times New Roman" w:eastAsiaTheme="minorEastAsia" w:hAnsi="Times New Roman" w:cs="Times New Roman"/>
          <w:sz w:val="24"/>
        </w:rPr>
        <w:instrText>ADDIN CSL_CITATION { "citationItems" : [ { "id" : "ITEM-1", "itemData" : { "abstract" : "Stan is a probabilistic programming language for specifying statistical models. A Stan program imperatively defines a log probability function over parameters conditioned on specified data and constants. As of version 2.2.0,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Broyden-Fletcher-Goldfarb-Shanno algorithm. Stan is also a platform for computing log densities and their gradients and Hessians, which can be used in alternative algorithms such as variational Bayes, expectation propa- 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through R using the RStan package, or through Python using the PyStan package. All three interfaces support sampling or optimization-based inference and analysis, and RStan and PyStan also provide access to log probabilities, gradients, Hessians, and data I/O.", "author" : [ { "dropping-particle" : "", "family" : "Carpenter", "given" : "Bob", "non-dropping-particle" : "", "parse-names" : false, "suffix" : "" }, { "dropping-particle" : "", "family" : "Gelman", "given" : "Andrew", "non-dropping-particle" : "", "parse-names" : false, "suffix" : "" }, { "dropping-particle" : "", "family" : "Hoffman", "given" : "Matt", "non-dropping-particle" : "", "parse-names" : false, "suffix" : "" }, { "dropping-particle" : "", "family" : "Lee", "given" : "Daniel", "non-dropping-particle" : "", "parse-names" : false, "suffix" : "" }, { "dropping-particle" : "", "family" : "Goodrich", "given" : "Ben", "non-dropping-particle" : "", "parse-names" : false, "suffix" : "" }, { "dropping-particle" : "", "family" : "Betancourt", "given" : "Michael", "non-dropping-particle" : "", "parse-names" : false, "suffix" : "" }, { "dropping-particle" : "", "family" : "Brubaker", "given" : "Marcus A.", "non-dropping-particle" : "", "parse-names" : false, "suffix" : "" }, { "dropping-particle" : "", "family" : "Li", "given" : "Peter", "non-dropping-particle" : "", "parse-names" : false, "suffix" : "" }, { "dropping-particle" : "", "family" : "Riddell", "given" : "Allen", "non-dropping-particle" : "", "parse-names" : false, "suffix" : "" } ], "container-title" : "Journal of Statistical Software", "id" : "ITEM-1", "issued" : { "date-parts" : [ [ "2016" ] ] }, "page" : "1-37", "title" : "Stan : A probabilistic programming language", "type" : "article-journal", "volume" : "1" }, "uris" : [ "http://www.mendeley.com/documents/?uuid=5296330a-c3d0-4bef-8e0f-abd821129e2a" ] } ], "mendeley" : { "formattedCitation" : "[&lt;i&gt;Carpenter et al.&lt;/i&gt;, 2016]", "plainTextFormattedCitation" : "[Carpenter et al., 2016]", "previouslyFormattedCitation" : "[&lt;i&gt;Carpenter et al.&lt;/i&gt;, 2016]" }, "properties" : { "noteIndex" : 0 }, "schema" : "https://github.com/citation-style-language/schema/raw/master/csl-citation.json" }</w:instrText>
      </w:r>
      <w:r>
        <w:rPr>
          <w:rFonts w:ascii="Times New Roman" w:eastAsiaTheme="minorEastAsia" w:hAnsi="Times New Roman" w:cs="Times New Roman"/>
          <w:sz w:val="24"/>
        </w:rPr>
        <w:fldChar w:fldCharType="separate"/>
      </w:r>
      <w:r w:rsidRPr="00EA63D9">
        <w:rPr>
          <w:rFonts w:ascii="Times New Roman" w:eastAsiaTheme="minorEastAsia" w:hAnsi="Times New Roman" w:cs="Times New Roman"/>
          <w:noProof/>
          <w:sz w:val="24"/>
        </w:rPr>
        <w:t>[</w:t>
      </w:r>
      <w:r w:rsidRPr="00EA63D9">
        <w:rPr>
          <w:rFonts w:ascii="Times New Roman" w:eastAsiaTheme="minorEastAsia" w:hAnsi="Times New Roman" w:cs="Times New Roman"/>
          <w:i/>
          <w:noProof/>
          <w:sz w:val="24"/>
        </w:rPr>
        <w:t>Carpenter et al.</w:t>
      </w:r>
      <w:r w:rsidRPr="00EA63D9">
        <w:rPr>
          <w:rFonts w:ascii="Times New Roman" w:eastAsiaTheme="minorEastAsia" w:hAnsi="Times New Roman" w:cs="Times New Roman"/>
          <w:noProof/>
          <w:sz w:val="24"/>
        </w:rPr>
        <w:t>, 2016]</w:t>
      </w:r>
      <w:r>
        <w:rPr>
          <w:rFonts w:ascii="Times New Roman" w:eastAsiaTheme="minorEastAsia" w:hAnsi="Times New Roman" w:cs="Times New Roman"/>
          <w:sz w:val="24"/>
        </w:rPr>
        <w:fldChar w:fldCharType="end"/>
      </w:r>
      <w:r>
        <w:rPr>
          <w:rFonts w:ascii="Times New Roman" w:eastAsiaTheme="minorEastAsia" w:hAnsi="Times New Roman" w:cs="Times New Roman"/>
          <w:sz w:val="24"/>
        </w:rPr>
        <w:t xml:space="preserve"> which performs highly efficient Markov Chain Monte Carlo</w:t>
      </w:r>
      <w:r w:rsidR="00083D3A">
        <w:rPr>
          <w:rFonts w:ascii="Times New Roman" w:eastAsiaTheme="minorEastAsia" w:hAnsi="Times New Roman" w:cs="Times New Roman"/>
          <w:sz w:val="24"/>
        </w:rPr>
        <w:t xml:space="preserve"> (MCMC)</w:t>
      </w:r>
      <w:r>
        <w:rPr>
          <w:rFonts w:ascii="Times New Roman" w:eastAsiaTheme="minorEastAsia" w:hAnsi="Times New Roman" w:cs="Times New Roman"/>
          <w:sz w:val="24"/>
        </w:rPr>
        <w:t xml:space="preserve"> to infer the posterior of the unknown model parameters, given the data and prior distributions on the parameters.</w:t>
      </w:r>
      <w:r w:rsidR="00083D3A">
        <w:rPr>
          <w:rFonts w:ascii="Times New Roman" w:eastAsiaTheme="minorEastAsia" w:hAnsi="Times New Roman" w:cs="Times New Roman"/>
          <w:sz w:val="24"/>
        </w:rPr>
        <w:t xml:space="preserve"> </w:t>
      </w:r>
      <w:bookmarkStart w:id="0" w:name="_GoBack"/>
      <w:bookmarkEnd w:id="0"/>
    </w:p>
    <w:p w:rsidR="00EA63D9" w:rsidRDefault="00EA63D9" w:rsidP="00546CA6">
      <w:pPr>
        <w:rPr>
          <w:rFonts w:ascii="Times New Roman" w:eastAsiaTheme="minorEastAsia" w:hAnsi="Times New Roman" w:cs="Times New Roman"/>
          <w:sz w:val="24"/>
        </w:rPr>
      </w:pPr>
    </w:p>
    <w:p w:rsidR="00910D72" w:rsidRPr="00546CA6" w:rsidRDefault="00910D72" w:rsidP="00546CA6">
      <w:pPr>
        <w:rPr>
          <w:rFonts w:ascii="Times New Roman" w:eastAsiaTheme="minorEastAsia" w:hAnsi="Times New Roman" w:cs="Times New Roman"/>
          <w:sz w:val="24"/>
        </w:rPr>
      </w:pPr>
      <w:r>
        <w:rPr>
          <w:rFonts w:ascii="Times New Roman" w:eastAsiaTheme="minorEastAsia" w:hAnsi="Times New Roman" w:cs="Times New Roman"/>
          <w:sz w:val="24"/>
        </w:rPr>
        <w:t>Table: Summary of environmental variables tested in this study</w:t>
      </w:r>
    </w:p>
    <w:tbl>
      <w:tblPr>
        <w:tblStyle w:val="TableGrid"/>
        <w:tblW w:w="10008" w:type="dxa"/>
        <w:tblLook w:val="04A0" w:firstRow="1" w:lastRow="0" w:firstColumn="1" w:lastColumn="0" w:noHBand="0" w:noVBand="1"/>
      </w:tblPr>
      <w:tblGrid>
        <w:gridCol w:w="2538"/>
        <w:gridCol w:w="7470"/>
      </w:tblGrid>
      <w:tr w:rsidR="00910D72" w:rsidTr="00142B09">
        <w:trPr>
          <w:trHeight w:val="276"/>
        </w:trPr>
        <w:tc>
          <w:tcPr>
            <w:tcW w:w="2538" w:type="dxa"/>
          </w:tcPr>
          <w:p w:rsidR="00910D72" w:rsidRPr="00910D72" w:rsidRDefault="00910D72" w:rsidP="00546CA6">
            <w:pPr>
              <w:rPr>
                <w:rFonts w:ascii="Times New Roman" w:hAnsi="Times New Roman" w:cs="Times New Roman"/>
                <w:b/>
                <w:sz w:val="24"/>
              </w:rPr>
            </w:pPr>
            <w:r w:rsidRPr="00910D72">
              <w:rPr>
                <w:rFonts w:ascii="Times New Roman" w:hAnsi="Times New Roman" w:cs="Times New Roman"/>
                <w:b/>
                <w:sz w:val="24"/>
              </w:rPr>
              <w:t>Variable</w:t>
            </w:r>
          </w:p>
        </w:tc>
        <w:tc>
          <w:tcPr>
            <w:tcW w:w="7470" w:type="dxa"/>
          </w:tcPr>
          <w:p w:rsidR="00910D72" w:rsidRPr="00910D72" w:rsidRDefault="00910D72" w:rsidP="00546CA6">
            <w:pPr>
              <w:rPr>
                <w:rFonts w:ascii="Times New Roman" w:hAnsi="Times New Roman" w:cs="Times New Roman"/>
                <w:b/>
                <w:sz w:val="24"/>
              </w:rPr>
            </w:pPr>
            <w:r w:rsidRPr="00910D72">
              <w:rPr>
                <w:rFonts w:ascii="Times New Roman" w:hAnsi="Times New Roman" w:cs="Times New Roman"/>
                <w:b/>
                <w:sz w:val="24"/>
              </w:rPr>
              <w:t>Hypothesis</w:t>
            </w:r>
          </w:p>
        </w:tc>
      </w:tr>
      <w:tr w:rsidR="00910D72" w:rsidTr="00142B09">
        <w:trPr>
          <w:trHeight w:val="276"/>
        </w:trPr>
        <w:tc>
          <w:tcPr>
            <w:tcW w:w="2538" w:type="dxa"/>
          </w:tcPr>
          <w:p w:rsidR="00910D72" w:rsidRDefault="00910D72" w:rsidP="00546CA6">
            <w:pPr>
              <w:rPr>
                <w:rFonts w:ascii="Times New Roman" w:hAnsi="Times New Roman" w:cs="Times New Roman"/>
                <w:sz w:val="24"/>
              </w:rPr>
            </w:pPr>
            <w:r>
              <w:rPr>
                <w:rFonts w:ascii="Times New Roman" w:hAnsi="Times New Roman" w:cs="Times New Roman"/>
                <w:sz w:val="24"/>
              </w:rPr>
              <w:t>Net primary productivity</w:t>
            </w:r>
          </w:p>
        </w:tc>
        <w:tc>
          <w:tcPr>
            <w:tcW w:w="7470" w:type="dxa"/>
          </w:tcPr>
          <w:p w:rsidR="00910D72" w:rsidRPr="00023C15" w:rsidRDefault="00AA3B7E" w:rsidP="00910D72">
            <w:pPr>
              <w:jc w:val="both"/>
              <w:rPr>
                <w:rFonts w:ascii="Times New Roman" w:eastAsiaTheme="minorEastAsia" w:hAnsi="Times New Roman" w:cs="Times New Roman"/>
                <w:b/>
                <w:sz w:val="24"/>
              </w:rPr>
            </w:pPr>
            <m:oMath>
              <m:sSub>
                <m:sSubPr>
                  <m:ctrlPr>
                    <w:rPr>
                      <w:rFonts w:ascii="Cambria Math" w:hAnsi="Cambria Math" w:cs="Times New Roman"/>
                      <w:b/>
                      <w:i/>
                      <w:sz w:val="24"/>
                    </w:rPr>
                  </m:ctrlPr>
                </m:sSubPr>
                <m:e>
                  <m:r>
                    <m:rPr>
                      <m:sty m:val="bi"/>
                    </m:rPr>
                    <w:rPr>
                      <w:rFonts w:ascii="Cambria Math" w:hAnsi="Cambria Math" w:cs="Times New Roman"/>
                      <w:sz w:val="24"/>
                    </w:rPr>
                    <m:t>J</m:t>
                  </m:r>
                </m:e>
                <m:sub>
                  <m:r>
                    <m:rPr>
                      <m:sty m:val="bi"/>
                    </m:rPr>
                    <w:rPr>
                      <w:rFonts w:ascii="Cambria Math" w:hAnsi="Cambria Math" w:cs="Times New Roman"/>
                      <w:sz w:val="24"/>
                    </w:rPr>
                    <m:t>0</m:t>
                  </m:r>
                </m:sub>
              </m:sSub>
            </m:oMath>
            <w:r w:rsidR="00910D72" w:rsidRPr="00023C15">
              <w:rPr>
                <w:rFonts w:ascii="Times New Roman" w:eastAsiaTheme="minorEastAsia" w:hAnsi="Times New Roman" w:cs="Times New Roman"/>
                <w:b/>
                <w:sz w:val="24"/>
              </w:rPr>
              <w:t>: high rates of organic matter production in the euphotic zone will drive a larger flux at the base of euphotic zone</w:t>
            </w:r>
          </w:p>
          <w:p w:rsidR="00910D72" w:rsidRDefault="00910D72" w:rsidP="00023C15">
            <w:pPr>
              <w:jc w:val="both"/>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Higher productivity may indicate larger diatom-like </w:t>
            </w:r>
            <w:r w:rsidR="00023C15">
              <w:rPr>
                <w:rFonts w:ascii="Times New Roman" w:eastAsiaTheme="minorEastAsia" w:hAnsi="Times New Roman" w:cs="Times New Roman"/>
                <w:sz w:val="24"/>
              </w:rPr>
              <w:t>c</w:t>
            </w:r>
            <w:r>
              <w:rPr>
                <w:rFonts w:ascii="Times New Roman" w:eastAsiaTheme="minorEastAsia" w:hAnsi="Times New Roman" w:cs="Times New Roman"/>
                <w:sz w:val="24"/>
              </w:rPr>
              <w:t>ells that may sink more quickly</w:t>
            </w:r>
          </w:p>
        </w:tc>
      </w:tr>
      <w:tr w:rsidR="00910D72" w:rsidTr="00142B09">
        <w:trPr>
          <w:trHeight w:val="276"/>
        </w:trPr>
        <w:tc>
          <w:tcPr>
            <w:tcW w:w="2538" w:type="dxa"/>
          </w:tcPr>
          <w:p w:rsidR="00910D72" w:rsidRDefault="00910D72" w:rsidP="00546CA6">
            <w:pPr>
              <w:rPr>
                <w:rFonts w:ascii="Times New Roman" w:hAnsi="Times New Roman" w:cs="Times New Roman"/>
                <w:sz w:val="24"/>
              </w:rPr>
            </w:pPr>
            <w:r>
              <w:rPr>
                <w:rFonts w:ascii="Times New Roman" w:hAnsi="Times New Roman" w:cs="Times New Roman"/>
                <w:sz w:val="24"/>
              </w:rPr>
              <w:t>Sea surface temperature</w:t>
            </w:r>
          </w:p>
        </w:tc>
        <w:tc>
          <w:tcPr>
            <w:tcW w:w="7470" w:type="dxa"/>
          </w:tcPr>
          <w:p w:rsidR="00910D72" w:rsidRDefault="00AA3B7E" w:rsidP="00546CA6">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sidR="00910D72">
              <w:rPr>
                <w:rFonts w:ascii="Times New Roman" w:eastAsiaTheme="minorEastAsia" w:hAnsi="Times New Roman" w:cs="Times New Roman"/>
                <w:sz w:val="24"/>
              </w:rPr>
              <w:t xml:space="preserve">: As a proxy for temperature in the euphotic zone </w:t>
            </w:r>
          </w:p>
          <w:p w:rsidR="00910D72" w:rsidRDefault="00115816" w:rsidP="00546CA6">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w:t>
            </w:r>
          </w:p>
        </w:tc>
      </w:tr>
      <w:tr w:rsidR="002F6868" w:rsidTr="00142B09">
        <w:trPr>
          <w:trHeight w:val="276"/>
        </w:trPr>
        <w:tc>
          <w:tcPr>
            <w:tcW w:w="2538" w:type="dxa"/>
          </w:tcPr>
          <w:p w:rsidR="002F6868" w:rsidRDefault="002F6868" w:rsidP="004B2C5C">
            <w:pPr>
              <w:rPr>
                <w:rFonts w:ascii="Times New Roman" w:hAnsi="Times New Roman" w:cs="Times New Roman"/>
                <w:sz w:val="24"/>
              </w:rPr>
            </w:pPr>
            <w:r>
              <w:rPr>
                <w:rFonts w:ascii="Times New Roman" w:hAnsi="Times New Roman" w:cs="Times New Roman"/>
                <w:sz w:val="24"/>
              </w:rPr>
              <w:t>Surface nutrient concentration</w:t>
            </w:r>
          </w:p>
        </w:tc>
        <w:tc>
          <w:tcPr>
            <w:tcW w:w="7470" w:type="dxa"/>
          </w:tcPr>
          <w:p w:rsidR="002F6868" w:rsidRDefault="00AA3B7E" w:rsidP="004B2C5C">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sidR="002F6868">
              <w:rPr>
                <w:rFonts w:ascii="Times New Roman" w:eastAsiaTheme="minorEastAsia" w:hAnsi="Times New Roman" w:cs="Times New Roman"/>
                <w:sz w:val="24"/>
              </w:rPr>
              <w:t>: Export is related to surface nutrient</w:t>
            </w:r>
          </w:p>
          <w:p w:rsidR="002F6868" w:rsidRDefault="002F6868" w:rsidP="004B2C5C">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r w:rsidR="002F6868" w:rsidTr="00142B09">
        <w:trPr>
          <w:trHeight w:val="276"/>
        </w:trPr>
        <w:tc>
          <w:tcPr>
            <w:tcW w:w="2538" w:type="dxa"/>
          </w:tcPr>
          <w:p w:rsidR="002F6868" w:rsidRDefault="002F6868" w:rsidP="004B2C5C">
            <w:pPr>
              <w:rPr>
                <w:rFonts w:ascii="Times New Roman" w:hAnsi="Times New Roman" w:cs="Times New Roman"/>
                <w:sz w:val="24"/>
              </w:rPr>
            </w:pPr>
            <w:r>
              <w:rPr>
                <w:rFonts w:ascii="Times New Roman" w:hAnsi="Times New Roman" w:cs="Times New Roman"/>
                <w:sz w:val="24"/>
              </w:rPr>
              <w:t>Mineral ballast</w:t>
            </w:r>
          </w:p>
        </w:tc>
        <w:tc>
          <w:tcPr>
            <w:tcW w:w="7470" w:type="dxa"/>
          </w:tcPr>
          <w:p w:rsidR="002F6868" w:rsidRDefault="00AA3B7E" w:rsidP="004B2C5C">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sidR="002F6868">
              <w:rPr>
                <w:rFonts w:ascii="Times New Roman" w:eastAsiaTheme="minorEastAsia" w:hAnsi="Times New Roman" w:cs="Times New Roman"/>
                <w:sz w:val="24"/>
              </w:rPr>
              <w:t xml:space="preserve">: </w:t>
            </w:r>
          </w:p>
          <w:p w:rsidR="002F6868" w:rsidRDefault="002F6868" w:rsidP="004B2C5C">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r w:rsidR="002F6868" w:rsidTr="00142B09">
        <w:trPr>
          <w:trHeight w:val="276"/>
        </w:trPr>
        <w:tc>
          <w:tcPr>
            <w:tcW w:w="2538" w:type="dxa"/>
          </w:tcPr>
          <w:p w:rsidR="002F6868" w:rsidRDefault="002F6868" w:rsidP="004B2C5C">
            <w:pPr>
              <w:rPr>
                <w:rFonts w:ascii="Times New Roman" w:hAnsi="Times New Roman" w:cs="Times New Roman"/>
                <w:sz w:val="24"/>
              </w:rPr>
            </w:pPr>
            <w:r>
              <w:rPr>
                <w:rFonts w:ascii="Times New Roman" w:hAnsi="Times New Roman" w:cs="Times New Roman"/>
                <w:sz w:val="24"/>
              </w:rPr>
              <w:t>Phytoplankton cell size</w:t>
            </w:r>
          </w:p>
        </w:tc>
        <w:tc>
          <w:tcPr>
            <w:tcW w:w="7470" w:type="dxa"/>
          </w:tcPr>
          <w:p w:rsidR="002F6868" w:rsidRDefault="00AA3B7E" w:rsidP="004B2C5C">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sidR="002F6868">
              <w:rPr>
                <w:rFonts w:ascii="Times New Roman" w:eastAsiaTheme="minorEastAsia" w:hAnsi="Times New Roman" w:cs="Times New Roman"/>
                <w:sz w:val="24"/>
              </w:rPr>
              <w:t xml:space="preserve">: </w:t>
            </w:r>
          </w:p>
          <w:p w:rsidR="002F6868" w:rsidRDefault="002F6868" w:rsidP="004B2C5C">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r w:rsidR="002F6868" w:rsidTr="00142B09">
        <w:trPr>
          <w:trHeight w:val="276"/>
        </w:trPr>
        <w:tc>
          <w:tcPr>
            <w:tcW w:w="2538" w:type="dxa"/>
          </w:tcPr>
          <w:p w:rsidR="002F6868" w:rsidRDefault="002F6868" w:rsidP="00546CA6">
            <w:pPr>
              <w:rPr>
                <w:rFonts w:ascii="Times New Roman" w:hAnsi="Times New Roman" w:cs="Times New Roman"/>
                <w:sz w:val="24"/>
              </w:rPr>
            </w:pPr>
            <w:r>
              <w:rPr>
                <w:rFonts w:ascii="Times New Roman" w:hAnsi="Times New Roman" w:cs="Times New Roman"/>
                <w:sz w:val="24"/>
              </w:rPr>
              <w:t>Subsurface temperature</w:t>
            </w:r>
          </w:p>
        </w:tc>
        <w:tc>
          <w:tcPr>
            <w:tcW w:w="7470" w:type="dxa"/>
          </w:tcPr>
          <w:p w:rsidR="002F6868" w:rsidRDefault="00AA3B7E" w:rsidP="00115816">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sidR="002F6868">
              <w:rPr>
                <w:rFonts w:ascii="Times New Roman" w:eastAsiaTheme="minorEastAsia" w:hAnsi="Times New Roman" w:cs="Times New Roman"/>
                <w:sz w:val="24"/>
              </w:rPr>
              <w:t xml:space="preserve">: No direct interaction </w:t>
            </w:r>
          </w:p>
          <w:p w:rsidR="002F6868" w:rsidRDefault="002F6868" w:rsidP="00115816">
            <w:pPr>
              <w:rPr>
                <w:rFonts w:ascii="Times New Roman" w:hAnsi="Times New Roman" w:cs="Times New Roman"/>
                <w:sz w:val="24"/>
              </w:rPr>
            </w:pPr>
            <m:oMath>
              <m:r>
                <w:rPr>
                  <w:rFonts w:ascii="Cambria Math" w:hAnsi="Cambria Math" w:cs="Times New Roman"/>
                  <w:sz w:val="24"/>
                </w:rPr>
                <w:lastRenderedPageBreak/>
                <m:t>b</m:t>
              </m:r>
            </m:oMath>
            <w:r>
              <w:rPr>
                <w:rFonts w:ascii="Times New Roman" w:eastAsiaTheme="minorEastAsia" w:hAnsi="Times New Roman" w:cs="Times New Roman"/>
                <w:sz w:val="24"/>
              </w:rPr>
              <w:t xml:space="preserve">: Higher subsurface temperature increases viscosity leads to deeper remineralization. </w:t>
            </w:r>
          </w:p>
        </w:tc>
      </w:tr>
      <w:tr w:rsidR="002F6868" w:rsidTr="00142B09">
        <w:trPr>
          <w:trHeight w:val="276"/>
        </w:trPr>
        <w:tc>
          <w:tcPr>
            <w:tcW w:w="2538" w:type="dxa"/>
          </w:tcPr>
          <w:p w:rsidR="002F6868" w:rsidRDefault="002F6868" w:rsidP="00546CA6">
            <w:pPr>
              <w:rPr>
                <w:rFonts w:ascii="Times New Roman" w:hAnsi="Times New Roman" w:cs="Times New Roman"/>
                <w:sz w:val="24"/>
              </w:rPr>
            </w:pPr>
            <w:r>
              <w:rPr>
                <w:rFonts w:ascii="Times New Roman" w:hAnsi="Times New Roman" w:cs="Times New Roman"/>
                <w:sz w:val="24"/>
              </w:rPr>
              <w:lastRenderedPageBreak/>
              <w:t>Subsurface oxygen concentration</w:t>
            </w:r>
          </w:p>
        </w:tc>
        <w:tc>
          <w:tcPr>
            <w:tcW w:w="7470" w:type="dxa"/>
          </w:tcPr>
          <w:p w:rsidR="002F6868" w:rsidRDefault="00AA3B7E" w:rsidP="00115816">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sidR="002F6868">
              <w:rPr>
                <w:rFonts w:ascii="Times New Roman" w:eastAsiaTheme="minorEastAsia" w:hAnsi="Times New Roman" w:cs="Times New Roman"/>
                <w:sz w:val="24"/>
              </w:rPr>
              <w:t xml:space="preserve">: </w:t>
            </w:r>
          </w:p>
          <w:p w:rsidR="002F6868" w:rsidRDefault="002F6868" w:rsidP="00115816">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bl>
    <w:p w:rsidR="00546CA6" w:rsidRDefault="00546CA6" w:rsidP="00D0271A">
      <w:pPr>
        <w:rPr>
          <w:rFonts w:ascii="Times New Roman" w:hAnsi="Times New Roman" w:cs="Times New Roman"/>
          <w:sz w:val="24"/>
        </w:rPr>
      </w:pPr>
    </w:p>
    <w:p w:rsidR="00142B09" w:rsidRDefault="00142B09" w:rsidP="00D0271A">
      <w:pPr>
        <w:rPr>
          <w:rFonts w:ascii="Times New Roman" w:hAnsi="Times New Roman" w:cs="Times New Roman"/>
          <w:sz w:val="24"/>
        </w:rPr>
      </w:pPr>
    </w:p>
    <w:p w:rsidR="00142B09" w:rsidRPr="00142B09" w:rsidRDefault="00142B09" w:rsidP="00D0271A">
      <w:pPr>
        <w:rPr>
          <w:rFonts w:ascii="Times New Roman" w:hAnsi="Times New Roman" w:cs="Times New Roman"/>
          <w:i/>
          <w:sz w:val="24"/>
        </w:rPr>
      </w:pPr>
      <w:r w:rsidRPr="00142B09">
        <w:rPr>
          <w:rFonts w:ascii="Times New Roman" w:hAnsi="Times New Roman" w:cs="Times New Roman"/>
          <w:i/>
          <w:sz w:val="24"/>
        </w:rPr>
        <w:t>Bayesian model selection</w:t>
      </w:r>
    </w:p>
    <w:p w:rsidR="00142B09" w:rsidRDefault="00142B09" w:rsidP="00D0271A">
      <w:pPr>
        <w:rPr>
          <w:rFonts w:ascii="Times New Roman" w:hAnsi="Times New Roman" w:cs="Times New Roman"/>
          <w:sz w:val="24"/>
        </w:rPr>
      </w:pPr>
      <w:r>
        <w:rPr>
          <w:rFonts w:ascii="Times New Roman" w:hAnsi="Times New Roman" w:cs="Times New Roman"/>
          <w:sz w:val="24"/>
        </w:rPr>
        <w:t xml:space="preserve">We compare the fits of the models via a Bayesian hypothesis testing framework. </w:t>
      </w:r>
    </w:p>
    <w:p w:rsidR="00142B09" w:rsidRPr="00546CA6" w:rsidRDefault="00142B09" w:rsidP="00D0271A">
      <w:pPr>
        <w:rPr>
          <w:rFonts w:ascii="Times New Roman" w:hAnsi="Times New Roman" w:cs="Times New Roman"/>
          <w:sz w:val="24"/>
        </w:rPr>
      </w:pPr>
    </w:p>
    <w:p w:rsidR="00D0271A" w:rsidRPr="00E75529" w:rsidRDefault="00D0271A" w:rsidP="00D0271A">
      <w:pPr>
        <w:rPr>
          <w:rFonts w:ascii="Times New Roman" w:hAnsi="Times New Roman" w:cs="Times New Roman"/>
          <w:b/>
          <w:sz w:val="24"/>
        </w:rPr>
      </w:pPr>
      <w:r w:rsidRPr="00E75529">
        <w:rPr>
          <w:rFonts w:ascii="Times New Roman" w:hAnsi="Times New Roman" w:cs="Times New Roman"/>
          <w:b/>
          <w:sz w:val="24"/>
        </w:rPr>
        <w:t>Results</w:t>
      </w:r>
    </w:p>
    <w:p w:rsidR="00D0271A" w:rsidRPr="00546CA6" w:rsidRDefault="00D0271A" w:rsidP="00D0271A">
      <w:pPr>
        <w:rPr>
          <w:rFonts w:ascii="Times New Roman" w:hAnsi="Times New Roman" w:cs="Times New Roman"/>
          <w:sz w:val="24"/>
        </w:rPr>
      </w:pPr>
    </w:p>
    <w:p w:rsidR="00546CA6" w:rsidRPr="00546CA6" w:rsidRDefault="00546CA6" w:rsidP="00D0271A">
      <w:pPr>
        <w:rPr>
          <w:rFonts w:ascii="Times New Roman" w:hAnsi="Times New Roman" w:cs="Times New Roman"/>
          <w:sz w:val="24"/>
        </w:rPr>
      </w:pPr>
    </w:p>
    <w:p w:rsidR="00D0271A" w:rsidRPr="00BE596B" w:rsidRDefault="00D0271A" w:rsidP="00D0271A">
      <w:pPr>
        <w:rPr>
          <w:rFonts w:ascii="Times New Roman" w:hAnsi="Times New Roman" w:cs="Times New Roman"/>
          <w:b/>
          <w:sz w:val="24"/>
          <w:szCs w:val="24"/>
        </w:rPr>
      </w:pPr>
      <w:r w:rsidRPr="00BE596B">
        <w:rPr>
          <w:rFonts w:ascii="Times New Roman" w:hAnsi="Times New Roman" w:cs="Times New Roman"/>
          <w:b/>
          <w:sz w:val="24"/>
          <w:szCs w:val="24"/>
        </w:rPr>
        <w:t>Discussion</w:t>
      </w:r>
    </w:p>
    <w:p w:rsidR="00D0271A" w:rsidRDefault="00D0271A" w:rsidP="00D0271A">
      <w:pPr>
        <w:rPr>
          <w:rFonts w:ascii="Times New Roman" w:hAnsi="Times New Roman" w:cs="Times New Roman"/>
          <w:sz w:val="24"/>
          <w:szCs w:val="24"/>
        </w:rPr>
      </w:pPr>
    </w:p>
    <w:p w:rsidR="00ED16B9" w:rsidRDefault="00ED16B9" w:rsidP="00D0271A">
      <w:pPr>
        <w:rPr>
          <w:rFonts w:ascii="Times New Roman" w:hAnsi="Times New Roman" w:cs="Times New Roman"/>
          <w:b/>
          <w:sz w:val="24"/>
          <w:szCs w:val="24"/>
        </w:rPr>
      </w:pPr>
      <w:r>
        <w:rPr>
          <w:rFonts w:ascii="Times New Roman" w:hAnsi="Times New Roman" w:cs="Times New Roman"/>
          <w:b/>
          <w:sz w:val="24"/>
          <w:szCs w:val="24"/>
        </w:rPr>
        <w:t>Acknowledgements</w:t>
      </w:r>
    </w:p>
    <w:p w:rsidR="00ED16B9" w:rsidRPr="00ED16B9" w:rsidRDefault="00ED16B9" w:rsidP="00D0271A">
      <w:pPr>
        <w:rPr>
          <w:rFonts w:ascii="Times New Roman" w:hAnsi="Times New Roman" w:cs="Times New Roman"/>
          <w:sz w:val="24"/>
          <w:szCs w:val="24"/>
        </w:rPr>
      </w:pPr>
      <w:r>
        <w:rPr>
          <w:rFonts w:ascii="Times New Roman" w:hAnsi="Times New Roman" w:cs="Times New Roman"/>
          <w:sz w:val="24"/>
          <w:szCs w:val="24"/>
        </w:rPr>
        <w:t xml:space="preserve">The analysis was </w:t>
      </w:r>
      <w:r w:rsidR="00515323">
        <w:rPr>
          <w:rFonts w:ascii="Times New Roman" w:hAnsi="Times New Roman" w:cs="Times New Roman"/>
          <w:sz w:val="24"/>
          <w:szCs w:val="24"/>
        </w:rPr>
        <w:t xml:space="preserve">a class project as </w:t>
      </w:r>
      <w:r>
        <w:rPr>
          <w:rFonts w:ascii="Times New Roman" w:hAnsi="Times New Roman" w:cs="Times New Roman"/>
          <w:sz w:val="24"/>
          <w:szCs w:val="24"/>
        </w:rPr>
        <w:t xml:space="preserve">part of a two-quarter seminar in Bayesian Modeling for Earth System Science in the Department of Earth System Science, University of California, </w:t>
      </w:r>
      <w:proofErr w:type="gramStart"/>
      <w:r>
        <w:rPr>
          <w:rFonts w:ascii="Times New Roman" w:hAnsi="Times New Roman" w:cs="Times New Roman"/>
          <w:sz w:val="24"/>
          <w:szCs w:val="24"/>
        </w:rPr>
        <w:t>Irvine</w:t>
      </w:r>
      <w:proofErr w:type="gramEnd"/>
      <w:r w:rsidR="00ED255F">
        <w:rPr>
          <w:rFonts w:ascii="Times New Roman" w:hAnsi="Times New Roman" w:cs="Times New Roman"/>
          <w:sz w:val="24"/>
          <w:szCs w:val="24"/>
        </w:rPr>
        <w:t>.</w:t>
      </w:r>
      <w:r>
        <w:rPr>
          <w:rFonts w:ascii="Times New Roman" w:hAnsi="Times New Roman" w:cs="Times New Roman"/>
          <w:sz w:val="24"/>
          <w:szCs w:val="24"/>
        </w:rPr>
        <w:t xml:space="preserve">  </w:t>
      </w:r>
    </w:p>
    <w:p w:rsidR="00BE596B" w:rsidRPr="00546CA6" w:rsidRDefault="00BE596B" w:rsidP="00D0271A">
      <w:pPr>
        <w:rPr>
          <w:rFonts w:ascii="Times New Roman" w:hAnsi="Times New Roman" w:cs="Times New Roman"/>
          <w:sz w:val="24"/>
          <w:szCs w:val="24"/>
        </w:rPr>
      </w:pPr>
    </w:p>
    <w:p w:rsidR="00D0271A" w:rsidRPr="00BE596B" w:rsidRDefault="00D0271A" w:rsidP="00D0271A">
      <w:pPr>
        <w:rPr>
          <w:rFonts w:ascii="Times New Roman" w:hAnsi="Times New Roman" w:cs="Times New Roman"/>
          <w:b/>
          <w:sz w:val="24"/>
          <w:szCs w:val="24"/>
        </w:rPr>
      </w:pPr>
      <w:r w:rsidRPr="00BE596B">
        <w:rPr>
          <w:rFonts w:ascii="Times New Roman" w:hAnsi="Times New Roman" w:cs="Times New Roman"/>
          <w:b/>
          <w:sz w:val="24"/>
          <w:szCs w:val="24"/>
        </w:rPr>
        <w:t>References</w:t>
      </w:r>
    </w:p>
    <w:p w:rsidR="00CE75F7" w:rsidRPr="00CE75F7" w:rsidRDefault="00BE596B" w:rsidP="00CE75F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E75F7" w:rsidRPr="00CE75F7">
        <w:rPr>
          <w:rFonts w:ascii="Times New Roman" w:hAnsi="Times New Roman" w:cs="Times New Roman"/>
          <w:noProof/>
          <w:sz w:val="24"/>
          <w:szCs w:val="24"/>
        </w:rPr>
        <w:t xml:space="preserve">Carpenter, B., A. Gelman, M. Hoffman, D. Lee, B. Goodrich, M. Betancourt, M. A. Brubaker, P. Li, and A. Riddell (2016), Stan : A probabilistic programming language, </w:t>
      </w:r>
      <w:r w:rsidR="00CE75F7" w:rsidRPr="00CE75F7">
        <w:rPr>
          <w:rFonts w:ascii="Times New Roman" w:hAnsi="Times New Roman" w:cs="Times New Roman"/>
          <w:i/>
          <w:iCs/>
          <w:noProof/>
          <w:sz w:val="24"/>
          <w:szCs w:val="24"/>
        </w:rPr>
        <w:t>J. Stat. Softw.</w:t>
      </w:r>
      <w:r w:rsidR="00CE75F7" w:rsidRPr="00CE75F7">
        <w:rPr>
          <w:rFonts w:ascii="Times New Roman" w:hAnsi="Times New Roman" w:cs="Times New Roman"/>
          <w:noProof/>
          <w:sz w:val="24"/>
          <w:szCs w:val="24"/>
        </w:rPr>
        <w:t xml:space="preserve">, </w:t>
      </w:r>
      <w:r w:rsidR="00CE75F7" w:rsidRPr="00CE75F7">
        <w:rPr>
          <w:rFonts w:ascii="Times New Roman" w:hAnsi="Times New Roman" w:cs="Times New Roman"/>
          <w:i/>
          <w:iCs/>
          <w:noProof/>
          <w:sz w:val="24"/>
          <w:szCs w:val="24"/>
        </w:rPr>
        <w:t>1</w:t>
      </w:r>
      <w:r w:rsidR="00CE75F7" w:rsidRPr="00CE75F7">
        <w:rPr>
          <w:rFonts w:ascii="Times New Roman" w:hAnsi="Times New Roman" w:cs="Times New Roman"/>
          <w:noProof/>
          <w:sz w:val="24"/>
          <w:szCs w:val="24"/>
        </w:rPr>
        <w:t>, 1–37.</w:t>
      </w:r>
    </w:p>
    <w:p w:rsidR="00CE75F7" w:rsidRPr="00CE75F7" w:rsidRDefault="00CE75F7" w:rsidP="00CE75F7">
      <w:pPr>
        <w:widowControl w:val="0"/>
        <w:autoSpaceDE w:val="0"/>
        <w:autoSpaceDN w:val="0"/>
        <w:adjustRightInd w:val="0"/>
        <w:spacing w:line="240" w:lineRule="auto"/>
        <w:ind w:left="480" w:hanging="480"/>
        <w:rPr>
          <w:rFonts w:ascii="Times New Roman" w:hAnsi="Times New Roman" w:cs="Times New Roman"/>
          <w:noProof/>
          <w:sz w:val="24"/>
          <w:szCs w:val="24"/>
        </w:rPr>
      </w:pPr>
      <w:r w:rsidRPr="00CE75F7">
        <w:rPr>
          <w:rFonts w:ascii="Times New Roman" w:hAnsi="Times New Roman" w:cs="Times New Roman"/>
          <w:noProof/>
          <w:sz w:val="24"/>
          <w:szCs w:val="24"/>
        </w:rPr>
        <w:t xml:space="preserve">Kwon, E. Y., F. Primeau, and J. L. Sarmiento (2009), The impact of remineralization depth on the air–sea carbon balance, </w:t>
      </w:r>
      <w:r w:rsidRPr="00CE75F7">
        <w:rPr>
          <w:rFonts w:ascii="Times New Roman" w:hAnsi="Times New Roman" w:cs="Times New Roman"/>
          <w:i/>
          <w:iCs/>
          <w:noProof/>
          <w:sz w:val="24"/>
          <w:szCs w:val="24"/>
        </w:rPr>
        <w:t>Nat. Geosci.</w:t>
      </w:r>
      <w:r w:rsidRPr="00CE75F7">
        <w:rPr>
          <w:rFonts w:ascii="Times New Roman" w:hAnsi="Times New Roman" w:cs="Times New Roman"/>
          <w:noProof/>
          <w:sz w:val="24"/>
          <w:szCs w:val="24"/>
        </w:rPr>
        <w:t xml:space="preserve">, </w:t>
      </w:r>
      <w:r w:rsidRPr="00CE75F7">
        <w:rPr>
          <w:rFonts w:ascii="Times New Roman" w:hAnsi="Times New Roman" w:cs="Times New Roman"/>
          <w:i/>
          <w:iCs/>
          <w:noProof/>
          <w:sz w:val="24"/>
          <w:szCs w:val="24"/>
        </w:rPr>
        <w:t>2</w:t>
      </w:r>
      <w:r w:rsidRPr="00CE75F7">
        <w:rPr>
          <w:rFonts w:ascii="Times New Roman" w:hAnsi="Times New Roman" w:cs="Times New Roman"/>
          <w:noProof/>
          <w:sz w:val="24"/>
          <w:szCs w:val="24"/>
        </w:rPr>
        <w:t>(9), 630–635.</w:t>
      </w:r>
    </w:p>
    <w:p w:rsidR="00CE75F7" w:rsidRPr="00CE75F7" w:rsidRDefault="00CE75F7" w:rsidP="00CE75F7">
      <w:pPr>
        <w:widowControl w:val="0"/>
        <w:autoSpaceDE w:val="0"/>
        <w:autoSpaceDN w:val="0"/>
        <w:adjustRightInd w:val="0"/>
        <w:spacing w:line="240" w:lineRule="auto"/>
        <w:ind w:left="480" w:hanging="480"/>
        <w:rPr>
          <w:rFonts w:ascii="Times New Roman" w:hAnsi="Times New Roman" w:cs="Times New Roman"/>
          <w:noProof/>
          <w:sz w:val="24"/>
          <w:szCs w:val="24"/>
        </w:rPr>
      </w:pPr>
      <w:r w:rsidRPr="00CE75F7">
        <w:rPr>
          <w:rFonts w:ascii="Times New Roman" w:hAnsi="Times New Roman" w:cs="Times New Roman"/>
          <w:noProof/>
          <w:sz w:val="24"/>
          <w:szCs w:val="24"/>
        </w:rPr>
        <w:t xml:space="preserve">Martin, J. H., G. a. Knauer, D. M. Karl, and W. W. Broenkow (1987), VERTEX: carbon cycling in the northeast Pacific, </w:t>
      </w:r>
      <w:r w:rsidRPr="00CE75F7">
        <w:rPr>
          <w:rFonts w:ascii="Times New Roman" w:hAnsi="Times New Roman" w:cs="Times New Roman"/>
          <w:i/>
          <w:iCs/>
          <w:noProof/>
          <w:sz w:val="24"/>
          <w:szCs w:val="24"/>
        </w:rPr>
        <w:t>Deep Sea Res. Part A, Oceanogr. Res. Pap.</w:t>
      </w:r>
      <w:r w:rsidRPr="00CE75F7">
        <w:rPr>
          <w:rFonts w:ascii="Times New Roman" w:hAnsi="Times New Roman" w:cs="Times New Roman"/>
          <w:noProof/>
          <w:sz w:val="24"/>
          <w:szCs w:val="24"/>
        </w:rPr>
        <w:t xml:space="preserve">, </w:t>
      </w:r>
      <w:r w:rsidRPr="00CE75F7">
        <w:rPr>
          <w:rFonts w:ascii="Times New Roman" w:hAnsi="Times New Roman" w:cs="Times New Roman"/>
          <w:i/>
          <w:iCs/>
          <w:noProof/>
          <w:sz w:val="24"/>
          <w:szCs w:val="24"/>
        </w:rPr>
        <w:t>34</w:t>
      </w:r>
      <w:r w:rsidRPr="00CE75F7">
        <w:rPr>
          <w:rFonts w:ascii="Times New Roman" w:hAnsi="Times New Roman" w:cs="Times New Roman"/>
          <w:noProof/>
          <w:sz w:val="24"/>
          <w:szCs w:val="24"/>
        </w:rPr>
        <w:t>(2), 267–285.</w:t>
      </w:r>
    </w:p>
    <w:p w:rsidR="00CE75F7" w:rsidRPr="00CE75F7" w:rsidRDefault="00CE75F7" w:rsidP="00CE75F7">
      <w:pPr>
        <w:widowControl w:val="0"/>
        <w:autoSpaceDE w:val="0"/>
        <w:autoSpaceDN w:val="0"/>
        <w:adjustRightInd w:val="0"/>
        <w:spacing w:line="240" w:lineRule="auto"/>
        <w:ind w:left="480" w:hanging="480"/>
        <w:rPr>
          <w:rFonts w:ascii="Times New Roman" w:hAnsi="Times New Roman" w:cs="Times New Roman"/>
          <w:noProof/>
          <w:sz w:val="24"/>
        </w:rPr>
      </w:pPr>
      <w:r w:rsidRPr="00CE75F7">
        <w:rPr>
          <w:rFonts w:ascii="Times New Roman" w:hAnsi="Times New Roman" w:cs="Times New Roman"/>
          <w:noProof/>
          <w:sz w:val="24"/>
          <w:szCs w:val="24"/>
        </w:rPr>
        <w:t xml:space="preserve">Mouw, C. B., A. Barnett, G. A. Mckinley, L. Gloege, and D. Pilcher (2016), Global ocean particulate organic carbon flux merged with satellite parameters, </w:t>
      </w:r>
      <w:r w:rsidRPr="00CE75F7">
        <w:rPr>
          <w:rFonts w:ascii="Times New Roman" w:hAnsi="Times New Roman" w:cs="Times New Roman"/>
          <w:i/>
          <w:iCs/>
          <w:noProof/>
          <w:sz w:val="24"/>
          <w:szCs w:val="24"/>
        </w:rPr>
        <w:t>Earth Syst. Sci. Data</w:t>
      </w:r>
      <w:r w:rsidRPr="00CE75F7">
        <w:rPr>
          <w:rFonts w:ascii="Times New Roman" w:hAnsi="Times New Roman" w:cs="Times New Roman"/>
          <w:noProof/>
          <w:sz w:val="24"/>
          <w:szCs w:val="24"/>
        </w:rPr>
        <w:t xml:space="preserve">, </w:t>
      </w:r>
      <w:r w:rsidRPr="00CE75F7">
        <w:rPr>
          <w:rFonts w:ascii="Times New Roman" w:hAnsi="Times New Roman" w:cs="Times New Roman"/>
          <w:i/>
          <w:iCs/>
          <w:noProof/>
          <w:sz w:val="24"/>
          <w:szCs w:val="24"/>
        </w:rPr>
        <w:t>8</w:t>
      </w:r>
      <w:r w:rsidRPr="00CE75F7">
        <w:rPr>
          <w:rFonts w:ascii="Times New Roman" w:hAnsi="Times New Roman" w:cs="Times New Roman"/>
          <w:noProof/>
          <w:sz w:val="24"/>
          <w:szCs w:val="24"/>
        </w:rPr>
        <w:t>, 531–541.</w:t>
      </w:r>
    </w:p>
    <w:p w:rsidR="00270E8E" w:rsidRDefault="00BE596B" w:rsidP="00CE75F7">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p w:rsidR="00BE596B" w:rsidRPr="00546CA6" w:rsidRDefault="00BE596B">
      <w:pPr>
        <w:rPr>
          <w:rFonts w:ascii="Times New Roman" w:hAnsi="Times New Roman" w:cs="Times New Roman"/>
          <w:sz w:val="24"/>
          <w:szCs w:val="24"/>
        </w:rPr>
      </w:pPr>
    </w:p>
    <w:p w:rsidR="00546CA6" w:rsidRPr="00BE596B" w:rsidRDefault="00546CA6">
      <w:pPr>
        <w:rPr>
          <w:rFonts w:ascii="Times New Roman" w:hAnsi="Times New Roman" w:cs="Times New Roman"/>
          <w:b/>
          <w:sz w:val="24"/>
          <w:szCs w:val="24"/>
        </w:rPr>
      </w:pPr>
      <w:r w:rsidRPr="00BE596B">
        <w:rPr>
          <w:rFonts w:ascii="Times New Roman" w:hAnsi="Times New Roman" w:cs="Times New Roman"/>
          <w:b/>
          <w:sz w:val="24"/>
          <w:szCs w:val="24"/>
        </w:rPr>
        <w:t>Figures</w:t>
      </w:r>
    </w:p>
    <w:p w:rsidR="00546CA6" w:rsidRDefault="00ED255F">
      <w:pPr>
        <w:rPr>
          <w:rFonts w:ascii="Times New Roman" w:hAnsi="Times New Roman" w:cs="Times New Roman"/>
          <w:sz w:val="24"/>
          <w:szCs w:val="24"/>
        </w:rPr>
      </w:pPr>
      <w:r>
        <w:rPr>
          <w:rFonts w:ascii="Times New Roman" w:hAnsi="Times New Roman" w:cs="Times New Roman"/>
          <w:sz w:val="24"/>
          <w:szCs w:val="24"/>
        </w:rPr>
        <w:t xml:space="preserve">Figure: </w:t>
      </w:r>
      <w:r w:rsidR="009C73CB">
        <w:rPr>
          <w:rFonts w:ascii="Times New Roman" w:hAnsi="Times New Roman" w:cs="Times New Roman"/>
          <w:sz w:val="24"/>
          <w:szCs w:val="24"/>
        </w:rPr>
        <w:t>Trap</w:t>
      </w:r>
      <w:r>
        <w:rPr>
          <w:rFonts w:ascii="Times New Roman" w:hAnsi="Times New Roman" w:cs="Times New Roman"/>
          <w:sz w:val="24"/>
          <w:szCs w:val="24"/>
        </w:rPr>
        <w:t xml:space="preserve"> </w:t>
      </w:r>
      <w:r w:rsidR="009C73CB">
        <w:rPr>
          <w:rFonts w:ascii="Times New Roman" w:hAnsi="Times New Roman" w:cs="Times New Roman"/>
          <w:sz w:val="24"/>
          <w:szCs w:val="24"/>
        </w:rPr>
        <w:t xml:space="preserve">data </w:t>
      </w:r>
      <w:r>
        <w:rPr>
          <w:rFonts w:ascii="Times New Roman" w:hAnsi="Times New Roman" w:cs="Times New Roman"/>
          <w:sz w:val="24"/>
          <w:szCs w:val="24"/>
        </w:rPr>
        <w:t>distribution</w:t>
      </w:r>
    </w:p>
    <w:p w:rsidR="009C73CB" w:rsidRDefault="009C73CB">
      <w:pPr>
        <w:rPr>
          <w:rFonts w:ascii="Times New Roman" w:hAnsi="Times New Roman" w:cs="Times New Roman"/>
          <w:sz w:val="24"/>
          <w:szCs w:val="24"/>
        </w:rPr>
      </w:pPr>
      <w:r>
        <w:rPr>
          <w:rFonts w:ascii="Times New Roman" w:hAnsi="Times New Roman" w:cs="Times New Roman"/>
          <w:sz w:val="24"/>
          <w:szCs w:val="24"/>
        </w:rPr>
        <w:t>Figure: Environmental data distribution</w:t>
      </w:r>
    </w:p>
    <w:p w:rsidR="009C73CB" w:rsidRDefault="009C73CB">
      <w:pPr>
        <w:rPr>
          <w:rFonts w:ascii="Times New Roman" w:hAnsi="Times New Roman" w:cs="Times New Roman"/>
          <w:sz w:val="24"/>
          <w:szCs w:val="24"/>
        </w:rPr>
      </w:pPr>
      <w:r>
        <w:rPr>
          <w:rFonts w:ascii="Times New Roman" w:hAnsi="Times New Roman" w:cs="Times New Roman"/>
          <w:sz w:val="24"/>
          <w:szCs w:val="24"/>
        </w:rPr>
        <w:t>Figure/Table: Model selection results</w:t>
      </w:r>
    </w:p>
    <w:p w:rsidR="009C73CB" w:rsidRDefault="009C73CB">
      <w:pPr>
        <w:rPr>
          <w:rFonts w:ascii="Times New Roman" w:hAnsi="Times New Roman" w:cs="Times New Roman"/>
          <w:sz w:val="24"/>
          <w:szCs w:val="24"/>
        </w:rPr>
      </w:pPr>
      <w:r>
        <w:rPr>
          <w:rFonts w:ascii="Times New Roman" w:hAnsi="Times New Roman" w:cs="Times New Roman"/>
          <w:sz w:val="24"/>
          <w:szCs w:val="24"/>
        </w:rPr>
        <w:t>Figure: Analysis of best fitting relationships</w:t>
      </w:r>
    </w:p>
    <w:p w:rsidR="00ED255F" w:rsidRPr="00546CA6" w:rsidRDefault="00ED255F">
      <w:pPr>
        <w:rPr>
          <w:rFonts w:ascii="Times New Roman" w:hAnsi="Times New Roman" w:cs="Times New Roman"/>
          <w:sz w:val="24"/>
          <w:szCs w:val="24"/>
        </w:rPr>
      </w:pPr>
    </w:p>
    <w:sectPr w:rsidR="00ED255F" w:rsidRPr="00546CA6" w:rsidSect="001D2CD3">
      <w:headerReference w:type="firs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B7E" w:rsidRDefault="00AA3B7E" w:rsidP="001D2CD3">
      <w:pPr>
        <w:spacing w:after="0" w:line="240" w:lineRule="auto"/>
      </w:pPr>
      <w:r>
        <w:separator/>
      </w:r>
    </w:p>
  </w:endnote>
  <w:endnote w:type="continuationSeparator" w:id="0">
    <w:p w:rsidR="00AA3B7E" w:rsidRDefault="00AA3B7E" w:rsidP="001D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B7E" w:rsidRDefault="00AA3B7E" w:rsidP="001D2CD3">
      <w:pPr>
        <w:spacing w:after="0" w:line="240" w:lineRule="auto"/>
      </w:pPr>
      <w:r>
        <w:separator/>
      </w:r>
    </w:p>
  </w:footnote>
  <w:footnote w:type="continuationSeparator" w:id="0">
    <w:p w:rsidR="00AA3B7E" w:rsidRDefault="00AA3B7E" w:rsidP="001D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CD3" w:rsidRPr="001D2CD3" w:rsidRDefault="001D2CD3">
    <w:pPr>
      <w:pStyle w:val="Header"/>
      <w:rPr>
        <w:rFonts w:ascii="Times New Roman" w:hAnsi="Times New Roman" w:cs="Times New Roman"/>
      </w:rPr>
    </w:pPr>
    <w:r w:rsidRPr="001D2CD3">
      <w:rPr>
        <w:rFonts w:ascii="Times New Roman" w:hAnsi="Times New Roman" w:cs="Times New Roman"/>
      </w:rPr>
      <w:t>Dr</w:t>
    </w:r>
    <w:r>
      <w:rPr>
        <w:rFonts w:ascii="Times New Roman" w:hAnsi="Times New Roman" w:cs="Times New Roman"/>
      </w:rPr>
      <w:t>aft: 04/17/2018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368A6"/>
    <w:multiLevelType w:val="hybridMultilevel"/>
    <w:tmpl w:val="F0929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1A"/>
    <w:rsid w:val="00005026"/>
    <w:rsid w:val="00023C15"/>
    <w:rsid w:val="00083D3A"/>
    <w:rsid w:val="00115816"/>
    <w:rsid w:val="00142B09"/>
    <w:rsid w:val="001D2CD3"/>
    <w:rsid w:val="001D5AFF"/>
    <w:rsid w:val="002264D6"/>
    <w:rsid w:val="00270E8E"/>
    <w:rsid w:val="002F6868"/>
    <w:rsid w:val="00515323"/>
    <w:rsid w:val="00546CA6"/>
    <w:rsid w:val="00910D72"/>
    <w:rsid w:val="009C73CB"/>
    <w:rsid w:val="00AA3B7E"/>
    <w:rsid w:val="00B0789C"/>
    <w:rsid w:val="00B36914"/>
    <w:rsid w:val="00B73689"/>
    <w:rsid w:val="00BE596B"/>
    <w:rsid w:val="00C52A67"/>
    <w:rsid w:val="00C77E22"/>
    <w:rsid w:val="00CE75F7"/>
    <w:rsid w:val="00CE798D"/>
    <w:rsid w:val="00D0271A"/>
    <w:rsid w:val="00D82744"/>
    <w:rsid w:val="00E326A4"/>
    <w:rsid w:val="00E75529"/>
    <w:rsid w:val="00E840B7"/>
    <w:rsid w:val="00E87413"/>
    <w:rsid w:val="00EA63D9"/>
    <w:rsid w:val="00EB1EC5"/>
    <w:rsid w:val="00ED16B9"/>
    <w:rsid w:val="00ED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CA6"/>
    <w:rPr>
      <w:color w:val="808080"/>
    </w:rPr>
  </w:style>
  <w:style w:type="paragraph" w:styleId="BalloonText">
    <w:name w:val="Balloon Text"/>
    <w:basedOn w:val="Normal"/>
    <w:link w:val="BalloonTextChar"/>
    <w:uiPriority w:val="99"/>
    <w:semiHidden/>
    <w:unhideWhenUsed/>
    <w:rsid w:val="0054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A6"/>
    <w:rPr>
      <w:rFonts w:ascii="Tahoma" w:hAnsi="Tahoma" w:cs="Tahoma"/>
      <w:sz w:val="16"/>
      <w:szCs w:val="16"/>
    </w:rPr>
  </w:style>
  <w:style w:type="character" w:styleId="LineNumber">
    <w:name w:val="line number"/>
    <w:basedOn w:val="DefaultParagraphFont"/>
    <w:uiPriority w:val="99"/>
    <w:semiHidden/>
    <w:unhideWhenUsed/>
    <w:rsid w:val="00BE596B"/>
  </w:style>
  <w:style w:type="table" w:styleId="TableGrid">
    <w:name w:val="Table Grid"/>
    <w:basedOn w:val="TableNormal"/>
    <w:uiPriority w:val="59"/>
    <w:rsid w:val="00910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CD3"/>
  </w:style>
  <w:style w:type="paragraph" w:styleId="Footer">
    <w:name w:val="footer"/>
    <w:basedOn w:val="Normal"/>
    <w:link w:val="FooterChar"/>
    <w:uiPriority w:val="99"/>
    <w:unhideWhenUsed/>
    <w:rsid w:val="001D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CD3"/>
  </w:style>
  <w:style w:type="paragraph" w:styleId="ListParagraph">
    <w:name w:val="List Paragraph"/>
    <w:basedOn w:val="Normal"/>
    <w:uiPriority w:val="34"/>
    <w:qFormat/>
    <w:rsid w:val="00E326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CA6"/>
    <w:rPr>
      <w:color w:val="808080"/>
    </w:rPr>
  </w:style>
  <w:style w:type="paragraph" w:styleId="BalloonText">
    <w:name w:val="Balloon Text"/>
    <w:basedOn w:val="Normal"/>
    <w:link w:val="BalloonTextChar"/>
    <w:uiPriority w:val="99"/>
    <w:semiHidden/>
    <w:unhideWhenUsed/>
    <w:rsid w:val="0054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A6"/>
    <w:rPr>
      <w:rFonts w:ascii="Tahoma" w:hAnsi="Tahoma" w:cs="Tahoma"/>
      <w:sz w:val="16"/>
      <w:szCs w:val="16"/>
    </w:rPr>
  </w:style>
  <w:style w:type="character" w:styleId="LineNumber">
    <w:name w:val="line number"/>
    <w:basedOn w:val="DefaultParagraphFont"/>
    <w:uiPriority w:val="99"/>
    <w:semiHidden/>
    <w:unhideWhenUsed/>
    <w:rsid w:val="00BE596B"/>
  </w:style>
  <w:style w:type="table" w:styleId="TableGrid">
    <w:name w:val="Table Grid"/>
    <w:basedOn w:val="TableNormal"/>
    <w:uiPriority w:val="59"/>
    <w:rsid w:val="00910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CD3"/>
  </w:style>
  <w:style w:type="paragraph" w:styleId="Footer">
    <w:name w:val="footer"/>
    <w:basedOn w:val="Normal"/>
    <w:link w:val="FooterChar"/>
    <w:uiPriority w:val="99"/>
    <w:unhideWhenUsed/>
    <w:rsid w:val="001D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CD3"/>
  </w:style>
  <w:style w:type="paragraph" w:styleId="ListParagraph">
    <w:name w:val="List Paragraph"/>
    <w:basedOn w:val="Normal"/>
    <w:uiPriority w:val="34"/>
    <w:qFormat/>
    <w:rsid w:val="00E32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D4C74-15BA-4647-B03E-39DF02F5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7306</TotalTime>
  <Pages>4</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PHYTOGREG</dc:creator>
  <cp:lastModifiedBy>GREG</cp:lastModifiedBy>
  <cp:revision>16</cp:revision>
  <dcterms:created xsi:type="dcterms:W3CDTF">2018-04-15T04:15:00Z</dcterms:created>
  <dcterms:modified xsi:type="dcterms:W3CDTF">2018-04-23T16:02:00Z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4929753a-e3d9-328d-9e92-84f5ba0f371a</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