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b/>
          <w:color w:val="008080"/>
          <w:sz w:val="24"/>
        </w:rPr>
        <w:t>VIRTUAL DATA SCIENCE EXPLORER INTERNSHIP</w:t>
      </w:r>
    </w:p>
    <w:p>
      <w:pPr>
        <w:spacing w:after="160"/>
      </w:pPr>
      <w:r>
        <w:rPr>
          <w:b/>
          <w:color w:val="1B365D"/>
          <w:sz w:val="52"/>
        </w:rPr>
        <w:t>Project Planning &amp; Strategic Roadmap</w:t>
      </w:r>
    </w:p>
    <w:p>
      <w:pPr>
        <w:spacing w:after="560"/>
      </w:pPr>
      <w:r>
        <w:rPr>
          <w:color w:val="5C768D"/>
          <w:sz w:val="28"/>
        </w:rPr>
        <w:t>Customer Churn Prediction Engine for Subscription Telecom</w:t>
      </w:r>
    </w:p>
    <w:p>
      <w:pPr>
        <w:spacing w:after="720"/>
      </w:pPr>
    </w:p>
    <w:tbl>
      <w:tblPr>
        <w:tblW w:type="auto" w:w="0"/>
        <w:jc w:val="left"/>
        <w:tblLook w:firstColumn="1" w:firstRow="1" w:lastColumn="0" w:lastRow="0" w:noHBand="0" w:noVBand="1" w:val="04A0"/>
      </w:tblPr>
      <w:tblGrid>
        <w:gridCol w:w="4680"/>
        <w:gridCol w:w="4680"/>
      </w:tblGrid>
      <w:tr>
        <w:tc>
          <w:tcPr>
            <w:tcW w:type="dxa" w:w="3168"/>
          </w:tcPr>
          <w:p>
            <w:r>
              <w:rPr>
                <w:b/>
                <w:color w:val="1B365D"/>
              </w:rPr>
              <w:t>Project Domain:</w:t>
            </w:r>
          </w:p>
        </w:tc>
        <w:tc>
          <w:tcPr>
            <w:tcW w:type="dxa" w:w="6192"/>
          </w:tcPr>
          <w:p>
            <w:r>
              <w:rPr>
                <w:color w:val="1E293B"/>
              </w:rPr>
              <w:t>Customer Churn Prediction for Subscription Telecom</w:t>
            </w:r>
          </w:p>
        </w:tc>
      </w:tr>
      <w:tr>
        <w:tc>
          <w:tcPr>
            <w:tcW w:type="dxa" w:w="3168"/>
          </w:tcPr>
          <w:p>
            <w:r>
              <w:rPr>
                <w:b/>
                <w:color w:val="1B365D"/>
              </w:rPr>
              <w:t>Deliverable Code:</w:t>
            </w:r>
          </w:p>
        </w:tc>
        <w:tc>
          <w:tcPr>
            <w:tcW w:type="dxa" w:w="6192"/>
          </w:tcPr>
          <w:p>
            <w:r>
              <w:rPr>
                <w:color w:val="1E293B"/>
              </w:rPr>
              <w:t>DELIV-W01-STRAT-PLAN</w:t>
            </w:r>
          </w:p>
        </w:tc>
      </w:tr>
      <w:tr>
        <w:tc>
          <w:tcPr>
            <w:tcW w:type="dxa" w:w="3168"/>
          </w:tcPr>
          <w:p>
            <w:r>
              <w:rPr>
                <w:b/>
                <w:color w:val="1B365D"/>
              </w:rPr>
              <w:t>Author / Intern:</w:t>
            </w:r>
          </w:p>
        </w:tc>
        <w:tc>
          <w:tcPr>
            <w:tcW w:type="dxa" w:w="6192"/>
          </w:tcPr>
          <w:p>
            <w:r>
              <w:rPr>
                <w:color w:val="1E293B"/>
              </w:rPr>
              <w:t>Data Science Explorer Intern</w:t>
            </w:r>
          </w:p>
        </w:tc>
      </w:tr>
      <w:tr>
        <w:tc>
          <w:tcPr>
            <w:tcW w:type="dxa" w:w="3168"/>
          </w:tcPr>
          <w:p>
            <w:r>
              <w:rPr>
                <w:b/>
                <w:color w:val="1B365D"/>
              </w:rPr>
              <w:t>Architectural Role:</w:t>
            </w:r>
          </w:p>
        </w:tc>
        <w:tc>
          <w:tcPr>
            <w:tcW w:type="dxa" w:w="6192"/>
          </w:tcPr>
          <w:p>
            <w:r>
              <w:rPr>
                <w:color w:val="1E293B"/>
              </w:rPr>
              <w:t>Senior Data Science Manager &amp; Python Architect</w:t>
            </w:r>
          </w:p>
        </w:tc>
      </w:tr>
      <w:tr>
        <w:tc>
          <w:tcPr>
            <w:tcW w:type="dxa" w:w="3168"/>
          </w:tcPr>
          <w:p>
            <w:r>
              <w:rPr>
                <w:b/>
                <w:color w:val="1B365D"/>
              </w:rPr>
              <w:t>Publication Date:</w:t>
            </w:r>
          </w:p>
        </w:tc>
        <w:tc>
          <w:tcPr>
            <w:tcW w:type="dxa" w:w="6192"/>
          </w:tcPr>
          <w:p>
            <w:r>
              <w:rPr>
                <w:color w:val="1E293B"/>
              </w:rPr>
              <w:t>16-Oct-2026</w:t>
            </w:r>
          </w:p>
        </w:tc>
      </w:tr>
    </w:tbl>
    <w:p>
      <w:r>
        <w:br w:type="page"/>
      </w:r>
    </w:p>
    <w:p>
      <w:pPr>
        <w:spacing w:after="240"/>
      </w:pPr>
      <w:r>
        <w:rPr>
          <w:b/>
          <w:color w:val="1B365D"/>
          <w:sz w:val="36"/>
        </w:rPr>
        <w:t>Table of Contents</w:t>
      </w:r>
    </w:p>
    <w:tbl>
      <w:tblPr>
        <w:tblW w:type="auto" w:w="0"/>
        <w:jc w:val="center"/>
        <w:tblLook w:firstColumn="1" w:firstRow="1" w:lastColumn="0" w:lastRow="0" w:noHBand="0" w:noVBand="1" w:val="04A0"/>
      </w:tblPr>
      <w:tblGrid>
        <w:gridCol w:w="4680"/>
        <w:gridCol w:w="4680"/>
      </w:tblGrid>
      <w:tr>
        <w:tc>
          <w:tcPr>
            <w:tcW w:type="dxa" w:w="7488"/>
            <w:shd w:fill="1B365D"/>
          </w:tcPr>
          <w:p>
            <w:r>
              <w:rPr>
                <w:b/>
                <w:color w:val="FFFFFF"/>
              </w:rPr>
              <w:t>Section / Content Area</w:t>
            </w:r>
          </w:p>
        </w:tc>
        <w:tc>
          <w:tcPr>
            <w:tcW w:type="dxa" w:w="1872"/>
            <w:shd w:fill="1B365D"/>
          </w:tcPr>
          <w:p>
            <w:r>
              <w:rPr>
                <w:b/>
                <w:color w:val="FFFFFF"/>
              </w:rPr>
              <w:t>Page Ref</w:t>
            </w:r>
          </w:p>
        </w:tc>
      </w:tr>
      <w:tr>
        <w:tc>
          <w:tcPr>
            <w:tcW w:type="dxa" w:w="7488"/>
          </w:tcPr>
          <w:p>
            <w:r>
              <w:rPr>
                <w:color w:val="1E293B"/>
              </w:rPr>
              <w:t>1. Project Background &amp; Executive Overview</w:t>
            </w:r>
          </w:p>
        </w:tc>
        <w:tc>
          <w:tcPr>
            <w:tcW w:type="dxa" w:w="1872"/>
          </w:tcPr>
          <w:p>
            <w:r>
              <w:rPr>
                <w:color w:val="5C768D"/>
              </w:rPr>
              <w:t>3</w:t>
            </w:r>
          </w:p>
        </w:tc>
      </w:tr>
      <w:tr>
        <w:tc>
          <w:tcPr>
            <w:tcW w:type="dxa" w:w="7488"/>
            <w:shd w:fill="F8FAFC"/>
          </w:tcPr>
          <w:p>
            <w:r>
              <w:rPr>
                <w:color w:val="1E293B"/>
              </w:rPr>
              <w:t>2. Business Motivation &amp; Problem Justification</w:t>
            </w:r>
          </w:p>
        </w:tc>
        <w:tc>
          <w:tcPr>
            <w:tcW w:type="dxa" w:w="1872"/>
            <w:shd w:fill="F8FAFC"/>
          </w:tcPr>
          <w:p>
            <w:r>
              <w:rPr>
                <w:color w:val="5C768D"/>
              </w:rPr>
              <w:t>4</w:t>
            </w:r>
          </w:p>
        </w:tc>
      </w:tr>
      <w:tr>
        <w:tc>
          <w:tcPr>
            <w:tcW w:type="dxa" w:w="7488"/>
          </w:tcPr>
          <w:p>
            <w:r>
              <w:rPr>
                <w:color w:val="1E293B"/>
              </w:rPr>
              <w:t>3. Project Objectives (SMART Criteria)</w:t>
            </w:r>
          </w:p>
        </w:tc>
        <w:tc>
          <w:tcPr>
            <w:tcW w:type="dxa" w:w="1872"/>
          </w:tcPr>
          <w:p>
            <w:r>
              <w:rPr>
                <w:color w:val="5C768D"/>
              </w:rPr>
              <w:t>5</w:t>
            </w:r>
          </w:p>
        </w:tc>
      </w:tr>
      <w:tr>
        <w:tc>
          <w:tcPr>
            <w:tcW w:type="dxa" w:w="7488"/>
            <w:shd w:fill="F8FAFC"/>
          </w:tcPr>
          <w:p>
            <w:r>
              <w:rPr>
                <w:color w:val="1E293B"/>
              </w:rPr>
              <w:t>4. Project Scope Definition (In-Scope &amp; Out-of-Scope)</w:t>
            </w:r>
          </w:p>
        </w:tc>
        <w:tc>
          <w:tcPr>
            <w:tcW w:type="dxa" w:w="1872"/>
            <w:shd w:fill="F8FAFC"/>
          </w:tcPr>
          <w:p>
            <w:r>
              <w:rPr>
                <w:color w:val="5C768D"/>
              </w:rPr>
              <w:t>6</w:t>
            </w:r>
          </w:p>
        </w:tc>
      </w:tr>
      <w:tr>
        <w:tc>
          <w:tcPr>
            <w:tcW w:type="dxa" w:w="7488"/>
          </w:tcPr>
          <w:p>
            <w:r>
              <w:rPr>
                <w:color w:val="1E293B"/>
              </w:rPr>
              <w:t>5. End-to-End Data Science Methodology</w:t>
            </w:r>
          </w:p>
        </w:tc>
        <w:tc>
          <w:tcPr>
            <w:tcW w:type="dxa" w:w="1872"/>
          </w:tcPr>
          <w:p>
            <w:r>
              <w:rPr>
                <w:color w:val="5C768D"/>
              </w:rPr>
              <w:t>7</w:t>
            </w:r>
          </w:p>
        </w:tc>
      </w:tr>
      <w:tr>
        <w:tc>
          <w:tcPr>
            <w:tcW w:type="dxa" w:w="7488"/>
            <w:shd w:fill="F8FAFC"/>
          </w:tcPr>
          <w:p>
            <w:r>
              <w:rPr>
                <w:color w:val="1E293B"/>
              </w:rPr>
              <w:t>6. Operational Project Timeline (33-Hour Sprint)</w:t>
            </w:r>
          </w:p>
        </w:tc>
        <w:tc>
          <w:tcPr>
            <w:tcW w:type="dxa" w:w="1872"/>
            <w:shd w:fill="F8FAFC"/>
          </w:tcPr>
          <w:p>
            <w:r>
              <w:rPr>
                <w:color w:val="5C768D"/>
              </w:rPr>
              <w:t>9</w:t>
            </w:r>
          </w:p>
        </w:tc>
      </w:tr>
      <w:tr>
        <w:tc>
          <w:tcPr>
            <w:tcW w:type="dxa" w:w="7488"/>
          </w:tcPr>
          <w:p>
            <w:r>
              <w:rPr>
                <w:color w:val="1E293B"/>
              </w:rPr>
              <w:t>7. Technology Stack &amp; Python Ecosystem</w:t>
            </w:r>
          </w:p>
        </w:tc>
        <w:tc>
          <w:tcPr>
            <w:tcW w:type="dxa" w:w="1872"/>
          </w:tcPr>
          <w:p>
            <w:r>
              <w:rPr>
                <w:color w:val="5C768D"/>
              </w:rPr>
              <w:t>10</w:t>
            </w:r>
          </w:p>
        </w:tc>
      </w:tr>
      <w:tr>
        <w:tc>
          <w:tcPr>
            <w:tcW w:type="dxa" w:w="7488"/>
            <w:shd w:fill="F8FAFC"/>
          </w:tcPr>
          <w:p>
            <w:r>
              <w:rPr>
                <w:color w:val="1E293B"/>
              </w:rPr>
              <w:t>8. Expected Business Outcomes &amp; Financial ROI</w:t>
            </w:r>
          </w:p>
        </w:tc>
        <w:tc>
          <w:tcPr>
            <w:tcW w:type="dxa" w:w="1872"/>
            <w:shd w:fill="F8FAFC"/>
          </w:tcPr>
          <w:p>
            <w:r>
              <w:rPr>
                <w:color w:val="5C768D"/>
              </w:rPr>
              <w:t>11</w:t>
            </w:r>
          </w:p>
        </w:tc>
      </w:tr>
      <w:tr>
        <w:tc>
          <w:tcPr>
            <w:tcW w:type="dxa" w:w="7488"/>
          </w:tcPr>
          <w:p>
            <w:r>
              <w:rPr>
                <w:color w:val="1E293B"/>
              </w:rPr>
              <w:t>9. Anticipated Challenges &amp; Risk Mitigation Matrix</w:t>
            </w:r>
          </w:p>
        </w:tc>
        <w:tc>
          <w:tcPr>
            <w:tcW w:type="dxa" w:w="1872"/>
          </w:tcPr>
          <w:p>
            <w:r>
              <w:rPr>
                <w:color w:val="5C768D"/>
              </w:rPr>
              <w:t>12</w:t>
            </w:r>
          </w:p>
        </w:tc>
      </w:tr>
      <w:tr>
        <w:tc>
          <w:tcPr>
            <w:tcW w:type="dxa" w:w="7488"/>
            <w:shd w:fill="F8FAFC"/>
          </w:tcPr>
          <w:p>
            <w:r>
              <w:rPr>
                <w:color w:val="1E293B"/>
              </w:rPr>
              <w:t>10. Strategic Conclusion &amp; Executive Sign-Off</w:t>
            </w:r>
          </w:p>
        </w:tc>
        <w:tc>
          <w:tcPr>
            <w:tcW w:type="dxa" w:w="1872"/>
            <w:shd w:fill="F8FAFC"/>
          </w:tcPr>
          <w:p>
            <w:r>
              <w:rPr>
                <w:color w:val="5C768D"/>
              </w:rPr>
              <w:t>13</w:t>
            </w:r>
          </w:p>
        </w:tc>
      </w:tr>
    </w:tbl>
    <w:p>
      <w:r>
        <w:br w:type="page"/>
      </w:r>
    </w:p>
    <w:p>
      <w:pPr>
        <w:keepNext/>
        <w:spacing w:before="360" w:after="120"/>
      </w:pPr>
      <w:r>
        <w:rPr>
          <w:b/>
          <w:color w:val="1B365D"/>
          <w:sz w:val="32"/>
        </w:rPr>
        <w:t>1. Project Background &amp; Executive Overview</w:t>
      </w:r>
    </w:p>
    <w:p>
      <w:r>
        <w:t>In modern subscription-driven telecommunications enterprises, continuous subscriber retention is the primary determinant of sustainable profitability, brand equity, and shareholder value. The telecommunications sector operates within a highly competitive landscape characterized by aggressive competitor acquisition campaigns, low customer switching friction, and rapid commoditization of voice, broadband, and streaming services. In this operating environment, customer churn—defined as the rate at which subscribers discontinue their recurring service contracts—represents a critical threat to long-term financial viability.</w:t>
      </w:r>
    </w:p>
    <w:p>
      <w:r>
        <w:t>Recent market analyses demonstrate that acquiring a new telecom subscriber incurs substantial capital outlays, ranging between five to seven times the cost of retaining an active customer. High acquisition costs encompass direct marketing, salesperson commissions, introductory subsidized hardware devices, and initial onboarding overheads. Consequently, an unmitigated churn rate exerts compounding negative pressure on Monthly Recurring Revenue (MRR), drastically contracts Customer Lifetime Value (CLV), and forces marketing teams onto an unsustainable 'acquisition treadmill' merely to maintain flat subscriber volumes.</w:t>
      </w:r>
    </w:p>
    <w:p>
      <w:r>
        <w:t>This project outlines an executive-level strategic blueprint to engineer and deploy a proactive, machine learning-powered Customer Churn Prediction Engine. Rather than relying on outdated reactive retention methods, this system continuously analyzes multi-modal subscriber telemetry, customer care interactions, billing velocity, and contractual status to forecast attrition vulnerability 30 to 45 days before formal cancellation occurs.</w:t>
      </w:r>
    </w:p>
    <w:p>
      <w:pPr>
        <w:keepNext/>
        <w:spacing w:before="360" w:after="120"/>
      </w:pPr>
      <w:r>
        <w:rPr>
          <w:b/>
          <w:color w:val="1B365D"/>
          <w:sz w:val="32"/>
        </w:rPr>
        <w:t>2. Business Motivation &amp; Problem Justification</w:t>
      </w:r>
    </w:p>
    <w:p>
      <w:r>
        <w:t>Traditional customer retention in telecommunications has historically operated under a reactive paradigm. Customer retention specialists are typically dispatched only after an account holder phones the cancellation desk, files an escalation grievance, or refuses automatic payment renewal. Empirical industry data reveals that reactive retention efforts succeed in reversing less than 8% to 12% of churn decisions, as customer frustration has typically solidified into an irreversible intent to switch carriers.</w:t>
      </w:r>
    </w:p>
    <w:p>
      <w:r>
        <w:t>A machine learning-driven approach fundamentally transforms retention operations from reactive triage into proactive, precision intervention. Machine learning classification models possess the unique capability to detect subtle, non-linear early warning signals scattered across millions of historical telemetry rows—such as a 35% decline in weekend broadband utilization, two unresolved network buffering tickets within 14 days, or repeated visits to carrier contract FAQ pages.</w:t>
      </w:r>
    </w:p>
    <w:p>
      <w:pPr>
        <w:pStyle w:val="ListBullet"/>
        <w:spacing w:after="80" w:line="276" w:lineRule="auto"/>
      </w:pPr>
      <w:r>
        <w:rPr>
          <w:b/>
          <w:color w:val="1B365D"/>
        </w:rPr>
        <w:t xml:space="preserve">Compounding Revenue Protection: </w:t>
      </w:r>
      <w:r>
        <w:rPr>
          <w:color w:val="1E293B"/>
        </w:rPr>
        <w:t>Preserving existing subscriber accounts provides predictable cash flows, protects operating margins, and directly enhances enterprise valuation.</w:t>
      </w:r>
    </w:p>
    <w:p>
      <w:pPr>
        <w:pStyle w:val="ListBullet"/>
        <w:spacing w:after="80" w:line="276" w:lineRule="auto"/>
      </w:pPr>
      <w:r>
        <w:rPr>
          <w:b/>
          <w:color w:val="1B365D"/>
        </w:rPr>
        <w:t xml:space="preserve">Optimization of Retention Capital: </w:t>
      </w:r>
      <w:r>
        <w:rPr>
          <w:color w:val="1E293B"/>
        </w:rPr>
        <w:t>Instead of deploying generic blanket discounts across the entire customer base, retention incentives are surgically directed exclusively toward high-value accounts exhibiting severe churn vulnerability.</w:t>
      </w:r>
    </w:p>
    <w:p>
      <w:pPr>
        <w:pStyle w:val="ListBullet"/>
        <w:spacing w:after="80" w:line="276" w:lineRule="auto"/>
      </w:pPr>
      <w:r>
        <w:rPr>
          <w:b/>
          <w:color w:val="1B365D"/>
        </w:rPr>
        <w:t xml:space="preserve">Enhanced Customer Satisfaction (CSAT): </w:t>
      </w:r>
      <w:r>
        <w:rPr>
          <w:color w:val="1E293B"/>
        </w:rPr>
        <w:t>Proactively reaching out to resolve customer friction points before cancellation fosters long-term brand loyalty and transforms at-risk subscribers into brand advocates.</w:t>
      </w:r>
    </w:p>
    <w:p>
      <w:pPr>
        <w:keepNext/>
        <w:spacing w:before="360" w:after="120"/>
      </w:pPr>
      <w:r>
        <w:rPr>
          <w:b/>
          <w:color w:val="1B365D"/>
          <w:sz w:val="32"/>
        </w:rPr>
        <w:t>3. Project Objectives (SMART Criteria)</w:t>
      </w:r>
    </w:p>
    <w:p>
      <w:r>
        <w:t>To ensure operational accountability, technical rigor, and alignment with executive business goals, the project objectives are strictly formalized under the SMART framework (Specific, Measurable, Achievable, Relevant, and Time-bound):</w:t>
      </w:r>
    </w:p>
    <w:tbl>
      <w:tblPr>
        <w:tblW w:type="auto" w:w="0"/>
        <w:jc w:val="center"/>
        <w:tblLook w:firstColumn="1" w:firstRow="1" w:lastColumn="0" w:lastRow="0" w:noHBand="0" w:noVBand="1" w:val="04A0"/>
      </w:tblPr>
      <w:tblGrid>
        <w:gridCol w:w="4680"/>
        <w:gridCol w:w="4680"/>
      </w:tblGrid>
      <w:tr>
        <w:tc>
          <w:tcPr>
            <w:tcW w:type="dxa" w:w="2592"/>
            <w:shd w:fill="1B365D"/>
            <w:tcMar>
              <w:top w:w="120" w:type="dxa"/>
              <w:bottom w:w="120" w:type="dxa"/>
              <w:left w:w="140" w:type="dxa"/>
              <w:right w:w="140" w:type="dxa"/>
            </w:tcMar>
          </w:tcPr>
          <w:p>
            <w:pPr>
              <w:jc w:val="left"/>
            </w:pPr>
            <w:r>
              <w:rPr>
                <w:b/>
                <w:color w:val="FFFFFF"/>
                <w:sz w:val="19"/>
              </w:rPr>
              <w:t>SMART Dimension</w:t>
            </w:r>
          </w:p>
        </w:tc>
        <w:tc>
          <w:tcPr>
            <w:tcW w:type="dxa" w:w="6768"/>
            <w:shd w:fill="1B365D"/>
            <w:tcMar>
              <w:top w:w="120" w:type="dxa"/>
              <w:bottom w:w="120" w:type="dxa"/>
              <w:left w:w="140" w:type="dxa"/>
              <w:right w:w="140" w:type="dxa"/>
            </w:tcMar>
          </w:tcPr>
          <w:p>
            <w:pPr>
              <w:jc w:val="left"/>
            </w:pPr>
            <w:r>
              <w:rPr>
                <w:b/>
                <w:color w:val="FFFFFF"/>
                <w:sz w:val="19"/>
              </w:rPr>
              <w:t>Strategic Implementation Definition</w:t>
            </w:r>
          </w:p>
        </w:tc>
      </w:tr>
      <w:tr>
        <w:tc>
          <w:tcPr>
            <w:tcW w:type="dxa" w:w="2592"/>
            <w:shd w:fill="FFFFFF"/>
            <w:tcMar>
              <w:top w:w="100" w:type="dxa"/>
              <w:bottom w:w="100" w:type="dxa"/>
              <w:left w:w="140" w:type="dxa"/>
              <w:right w:w="140" w:type="dxa"/>
            </w:tcMar>
          </w:tcPr>
          <w:p>
            <w:pPr>
              <w:jc w:val="left"/>
            </w:pPr>
            <w:r>
              <w:rPr>
                <w:color w:val="1E293B"/>
                <w:sz w:val="18"/>
              </w:rPr>
              <w:t>Specific</w:t>
            </w:r>
          </w:p>
        </w:tc>
        <w:tc>
          <w:tcPr>
            <w:tcW w:type="dxa" w:w="6768"/>
            <w:shd w:fill="FFFFFF"/>
            <w:tcMar>
              <w:top w:w="100" w:type="dxa"/>
              <w:bottom w:w="100" w:type="dxa"/>
              <w:left w:w="140" w:type="dxa"/>
              <w:right w:w="140" w:type="dxa"/>
            </w:tcMar>
          </w:tcPr>
          <w:p>
            <w:pPr>
              <w:jc w:val="left"/>
            </w:pPr>
            <w:r>
              <w:rPr>
                <w:color w:val="1E293B"/>
                <w:sz w:val="18"/>
              </w:rPr>
              <w:t>Build a supervised binary classification system utilizing Python (Scikit-Learn, Pandas) that scores subscriber churn probability over a forward-looking 45-day window.</w:t>
            </w:r>
          </w:p>
        </w:tc>
      </w:tr>
      <w:tr>
        <w:tc>
          <w:tcPr>
            <w:tcW w:type="dxa" w:w="2592"/>
            <w:shd w:fill="F8FAFC"/>
            <w:tcMar>
              <w:top w:w="100" w:type="dxa"/>
              <w:bottom w:w="100" w:type="dxa"/>
              <w:left w:w="140" w:type="dxa"/>
              <w:right w:w="140" w:type="dxa"/>
            </w:tcMar>
          </w:tcPr>
          <w:p>
            <w:pPr>
              <w:jc w:val="left"/>
            </w:pPr>
            <w:r>
              <w:rPr>
                <w:color w:val="1E293B"/>
                <w:sz w:val="18"/>
              </w:rPr>
              <w:t>Measurable</w:t>
            </w:r>
          </w:p>
        </w:tc>
        <w:tc>
          <w:tcPr>
            <w:tcW w:type="dxa" w:w="6768"/>
            <w:shd w:fill="F8FAFC"/>
            <w:tcMar>
              <w:top w:w="100" w:type="dxa"/>
              <w:bottom w:w="100" w:type="dxa"/>
              <w:left w:w="140" w:type="dxa"/>
              <w:right w:w="140" w:type="dxa"/>
            </w:tcMar>
          </w:tcPr>
          <w:p>
            <w:pPr>
              <w:jc w:val="left"/>
            </w:pPr>
            <w:r>
              <w:rPr>
                <w:color w:val="1E293B"/>
                <w:sz w:val="18"/>
              </w:rPr>
              <w:t>Attain an Area Under the ROC Curve (ROC-AUC) &gt;= 0.85, a Precision-Recall AUC (PR-AUC) &gt;= 0.65, and a Top-Quintile Recall &gt;= 70% on held-out test splits.</w:t>
            </w:r>
          </w:p>
        </w:tc>
      </w:tr>
      <w:tr>
        <w:tc>
          <w:tcPr>
            <w:tcW w:type="dxa" w:w="2592"/>
            <w:shd w:fill="FFFFFF"/>
            <w:tcMar>
              <w:top w:w="100" w:type="dxa"/>
              <w:bottom w:w="100" w:type="dxa"/>
              <w:left w:w="140" w:type="dxa"/>
              <w:right w:w="140" w:type="dxa"/>
            </w:tcMar>
          </w:tcPr>
          <w:p>
            <w:pPr>
              <w:jc w:val="left"/>
            </w:pPr>
            <w:r>
              <w:rPr>
                <w:color w:val="1E293B"/>
                <w:sz w:val="18"/>
              </w:rPr>
              <w:t>Achievable</w:t>
            </w:r>
          </w:p>
        </w:tc>
        <w:tc>
          <w:tcPr>
            <w:tcW w:type="dxa" w:w="6768"/>
            <w:shd w:fill="FFFFFF"/>
            <w:tcMar>
              <w:top w:w="100" w:type="dxa"/>
              <w:bottom w:w="100" w:type="dxa"/>
              <w:left w:w="140" w:type="dxa"/>
              <w:right w:w="140" w:type="dxa"/>
            </w:tcMar>
          </w:tcPr>
          <w:p>
            <w:pPr>
              <w:jc w:val="left"/>
            </w:pPr>
            <w:r>
              <w:rPr>
                <w:color w:val="1E293B"/>
                <w:sz w:val="18"/>
              </w:rPr>
              <w:t>Utilize existing internal data streams (billing, usage telemetry, ticketing records) with standard tabular ensemble algorithms (Random Forest, Gradient Boosting).</w:t>
            </w:r>
          </w:p>
        </w:tc>
      </w:tr>
      <w:tr>
        <w:tc>
          <w:tcPr>
            <w:tcW w:type="dxa" w:w="2592"/>
            <w:shd w:fill="F8FAFC"/>
            <w:tcMar>
              <w:top w:w="100" w:type="dxa"/>
              <w:bottom w:w="100" w:type="dxa"/>
              <w:left w:w="140" w:type="dxa"/>
              <w:right w:w="140" w:type="dxa"/>
            </w:tcMar>
          </w:tcPr>
          <w:p>
            <w:pPr>
              <w:jc w:val="left"/>
            </w:pPr>
            <w:r>
              <w:rPr>
                <w:color w:val="1E293B"/>
                <w:sz w:val="18"/>
              </w:rPr>
              <w:t>Relevant</w:t>
            </w:r>
          </w:p>
        </w:tc>
        <w:tc>
          <w:tcPr>
            <w:tcW w:type="dxa" w:w="6768"/>
            <w:shd w:fill="F8FAFC"/>
            <w:tcMar>
              <w:top w:w="100" w:type="dxa"/>
              <w:bottom w:w="100" w:type="dxa"/>
              <w:left w:w="140" w:type="dxa"/>
              <w:right w:w="140" w:type="dxa"/>
            </w:tcMar>
          </w:tcPr>
          <w:p>
            <w:pPr>
              <w:jc w:val="left"/>
            </w:pPr>
            <w:r>
              <w:rPr>
                <w:color w:val="1E293B"/>
                <w:sz w:val="18"/>
              </w:rPr>
              <w:t>Directly support enterprise retention desks by generating automated daily risk scores and the top 3 localized root-cause SHAP drivers to personalize outreach.</w:t>
            </w:r>
          </w:p>
        </w:tc>
      </w:tr>
      <w:tr>
        <w:tc>
          <w:tcPr>
            <w:tcW w:type="dxa" w:w="2592"/>
            <w:shd w:fill="FFFFFF"/>
            <w:tcMar>
              <w:top w:w="100" w:type="dxa"/>
              <w:bottom w:w="100" w:type="dxa"/>
              <w:left w:w="140" w:type="dxa"/>
              <w:right w:w="140" w:type="dxa"/>
            </w:tcMar>
          </w:tcPr>
          <w:p>
            <w:pPr>
              <w:jc w:val="left"/>
            </w:pPr>
            <w:r>
              <w:rPr>
                <w:color w:val="1E293B"/>
                <w:sz w:val="18"/>
              </w:rPr>
              <w:t>Time-Bound</w:t>
            </w:r>
          </w:p>
        </w:tc>
        <w:tc>
          <w:tcPr>
            <w:tcW w:type="dxa" w:w="6768"/>
            <w:shd w:fill="FFFFFF"/>
            <w:tcMar>
              <w:top w:w="100" w:type="dxa"/>
              <w:bottom w:w="100" w:type="dxa"/>
              <w:left w:w="140" w:type="dxa"/>
              <w:right w:w="140" w:type="dxa"/>
            </w:tcMar>
          </w:tcPr>
          <w:p>
            <w:pPr>
              <w:jc w:val="left"/>
            </w:pPr>
            <w:r>
              <w:rPr>
                <w:color w:val="1E293B"/>
                <w:sz w:val="18"/>
              </w:rPr>
              <w:t>Complete all foundational design, data pipeline architecture, model cross-validation, and executive briefing within a dedicated 33-hour operational sprint.</w:t>
            </w:r>
          </w:p>
        </w:tc>
      </w:tr>
    </w:tbl>
    <w:p>
      <w:pPr>
        <w:spacing w:before="80" w:after="160"/>
      </w:pPr>
    </w:p>
    <w:p>
      <w:pPr>
        <w:keepNext/>
        <w:spacing w:before="360" w:after="120"/>
      </w:pPr>
      <w:r>
        <w:rPr>
          <w:b/>
          <w:color w:val="1B365D"/>
          <w:sz w:val="32"/>
        </w:rPr>
        <w:t>4. Project Scope Definition (In-Scope &amp; Out-of-Scope)</w:t>
      </w:r>
    </w:p>
    <w:p>
      <w:r>
        <w:t>Clear scoping boundaries prevent feature creep and ensure delivery of a robust, production-ready machine learning framework within the planned sprint timeline. The table below delineates the in-scope deliverables versus out-of-scope future capabilities:</w:t>
      </w:r>
    </w:p>
    <w:tbl>
      <w:tblPr>
        <w:tblW w:type="auto" w:w="0"/>
        <w:jc w:val="center"/>
        <w:tblLook w:firstColumn="1" w:firstRow="1" w:lastColumn="0" w:lastRow="0" w:noHBand="0" w:noVBand="1" w:val="04A0"/>
      </w:tblPr>
      <w:tblGrid>
        <w:gridCol w:w="3120"/>
        <w:gridCol w:w="3120"/>
        <w:gridCol w:w="3120"/>
      </w:tblGrid>
      <w:tr>
        <w:tc>
          <w:tcPr>
            <w:tcW w:type="dxa" w:w="2016"/>
            <w:shd w:fill="1B365D"/>
            <w:tcMar>
              <w:top w:w="120" w:type="dxa"/>
              <w:bottom w:w="120" w:type="dxa"/>
              <w:left w:w="140" w:type="dxa"/>
              <w:right w:w="140" w:type="dxa"/>
            </w:tcMar>
          </w:tcPr>
          <w:p>
            <w:pPr>
              <w:jc w:val="left"/>
            </w:pPr>
            <w:r>
              <w:rPr>
                <w:b/>
                <w:color w:val="FFFFFF"/>
                <w:sz w:val="19"/>
              </w:rPr>
              <w:t>Lifecycle Category</w:t>
            </w:r>
          </w:p>
        </w:tc>
        <w:tc>
          <w:tcPr>
            <w:tcW w:type="dxa" w:w="3744"/>
            <w:shd w:fill="1B365D"/>
            <w:tcMar>
              <w:top w:w="120" w:type="dxa"/>
              <w:bottom w:w="120" w:type="dxa"/>
              <w:left w:w="140" w:type="dxa"/>
              <w:right w:w="140" w:type="dxa"/>
            </w:tcMar>
          </w:tcPr>
          <w:p>
            <w:pPr>
              <w:jc w:val="left"/>
            </w:pPr>
            <w:r>
              <w:rPr>
                <w:b/>
                <w:color w:val="FFFFFF"/>
                <w:sz w:val="19"/>
              </w:rPr>
              <w:t>In-Scope Deliverables (Current Sprint)</w:t>
            </w:r>
          </w:p>
        </w:tc>
        <w:tc>
          <w:tcPr>
            <w:tcW w:type="dxa" w:w="3600"/>
            <w:shd w:fill="1B365D"/>
            <w:tcMar>
              <w:top w:w="120" w:type="dxa"/>
              <w:bottom w:w="120" w:type="dxa"/>
              <w:left w:w="140" w:type="dxa"/>
              <w:right w:w="140" w:type="dxa"/>
            </w:tcMar>
          </w:tcPr>
          <w:p>
            <w:pPr>
              <w:jc w:val="left"/>
            </w:pPr>
            <w:r>
              <w:rPr>
                <w:b/>
                <w:color w:val="FFFFFF"/>
                <w:sz w:val="19"/>
              </w:rPr>
              <w:t>Out-of-Scope (Future Iterations)</w:t>
            </w:r>
          </w:p>
        </w:tc>
      </w:tr>
      <w:tr>
        <w:tc>
          <w:tcPr>
            <w:tcW w:type="dxa" w:w="2016"/>
            <w:shd w:fill="FFFFFF"/>
            <w:tcMar>
              <w:top w:w="100" w:type="dxa"/>
              <w:bottom w:w="100" w:type="dxa"/>
              <w:left w:w="140" w:type="dxa"/>
              <w:right w:w="140" w:type="dxa"/>
            </w:tcMar>
          </w:tcPr>
          <w:p>
            <w:pPr>
              <w:jc w:val="left"/>
            </w:pPr>
            <w:r>
              <w:rPr>
                <w:color w:val="1E293B"/>
                <w:sz w:val="18"/>
              </w:rPr>
              <w:t>Data Ingestion &amp; Hygiene</w:t>
            </w:r>
          </w:p>
        </w:tc>
        <w:tc>
          <w:tcPr>
            <w:tcW w:type="dxa" w:w="3744"/>
            <w:shd w:fill="FFFFFF"/>
            <w:tcMar>
              <w:top w:w="100" w:type="dxa"/>
              <w:bottom w:w="100" w:type="dxa"/>
              <w:left w:w="140" w:type="dxa"/>
              <w:right w:w="140" w:type="dxa"/>
            </w:tcMar>
          </w:tcPr>
          <w:p>
            <w:pPr>
              <w:jc w:val="left"/>
            </w:pPr>
            <w:r>
              <w:rPr>
                <w:color w:val="1E293B"/>
                <w:sz w:val="18"/>
              </w:rPr>
              <w:t>Ingestion of tabular CSV/Parquet files, schema type validation, median imputation for numeric gaps, and IQR outlier boundary audits.</w:t>
            </w:r>
          </w:p>
        </w:tc>
        <w:tc>
          <w:tcPr>
            <w:tcW w:type="dxa" w:w="3600"/>
            <w:shd w:fill="FFFFFF"/>
            <w:tcMar>
              <w:top w:w="100" w:type="dxa"/>
              <w:bottom w:w="100" w:type="dxa"/>
              <w:left w:w="140" w:type="dxa"/>
              <w:right w:w="140" w:type="dxa"/>
            </w:tcMar>
          </w:tcPr>
          <w:p>
            <w:pPr>
              <w:jc w:val="left"/>
            </w:pPr>
            <w:r>
              <w:rPr>
                <w:color w:val="1E293B"/>
                <w:sz w:val="18"/>
              </w:rPr>
              <w:t>Real-time Kafka streaming integration, raw sensor micro-controller firmware integration, and continuous CDC database listeners.</w:t>
            </w:r>
          </w:p>
        </w:tc>
      </w:tr>
      <w:tr>
        <w:tc>
          <w:tcPr>
            <w:tcW w:type="dxa" w:w="2016"/>
            <w:shd w:fill="F8FAFC"/>
            <w:tcMar>
              <w:top w:w="100" w:type="dxa"/>
              <w:bottom w:w="100" w:type="dxa"/>
              <w:left w:w="140" w:type="dxa"/>
              <w:right w:w="140" w:type="dxa"/>
            </w:tcMar>
          </w:tcPr>
          <w:p>
            <w:pPr>
              <w:jc w:val="left"/>
            </w:pPr>
            <w:r>
              <w:rPr>
                <w:color w:val="1E293B"/>
                <w:sz w:val="18"/>
              </w:rPr>
              <w:t>Feature Engineering</w:t>
            </w:r>
          </w:p>
        </w:tc>
        <w:tc>
          <w:tcPr>
            <w:tcW w:type="dxa" w:w="3744"/>
            <w:shd w:fill="F8FAFC"/>
            <w:tcMar>
              <w:top w:w="100" w:type="dxa"/>
              <w:bottom w:w="100" w:type="dxa"/>
              <w:left w:w="140" w:type="dxa"/>
              <w:right w:w="140" w:type="dxa"/>
            </w:tcMar>
          </w:tcPr>
          <w:p>
            <w:pPr>
              <w:jc w:val="left"/>
            </w:pPr>
            <w:r>
              <w:rPr>
                <w:color w:val="1E293B"/>
                <w:sz w:val="18"/>
              </w:rPr>
              <w:t>Aggregation of historical usage velocity ratios, spend-to-tenure indices, and support ticket frequency scores via Scikit-Learn pipelines.</w:t>
            </w:r>
          </w:p>
        </w:tc>
        <w:tc>
          <w:tcPr>
            <w:tcW w:type="dxa" w:w="3600"/>
            <w:shd w:fill="F8FAFC"/>
            <w:tcMar>
              <w:top w:w="100" w:type="dxa"/>
              <w:bottom w:w="100" w:type="dxa"/>
              <w:left w:w="140" w:type="dxa"/>
              <w:right w:w="140" w:type="dxa"/>
            </w:tcMar>
          </w:tcPr>
          <w:p>
            <w:pPr>
              <w:jc w:val="left"/>
            </w:pPr>
            <w:r>
              <w:rPr>
                <w:color w:val="1E293B"/>
                <w:sz w:val="18"/>
              </w:rPr>
              <w:t>Automated deep learning feature representation learning or unstructured audio NLP call transcript transcription.</w:t>
            </w:r>
          </w:p>
        </w:tc>
      </w:tr>
      <w:tr>
        <w:tc>
          <w:tcPr>
            <w:tcW w:type="dxa" w:w="2016"/>
            <w:shd w:fill="FFFFFF"/>
            <w:tcMar>
              <w:top w:w="100" w:type="dxa"/>
              <w:bottom w:w="100" w:type="dxa"/>
              <w:left w:w="140" w:type="dxa"/>
              <w:right w:w="140" w:type="dxa"/>
            </w:tcMar>
          </w:tcPr>
          <w:p>
            <w:pPr>
              <w:jc w:val="left"/>
            </w:pPr>
            <w:r>
              <w:rPr>
                <w:color w:val="1E293B"/>
                <w:sz w:val="18"/>
              </w:rPr>
              <w:t>Machine Learning Modeling</w:t>
            </w:r>
          </w:p>
        </w:tc>
        <w:tc>
          <w:tcPr>
            <w:tcW w:type="dxa" w:w="3744"/>
            <w:shd w:fill="FFFFFF"/>
            <w:tcMar>
              <w:top w:w="100" w:type="dxa"/>
              <w:bottom w:w="100" w:type="dxa"/>
              <w:left w:w="140" w:type="dxa"/>
              <w:right w:w="140" w:type="dxa"/>
            </w:tcMar>
          </w:tcPr>
          <w:p>
            <w:pPr>
              <w:jc w:val="left"/>
            </w:pPr>
            <w:r>
              <w:rPr>
                <w:color w:val="1E293B"/>
                <w:sz w:val="18"/>
              </w:rPr>
              <w:t>Supervised binary classification (Logistic Regression, Decision Trees, Random Forest, HistGradientBoosting) with 5-Fold Stratified CV.</w:t>
            </w:r>
          </w:p>
        </w:tc>
        <w:tc>
          <w:tcPr>
            <w:tcW w:type="dxa" w:w="3600"/>
            <w:shd w:fill="FFFFFF"/>
            <w:tcMar>
              <w:top w:w="100" w:type="dxa"/>
              <w:bottom w:w="100" w:type="dxa"/>
              <w:left w:w="140" w:type="dxa"/>
              <w:right w:w="140" w:type="dxa"/>
            </w:tcMar>
          </w:tcPr>
          <w:p>
            <w:pPr>
              <w:jc w:val="left"/>
            </w:pPr>
            <w:r>
              <w:rPr>
                <w:color w:val="1E293B"/>
                <w:sz w:val="18"/>
              </w:rPr>
              <w:t>Reinforcement learning retention agent training, multi-class churn destination classification, or complex graph neural networks.</w:t>
            </w:r>
          </w:p>
        </w:tc>
      </w:tr>
      <w:tr>
        <w:tc>
          <w:tcPr>
            <w:tcW w:type="dxa" w:w="2016"/>
            <w:shd w:fill="F8FAFC"/>
            <w:tcMar>
              <w:top w:w="100" w:type="dxa"/>
              <w:bottom w:w="100" w:type="dxa"/>
              <w:left w:w="140" w:type="dxa"/>
              <w:right w:w="140" w:type="dxa"/>
            </w:tcMar>
          </w:tcPr>
          <w:p>
            <w:pPr>
              <w:jc w:val="left"/>
            </w:pPr>
            <w:r>
              <w:rPr>
                <w:color w:val="1E293B"/>
                <w:sz w:val="18"/>
              </w:rPr>
              <w:t>Evaluation &amp; Thresholds</w:t>
            </w:r>
          </w:p>
        </w:tc>
        <w:tc>
          <w:tcPr>
            <w:tcW w:type="dxa" w:w="3744"/>
            <w:shd w:fill="F8FAFC"/>
            <w:tcMar>
              <w:top w:w="100" w:type="dxa"/>
              <w:bottom w:w="100" w:type="dxa"/>
              <w:left w:w="140" w:type="dxa"/>
              <w:right w:w="140" w:type="dxa"/>
            </w:tcMar>
          </w:tcPr>
          <w:p>
            <w:pPr>
              <w:jc w:val="left"/>
            </w:pPr>
            <w:r>
              <w:rPr>
                <w:color w:val="1E293B"/>
                <w:sz w:val="18"/>
              </w:rPr>
              <w:t>PR-AUC, ROC-AUC, Confusion Matrix diagnostics, and cost-weighted loss optimization based on business intervention costs.</w:t>
            </w:r>
          </w:p>
        </w:tc>
        <w:tc>
          <w:tcPr>
            <w:tcW w:type="dxa" w:w="3600"/>
            <w:shd w:fill="F8FAFC"/>
            <w:tcMar>
              <w:top w:w="100" w:type="dxa"/>
              <w:bottom w:w="100" w:type="dxa"/>
              <w:left w:w="140" w:type="dxa"/>
              <w:right w:w="140" w:type="dxa"/>
            </w:tcMar>
          </w:tcPr>
          <w:p>
            <w:pPr>
              <w:jc w:val="left"/>
            </w:pPr>
            <w:r>
              <w:rPr>
                <w:color w:val="1E293B"/>
                <w:sz w:val="18"/>
              </w:rPr>
              <w:t>Live A/B multi-armed bandit experimentation on production customer traffic.</w:t>
            </w:r>
          </w:p>
        </w:tc>
      </w:tr>
      <w:tr>
        <w:tc>
          <w:tcPr>
            <w:tcW w:type="dxa" w:w="2016"/>
            <w:shd w:fill="FFFFFF"/>
            <w:tcMar>
              <w:top w:w="100" w:type="dxa"/>
              <w:bottom w:w="100" w:type="dxa"/>
              <w:left w:w="140" w:type="dxa"/>
              <w:right w:w="140" w:type="dxa"/>
            </w:tcMar>
          </w:tcPr>
          <w:p>
            <w:pPr>
              <w:jc w:val="left"/>
            </w:pPr>
            <w:r>
              <w:rPr>
                <w:color w:val="1E293B"/>
                <w:sz w:val="18"/>
              </w:rPr>
              <w:t>Serving &amp; Architecture</w:t>
            </w:r>
          </w:p>
        </w:tc>
        <w:tc>
          <w:tcPr>
            <w:tcW w:type="dxa" w:w="3744"/>
            <w:shd w:fill="FFFFFF"/>
            <w:tcMar>
              <w:top w:w="100" w:type="dxa"/>
              <w:bottom w:w="100" w:type="dxa"/>
              <w:left w:w="140" w:type="dxa"/>
              <w:right w:w="140" w:type="dxa"/>
            </w:tcMar>
          </w:tcPr>
          <w:p>
            <w:pPr>
              <w:jc w:val="left"/>
            </w:pPr>
            <w:r>
              <w:rPr>
                <w:color w:val="1E293B"/>
                <w:sz w:val="18"/>
              </w:rPr>
              <w:t>Serialization of end-to-end pipeline via Joblib, containerized FastAPI REST interface design, and drift monitoring blueprints.</w:t>
            </w:r>
          </w:p>
        </w:tc>
        <w:tc>
          <w:tcPr>
            <w:tcW w:type="dxa" w:w="3600"/>
            <w:shd w:fill="FFFFFF"/>
            <w:tcMar>
              <w:top w:w="100" w:type="dxa"/>
              <w:bottom w:w="100" w:type="dxa"/>
              <w:left w:w="140" w:type="dxa"/>
              <w:right w:w="140" w:type="dxa"/>
            </w:tcMar>
          </w:tcPr>
          <w:p>
            <w:pPr>
              <w:jc w:val="left"/>
            </w:pPr>
            <w:r>
              <w:rPr>
                <w:color w:val="1E293B"/>
                <w:sz w:val="18"/>
              </w:rPr>
              <w:t>Multi-region Kubernetes cluster deployment, hardware FPGA inference acceleration, or direct automated CRM writeback.</w:t>
            </w:r>
          </w:p>
        </w:tc>
      </w:tr>
    </w:tbl>
    <w:p>
      <w:pPr>
        <w:spacing w:before="80" w:after="160"/>
      </w:pPr>
    </w:p>
    <w:p>
      <w:pPr>
        <w:keepNext/>
        <w:spacing w:before="360" w:after="120"/>
      </w:pPr>
      <w:r>
        <w:rPr>
          <w:b/>
          <w:color w:val="1B365D"/>
          <w:sz w:val="32"/>
        </w:rPr>
        <w:t>5. End-to-End Data Science Methodology</w:t>
      </w:r>
    </w:p>
    <w:p>
      <w:r>
        <w:t>The project methodology enforces an airtight, leak-free 5-stage architecture designed to ensure scientific reproducibility and seamless enterprise transition. Figure 1 illustrates the sequential flow from telemetry ingestion to decision delivery.</w:t>
      </w:r>
    </w:p>
    <w:p>
      <w:pPr>
        <w:spacing w:before="200" w:after="80"/>
        <w:jc w:val="center"/>
      </w:pPr>
      <w:r>
        <w:drawing>
          <wp:inline xmlns:a="http://schemas.openxmlformats.org/drawingml/2006/main" xmlns:pic="http://schemas.openxmlformats.org/drawingml/2006/picture">
            <wp:extent cx="5303520" cy="2350546"/>
            <wp:docPr id="1" name="Picture 1"/>
            <wp:cNvGraphicFramePr>
              <a:graphicFrameLocks noChangeAspect="1"/>
            </wp:cNvGraphicFramePr>
            <a:graphic>
              <a:graphicData uri="http://schemas.openxmlformats.org/drawingml/2006/picture">
                <pic:pic>
                  <pic:nvPicPr>
                    <pic:cNvPr id="0" name="w1_fig1_project_workflow.png"/>
                    <pic:cNvPicPr/>
                  </pic:nvPicPr>
                  <pic:blipFill>
                    <a:blip r:embed="rId10"/>
                    <a:stretch>
                      <a:fillRect/>
                    </a:stretch>
                  </pic:blipFill>
                  <pic:spPr>
                    <a:xfrm>
                      <a:off x="0" y="0"/>
                      <a:ext cx="5303520" cy="2350546"/>
                    </a:xfrm>
                    <a:prstGeom prst="rect"/>
                  </pic:spPr>
                </pic:pic>
              </a:graphicData>
            </a:graphic>
          </wp:inline>
        </w:drawing>
      </w:r>
    </w:p>
    <w:p>
      <w:pPr>
        <w:spacing w:before="40" w:after="240"/>
        <w:jc w:val="center"/>
      </w:pPr>
      <w:r>
        <w:rPr>
          <w:i/>
          <w:color w:val="5C768D"/>
          <w:sz w:val="19"/>
        </w:rPr>
        <w:t>Figure 1: End-to-End Enterprise Telecom Churn Project Methodology Workflow</w:t>
      </w:r>
    </w:p>
    <w:p>
      <w:r>
        <w:t>The five sequential methodological phases are detailed below:</w:t>
      </w:r>
    </w:p>
    <w:p>
      <w:pPr>
        <w:keepNext/>
        <w:spacing w:before="240" w:after="80"/>
      </w:pPr>
      <w:r>
        <w:rPr>
          <w:b/>
          <w:color w:val="008080"/>
          <w:sz w:val="26"/>
        </w:rPr>
        <w:t>5.1 Stage 1: Data Ingestion &amp; Schema Auditing</w:t>
      </w:r>
    </w:p>
    <w:p>
      <w:r>
        <w:t>Data is consolidated across three primary internal repositories: customer demographic profiles, daily usage telemetry logs, and billing records. Automated Python ingestion routines enforce strict data types (e.g., casting contractual tenures to integer, billing currencies to float, and dates to ISO 8601 timestamps), catching corrupt rows before downstream processing.</w:t>
      </w:r>
    </w:p>
    <w:p>
      <w:pPr>
        <w:keepNext/>
        <w:spacing w:before="240" w:after="80"/>
      </w:pPr>
      <w:r>
        <w:rPr>
          <w:b/>
          <w:color w:val="008080"/>
          <w:sz w:val="26"/>
        </w:rPr>
        <w:t>5.2 Stage 2: Data Cleaning &amp; Preprocessing</w:t>
      </w:r>
    </w:p>
    <w:p>
      <w:r>
        <w:t>Missing data patterns are formally triaged into Missing Completely at Random (MCAR) and Missing at Random (MAR). Numeric attributes with missing entries are imputed using training fold medians to protect against heavy skewness. Extreme numerical outliers are audited using Tukey's Interquartile Range (IQR) method, flagging sensor recording bugs.</w:t>
      </w:r>
    </w:p>
    <w:p>
      <w:pPr>
        <w:keepNext/>
        <w:spacing w:before="240" w:after="80"/>
      </w:pPr>
      <w:r>
        <w:rPr>
          <w:b/>
          <w:color w:val="008080"/>
          <w:sz w:val="26"/>
        </w:rPr>
        <w:t>5.3 Stage 3: Exploratory Data Analysis (EDA)</w:t>
      </w:r>
    </w:p>
    <w:p>
      <w:r>
        <w:t>Rigorous statistical graphics surface underlying churn distributions, evaluate feature correlations using Spearman rank coefficients, and isolate critical behavioral cliffs, such as sharp cancellation spikes observed at the 12-month contract renewal boundary.</w:t>
      </w:r>
    </w:p>
    <w:p>
      <w:pPr>
        <w:keepNext/>
        <w:spacing w:before="240" w:after="80"/>
      </w:pPr>
      <w:r>
        <w:rPr>
          <w:b/>
          <w:color w:val="008080"/>
          <w:sz w:val="26"/>
        </w:rPr>
        <w:t>5.4 Stage 4: Feature Engineering &amp; Model Training</w:t>
      </w:r>
    </w:p>
    <w:p>
      <w:r>
        <w:t>Domain-specific features (such as 30-day usage velocity deceleration and support ticket friction indices) are synthesized. All scalers (RobustScaler) and categorical encoders (OneHotEncoder) are encapsulated inside Scikit-Learn ColumnTransformers, guaranteeing complete insulation between training and validation data slices.</w:t>
      </w:r>
    </w:p>
    <w:p>
      <w:pPr>
        <w:keepNext/>
        <w:spacing w:before="240" w:after="80"/>
      </w:pPr>
      <w:r>
        <w:rPr>
          <w:b/>
          <w:color w:val="008080"/>
          <w:sz w:val="26"/>
        </w:rPr>
        <w:t>5.5 Stage 5: Evaluation &amp; Decision Thresholding</w:t>
      </w:r>
    </w:p>
    <w:p>
      <w:r>
        <w:t>Model discrimination is rigorously benchmarked via 5-Fold Stratified Cross-Validation on PR-AUC and ROC-AUC. Rather than defaulting to a generic 0.5 probability cutoff, the operational decision threshold is optimized against an asymmetric financial cost matrix.</w:t>
      </w:r>
    </w:p>
    <w:p>
      <w:pPr>
        <w:keepNext/>
        <w:spacing w:before="360" w:after="120"/>
      </w:pPr>
      <w:r>
        <w:rPr>
          <w:b/>
          <w:color w:val="1B365D"/>
          <w:sz w:val="32"/>
        </w:rPr>
        <w:t>6. Operational Project Timeline (33-Hour Sprint)</w:t>
      </w:r>
    </w:p>
    <w:p>
      <w:r>
        <w:t>To simulate realistic enterprise delivery cycles, the complete planning, exploratory analysis, modeling, and executive synthesis is budgeted across a structured 33-hour operational sprint. Figure 2 displays the sequential Gantt execution schedule, while Figure 3 breaks down the proportional effort distribution across phases.</w:t>
      </w:r>
    </w:p>
    <w:p>
      <w:pPr>
        <w:spacing w:before="200" w:after="80"/>
        <w:jc w:val="center"/>
      </w:pPr>
      <w:r>
        <w:drawing>
          <wp:inline xmlns:a="http://schemas.openxmlformats.org/drawingml/2006/main" xmlns:pic="http://schemas.openxmlformats.org/drawingml/2006/picture">
            <wp:extent cx="5303520" cy="2618159"/>
            <wp:docPr id="2" name="Picture 2"/>
            <wp:cNvGraphicFramePr>
              <a:graphicFrameLocks noChangeAspect="1"/>
            </wp:cNvGraphicFramePr>
            <a:graphic>
              <a:graphicData uri="http://schemas.openxmlformats.org/drawingml/2006/picture">
                <pic:pic>
                  <pic:nvPicPr>
                    <pic:cNvPr id="0" name="w1_fig2_gantt_timeline.png"/>
                    <pic:cNvPicPr/>
                  </pic:nvPicPr>
                  <pic:blipFill>
                    <a:blip r:embed="rId11"/>
                    <a:stretch>
                      <a:fillRect/>
                    </a:stretch>
                  </pic:blipFill>
                  <pic:spPr>
                    <a:xfrm>
                      <a:off x="0" y="0"/>
                      <a:ext cx="5303520" cy="2618159"/>
                    </a:xfrm>
                    <a:prstGeom prst="rect"/>
                  </pic:spPr>
                </pic:pic>
              </a:graphicData>
            </a:graphic>
          </wp:inline>
        </w:drawing>
      </w:r>
    </w:p>
    <w:p>
      <w:pPr>
        <w:spacing w:before="40" w:after="240"/>
        <w:jc w:val="center"/>
      </w:pPr>
      <w:r>
        <w:rPr>
          <w:i/>
          <w:color w:val="5C768D"/>
          <w:sz w:val="19"/>
        </w:rPr>
        <w:t>Figure 2: 33-Hour Sprint Timeline Allocation (Gantt Schedule)</w:t>
      </w:r>
    </w:p>
    <w:p>
      <w:pPr>
        <w:spacing w:before="200" w:after="80"/>
        <w:jc w:val="center"/>
      </w:pPr>
      <w:r>
        <w:drawing>
          <wp:inline xmlns:a="http://schemas.openxmlformats.org/drawingml/2006/main" xmlns:pic="http://schemas.openxmlformats.org/drawingml/2006/picture">
            <wp:extent cx="4754880" cy="3286908"/>
            <wp:docPr id="3" name="Picture 3"/>
            <wp:cNvGraphicFramePr>
              <a:graphicFrameLocks noChangeAspect="1"/>
            </wp:cNvGraphicFramePr>
            <a:graphic>
              <a:graphicData uri="http://schemas.openxmlformats.org/drawingml/2006/picture">
                <pic:pic>
                  <pic:nvPicPr>
                    <pic:cNvPr id="0" name="w1_fig3_hours_distribution.png"/>
                    <pic:cNvPicPr/>
                  </pic:nvPicPr>
                  <pic:blipFill>
                    <a:blip r:embed="rId12"/>
                    <a:stretch>
                      <a:fillRect/>
                    </a:stretch>
                  </pic:blipFill>
                  <pic:spPr>
                    <a:xfrm>
                      <a:off x="0" y="0"/>
                      <a:ext cx="4754880" cy="3286908"/>
                    </a:xfrm>
                    <a:prstGeom prst="rect"/>
                  </pic:spPr>
                </pic:pic>
              </a:graphicData>
            </a:graphic>
          </wp:inline>
        </w:drawing>
      </w:r>
    </w:p>
    <w:p>
      <w:pPr>
        <w:spacing w:before="40" w:after="240"/>
        <w:jc w:val="center"/>
      </w:pPr>
      <w:r>
        <w:rPr>
          <w:i/>
          <w:color w:val="5C768D"/>
          <w:sz w:val="19"/>
        </w:rPr>
        <w:t>Figure 3: Planned Effort Distribution Across Project Phases (33h Total)</w:t>
      </w:r>
    </w:p>
    <w:tbl>
      <w:tblPr>
        <w:tblW w:type="auto" w:w="0"/>
        <w:jc w:val="center"/>
        <w:tblLook w:firstColumn="1" w:firstRow="1" w:lastColumn="0" w:lastRow="0" w:noHBand="0" w:noVBand="1" w:val="04A0"/>
      </w:tblPr>
      <w:tblGrid>
        <w:gridCol w:w="2340"/>
        <w:gridCol w:w="2340"/>
        <w:gridCol w:w="2340"/>
        <w:gridCol w:w="2340"/>
      </w:tblGrid>
      <w:tr>
        <w:tc>
          <w:tcPr>
            <w:tcW w:type="dxa" w:w="1440"/>
            <w:shd w:fill="1B365D"/>
            <w:tcMar>
              <w:top w:w="120" w:type="dxa"/>
              <w:bottom w:w="120" w:type="dxa"/>
              <w:left w:w="140" w:type="dxa"/>
              <w:right w:w="140" w:type="dxa"/>
            </w:tcMar>
          </w:tcPr>
          <w:p>
            <w:pPr>
              <w:jc w:val="left"/>
            </w:pPr>
            <w:r>
              <w:rPr>
                <w:b/>
                <w:color w:val="FFFFFF"/>
                <w:sz w:val="19"/>
              </w:rPr>
              <w:t>Phase Code</w:t>
            </w:r>
          </w:p>
        </w:tc>
        <w:tc>
          <w:tcPr>
            <w:tcW w:type="dxa" w:w="2592"/>
            <w:shd w:fill="1B365D"/>
            <w:tcMar>
              <w:top w:w="120" w:type="dxa"/>
              <w:bottom w:w="120" w:type="dxa"/>
              <w:left w:w="140" w:type="dxa"/>
              <w:right w:w="140" w:type="dxa"/>
            </w:tcMar>
          </w:tcPr>
          <w:p>
            <w:pPr>
              <w:jc w:val="left"/>
            </w:pPr>
            <w:r>
              <w:rPr>
                <w:b/>
                <w:color w:val="FFFFFF"/>
                <w:sz w:val="19"/>
              </w:rPr>
              <w:t>Phase Name &amp; Objective</w:t>
            </w:r>
          </w:p>
        </w:tc>
        <w:tc>
          <w:tcPr>
            <w:tcW w:type="dxa" w:w="3888"/>
            <w:shd w:fill="1B365D"/>
            <w:tcMar>
              <w:top w:w="120" w:type="dxa"/>
              <w:bottom w:w="120" w:type="dxa"/>
              <w:left w:w="140" w:type="dxa"/>
              <w:right w:w="140" w:type="dxa"/>
            </w:tcMar>
          </w:tcPr>
          <w:p>
            <w:pPr>
              <w:jc w:val="left"/>
            </w:pPr>
            <w:r>
              <w:rPr>
                <w:b/>
                <w:color w:val="FFFFFF"/>
                <w:sz w:val="19"/>
              </w:rPr>
              <w:t>Core Operational Activities</w:t>
            </w:r>
          </w:p>
        </w:tc>
        <w:tc>
          <w:tcPr>
            <w:tcW w:type="dxa" w:w="1440"/>
            <w:shd w:fill="1B365D"/>
            <w:tcMar>
              <w:top w:w="120" w:type="dxa"/>
              <w:bottom w:w="120" w:type="dxa"/>
              <w:left w:w="140" w:type="dxa"/>
              <w:right w:w="140" w:type="dxa"/>
            </w:tcMar>
          </w:tcPr>
          <w:p>
            <w:pPr>
              <w:jc w:val="left"/>
            </w:pPr>
            <w:r>
              <w:rPr>
                <w:b/>
                <w:color w:val="FFFFFF"/>
                <w:sz w:val="19"/>
              </w:rPr>
              <w:t>Allocated Hours</w:t>
            </w:r>
          </w:p>
        </w:tc>
      </w:tr>
      <w:tr>
        <w:tc>
          <w:tcPr>
            <w:tcW w:type="dxa" w:w="1440"/>
            <w:shd w:fill="FFFFFF"/>
            <w:tcMar>
              <w:top w:w="100" w:type="dxa"/>
              <w:bottom w:w="100" w:type="dxa"/>
              <w:left w:w="140" w:type="dxa"/>
              <w:right w:w="140" w:type="dxa"/>
            </w:tcMar>
          </w:tcPr>
          <w:p>
            <w:pPr>
              <w:jc w:val="left"/>
            </w:pPr>
            <w:r>
              <w:rPr>
                <w:color w:val="1E293B"/>
                <w:sz w:val="18"/>
              </w:rPr>
              <w:t>PH-01</w:t>
            </w:r>
          </w:p>
        </w:tc>
        <w:tc>
          <w:tcPr>
            <w:tcW w:type="dxa" w:w="2592"/>
            <w:shd w:fill="FFFFFF"/>
            <w:tcMar>
              <w:top w:w="100" w:type="dxa"/>
              <w:bottom w:w="100" w:type="dxa"/>
              <w:left w:w="140" w:type="dxa"/>
              <w:right w:w="140" w:type="dxa"/>
            </w:tcMar>
          </w:tcPr>
          <w:p>
            <w:pPr>
              <w:jc w:val="left"/>
            </w:pPr>
            <w:r>
              <w:rPr>
                <w:color w:val="1E293B"/>
                <w:sz w:val="18"/>
              </w:rPr>
              <w:t>Environment &amp; Ingestion</w:t>
            </w:r>
          </w:p>
        </w:tc>
        <w:tc>
          <w:tcPr>
            <w:tcW w:type="dxa" w:w="3888"/>
            <w:shd w:fill="FFFFFF"/>
            <w:tcMar>
              <w:top w:w="100" w:type="dxa"/>
              <w:bottom w:w="100" w:type="dxa"/>
              <w:left w:w="140" w:type="dxa"/>
              <w:right w:w="140" w:type="dxa"/>
            </w:tcMar>
          </w:tcPr>
          <w:p>
            <w:pPr>
              <w:jc w:val="left"/>
            </w:pPr>
            <w:r>
              <w:rPr>
                <w:color w:val="1E293B"/>
                <w:sz w:val="18"/>
              </w:rPr>
              <w:t>Repository scaffolding, virtual environment, telemetry ingestion, schema assertion checks.</w:t>
            </w:r>
          </w:p>
        </w:tc>
        <w:tc>
          <w:tcPr>
            <w:tcW w:type="dxa" w:w="1440"/>
            <w:shd w:fill="FFFFFF"/>
            <w:tcMar>
              <w:top w:w="100" w:type="dxa"/>
              <w:bottom w:w="100" w:type="dxa"/>
              <w:left w:w="140" w:type="dxa"/>
              <w:right w:w="140" w:type="dxa"/>
            </w:tcMar>
          </w:tcPr>
          <w:p>
            <w:pPr>
              <w:jc w:val="left"/>
            </w:pPr>
            <w:r>
              <w:rPr>
                <w:color w:val="1E293B"/>
                <w:sz w:val="18"/>
              </w:rPr>
              <w:t>5.0 Hours</w:t>
            </w:r>
          </w:p>
        </w:tc>
      </w:tr>
      <w:tr>
        <w:tc>
          <w:tcPr>
            <w:tcW w:type="dxa" w:w="1440"/>
            <w:shd w:fill="F8FAFC"/>
            <w:tcMar>
              <w:top w:w="100" w:type="dxa"/>
              <w:bottom w:w="100" w:type="dxa"/>
              <w:left w:w="140" w:type="dxa"/>
              <w:right w:w="140" w:type="dxa"/>
            </w:tcMar>
          </w:tcPr>
          <w:p>
            <w:pPr>
              <w:jc w:val="left"/>
            </w:pPr>
            <w:r>
              <w:rPr>
                <w:color w:val="1E293B"/>
                <w:sz w:val="18"/>
              </w:rPr>
              <w:t>PH-02</w:t>
            </w:r>
          </w:p>
        </w:tc>
        <w:tc>
          <w:tcPr>
            <w:tcW w:type="dxa" w:w="2592"/>
            <w:shd w:fill="F8FAFC"/>
            <w:tcMar>
              <w:top w:w="100" w:type="dxa"/>
              <w:bottom w:w="100" w:type="dxa"/>
              <w:left w:w="140" w:type="dxa"/>
              <w:right w:w="140" w:type="dxa"/>
            </w:tcMar>
          </w:tcPr>
          <w:p>
            <w:pPr>
              <w:jc w:val="left"/>
            </w:pPr>
            <w:r>
              <w:rPr>
                <w:color w:val="1E293B"/>
                <w:sz w:val="18"/>
              </w:rPr>
              <w:t>Data Cleaning &amp; Hygiene</w:t>
            </w:r>
          </w:p>
        </w:tc>
        <w:tc>
          <w:tcPr>
            <w:tcW w:type="dxa" w:w="3888"/>
            <w:shd w:fill="F8FAFC"/>
            <w:tcMar>
              <w:top w:w="100" w:type="dxa"/>
              <w:bottom w:w="100" w:type="dxa"/>
              <w:left w:w="140" w:type="dxa"/>
              <w:right w:w="140" w:type="dxa"/>
            </w:tcMar>
          </w:tcPr>
          <w:p>
            <w:pPr>
              <w:jc w:val="left"/>
            </w:pPr>
            <w:r>
              <w:rPr>
                <w:color w:val="1E293B"/>
                <w:sz w:val="18"/>
              </w:rPr>
              <w:t>Missing value median imputation, outlier screening via IQR, unit tests for data cleanliness.</w:t>
            </w:r>
          </w:p>
        </w:tc>
        <w:tc>
          <w:tcPr>
            <w:tcW w:type="dxa" w:w="1440"/>
            <w:shd w:fill="F8FAFC"/>
            <w:tcMar>
              <w:top w:w="100" w:type="dxa"/>
              <w:bottom w:w="100" w:type="dxa"/>
              <w:left w:w="140" w:type="dxa"/>
              <w:right w:w="140" w:type="dxa"/>
            </w:tcMar>
          </w:tcPr>
          <w:p>
            <w:pPr>
              <w:jc w:val="left"/>
            </w:pPr>
            <w:r>
              <w:rPr>
                <w:color w:val="1E293B"/>
                <w:sz w:val="18"/>
              </w:rPr>
              <w:t>5.0 Hours</w:t>
            </w:r>
          </w:p>
        </w:tc>
      </w:tr>
      <w:tr>
        <w:tc>
          <w:tcPr>
            <w:tcW w:type="dxa" w:w="1440"/>
            <w:shd w:fill="FFFFFF"/>
            <w:tcMar>
              <w:top w:w="100" w:type="dxa"/>
              <w:bottom w:w="100" w:type="dxa"/>
              <w:left w:w="140" w:type="dxa"/>
              <w:right w:w="140" w:type="dxa"/>
            </w:tcMar>
          </w:tcPr>
          <w:p>
            <w:pPr>
              <w:jc w:val="left"/>
            </w:pPr>
            <w:r>
              <w:rPr>
                <w:color w:val="1E293B"/>
                <w:sz w:val="18"/>
              </w:rPr>
              <w:t>PH-03</w:t>
            </w:r>
          </w:p>
        </w:tc>
        <w:tc>
          <w:tcPr>
            <w:tcW w:type="dxa" w:w="2592"/>
            <w:shd w:fill="FFFFFF"/>
            <w:tcMar>
              <w:top w:w="100" w:type="dxa"/>
              <w:bottom w:w="100" w:type="dxa"/>
              <w:left w:w="140" w:type="dxa"/>
              <w:right w:w="140" w:type="dxa"/>
            </w:tcMar>
          </w:tcPr>
          <w:p>
            <w:pPr>
              <w:jc w:val="left"/>
            </w:pPr>
            <w:r>
              <w:rPr>
                <w:color w:val="1E293B"/>
                <w:sz w:val="18"/>
              </w:rPr>
              <w:t>Exploratory Data Analysis</w:t>
            </w:r>
          </w:p>
        </w:tc>
        <w:tc>
          <w:tcPr>
            <w:tcW w:type="dxa" w:w="3888"/>
            <w:shd w:fill="FFFFFF"/>
            <w:tcMar>
              <w:top w:w="100" w:type="dxa"/>
              <w:bottom w:w="100" w:type="dxa"/>
              <w:left w:w="140" w:type="dxa"/>
              <w:right w:w="140" w:type="dxa"/>
            </w:tcMar>
          </w:tcPr>
          <w:p>
            <w:pPr>
              <w:jc w:val="left"/>
            </w:pPr>
            <w:r>
              <w:rPr>
                <w:color w:val="1E293B"/>
                <w:sz w:val="18"/>
              </w:rPr>
              <w:t>Univariate distribution modeling, bivariate cross-tabs, correlation matrix generation.</w:t>
            </w:r>
          </w:p>
        </w:tc>
        <w:tc>
          <w:tcPr>
            <w:tcW w:type="dxa" w:w="1440"/>
            <w:shd w:fill="FFFFFF"/>
            <w:tcMar>
              <w:top w:w="100" w:type="dxa"/>
              <w:bottom w:w="100" w:type="dxa"/>
              <w:left w:w="140" w:type="dxa"/>
              <w:right w:w="140" w:type="dxa"/>
            </w:tcMar>
          </w:tcPr>
          <w:p>
            <w:pPr>
              <w:jc w:val="left"/>
            </w:pPr>
            <w:r>
              <w:rPr>
                <w:color w:val="1E293B"/>
                <w:sz w:val="18"/>
              </w:rPr>
              <w:t>7.0 Hours</w:t>
            </w:r>
          </w:p>
        </w:tc>
      </w:tr>
      <w:tr>
        <w:tc>
          <w:tcPr>
            <w:tcW w:type="dxa" w:w="1440"/>
            <w:shd w:fill="F8FAFC"/>
            <w:tcMar>
              <w:top w:w="100" w:type="dxa"/>
              <w:bottom w:w="100" w:type="dxa"/>
              <w:left w:w="140" w:type="dxa"/>
              <w:right w:w="140" w:type="dxa"/>
            </w:tcMar>
          </w:tcPr>
          <w:p>
            <w:pPr>
              <w:jc w:val="left"/>
            </w:pPr>
            <w:r>
              <w:rPr>
                <w:color w:val="1E293B"/>
                <w:sz w:val="18"/>
              </w:rPr>
              <w:t>PH-04</w:t>
            </w:r>
          </w:p>
        </w:tc>
        <w:tc>
          <w:tcPr>
            <w:tcW w:type="dxa" w:w="2592"/>
            <w:shd w:fill="F8FAFC"/>
            <w:tcMar>
              <w:top w:w="100" w:type="dxa"/>
              <w:bottom w:w="100" w:type="dxa"/>
              <w:left w:w="140" w:type="dxa"/>
              <w:right w:w="140" w:type="dxa"/>
            </w:tcMar>
          </w:tcPr>
          <w:p>
            <w:pPr>
              <w:jc w:val="left"/>
            </w:pPr>
            <w:r>
              <w:rPr>
                <w:color w:val="1E293B"/>
                <w:sz w:val="18"/>
              </w:rPr>
              <w:t>Feature Pipelining</w:t>
            </w:r>
          </w:p>
        </w:tc>
        <w:tc>
          <w:tcPr>
            <w:tcW w:type="dxa" w:w="3888"/>
            <w:shd w:fill="F8FAFC"/>
            <w:tcMar>
              <w:top w:w="100" w:type="dxa"/>
              <w:bottom w:w="100" w:type="dxa"/>
              <w:left w:w="140" w:type="dxa"/>
              <w:right w:w="140" w:type="dxa"/>
            </w:tcMar>
          </w:tcPr>
          <w:p>
            <w:pPr>
              <w:jc w:val="left"/>
            </w:pPr>
            <w:r>
              <w:rPr>
                <w:color w:val="1E293B"/>
                <w:sz w:val="18"/>
              </w:rPr>
              <w:t>Engineering usage velocity ratios, composing Scikit-Learn ColumnTransformer primitives.</w:t>
            </w:r>
          </w:p>
        </w:tc>
        <w:tc>
          <w:tcPr>
            <w:tcW w:type="dxa" w:w="1440"/>
            <w:shd w:fill="F8FAFC"/>
            <w:tcMar>
              <w:top w:w="100" w:type="dxa"/>
              <w:bottom w:w="100" w:type="dxa"/>
              <w:left w:w="140" w:type="dxa"/>
              <w:right w:w="140" w:type="dxa"/>
            </w:tcMar>
          </w:tcPr>
          <w:p>
            <w:pPr>
              <w:jc w:val="left"/>
            </w:pPr>
            <w:r>
              <w:rPr>
                <w:color w:val="1E293B"/>
                <w:sz w:val="18"/>
              </w:rPr>
              <w:t>5.0 Hours</w:t>
            </w:r>
          </w:p>
        </w:tc>
      </w:tr>
      <w:tr>
        <w:tc>
          <w:tcPr>
            <w:tcW w:type="dxa" w:w="1440"/>
            <w:shd w:fill="FFFFFF"/>
            <w:tcMar>
              <w:top w:w="100" w:type="dxa"/>
              <w:bottom w:w="100" w:type="dxa"/>
              <w:left w:w="140" w:type="dxa"/>
              <w:right w:w="140" w:type="dxa"/>
            </w:tcMar>
          </w:tcPr>
          <w:p>
            <w:pPr>
              <w:jc w:val="left"/>
            </w:pPr>
            <w:r>
              <w:rPr>
                <w:color w:val="1E293B"/>
                <w:sz w:val="18"/>
              </w:rPr>
              <w:t>PH-05</w:t>
            </w:r>
          </w:p>
        </w:tc>
        <w:tc>
          <w:tcPr>
            <w:tcW w:type="dxa" w:w="2592"/>
            <w:shd w:fill="FFFFFF"/>
            <w:tcMar>
              <w:top w:w="100" w:type="dxa"/>
              <w:bottom w:w="100" w:type="dxa"/>
              <w:left w:w="140" w:type="dxa"/>
              <w:right w:w="140" w:type="dxa"/>
            </w:tcMar>
          </w:tcPr>
          <w:p>
            <w:pPr>
              <w:jc w:val="left"/>
            </w:pPr>
            <w:r>
              <w:rPr>
                <w:color w:val="1E293B"/>
                <w:sz w:val="18"/>
              </w:rPr>
              <w:t>ML Modeling &amp; Validation</w:t>
            </w:r>
          </w:p>
        </w:tc>
        <w:tc>
          <w:tcPr>
            <w:tcW w:type="dxa" w:w="3888"/>
            <w:shd w:fill="FFFFFF"/>
            <w:tcMar>
              <w:top w:w="100" w:type="dxa"/>
              <w:bottom w:w="100" w:type="dxa"/>
              <w:left w:w="140" w:type="dxa"/>
              <w:right w:w="140" w:type="dxa"/>
            </w:tcMar>
          </w:tcPr>
          <w:p>
            <w:pPr>
              <w:jc w:val="left"/>
            </w:pPr>
            <w:r>
              <w:rPr>
                <w:color w:val="1E293B"/>
                <w:sz w:val="18"/>
              </w:rPr>
              <w:t>Stratified 5-Fold CV, hyperparameter tuning, cost-utility threshold optimization.</w:t>
            </w:r>
          </w:p>
        </w:tc>
        <w:tc>
          <w:tcPr>
            <w:tcW w:type="dxa" w:w="1440"/>
            <w:shd w:fill="FFFFFF"/>
            <w:tcMar>
              <w:top w:w="100" w:type="dxa"/>
              <w:bottom w:w="100" w:type="dxa"/>
              <w:left w:w="140" w:type="dxa"/>
              <w:right w:w="140" w:type="dxa"/>
            </w:tcMar>
          </w:tcPr>
          <w:p>
            <w:pPr>
              <w:jc w:val="left"/>
            </w:pPr>
            <w:r>
              <w:rPr>
                <w:color w:val="1E293B"/>
                <w:sz w:val="18"/>
              </w:rPr>
              <w:t>6.0 Hours</w:t>
            </w:r>
          </w:p>
        </w:tc>
      </w:tr>
      <w:tr>
        <w:tc>
          <w:tcPr>
            <w:tcW w:type="dxa" w:w="1440"/>
            <w:shd w:fill="F8FAFC"/>
            <w:tcMar>
              <w:top w:w="100" w:type="dxa"/>
              <w:bottom w:w="100" w:type="dxa"/>
              <w:left w:w="140" w:type="dxa"/>
              <w:right w:w="140" w:type="dxa"/>
            </w:tcMar>
          </w:tcPr>
          <w:p>
            <w:pPr>
              <w:jc w:val="left"/>
            </w:pPr>
            <w:r>
              <w:rPr>
                <w:color w:val="1E293B"/>
                <w:sz w:val="18"/>
              </w:rPr>
              <w:t>PH-06</w:t>
            </w:r>
          </w:p>
        </w:tc>
        <w:tc>
          <w:tcPr>
            <w:tcW w:type="dxa" w:w="2592"/>
            <w:shd w:fill="F8FAFC"/>
            <w:tcMar>
              <w:top w:w="100" w:type="dxa"/>
              <w:bottom w:w="100" w:type="dxa"/>
              <w:left w:w="140" w:type="dxa"/>
              <w:right w:w="140" w:type="dxa"/>
            </w:tcMar>
          </w:tcPr>
          <w:p>
            <w:pPr>
              <w:jc w:val="left"/>
            </w:pPr>
            <w:r>
              <w:rPr>
                <w:color w:val="1E293B"/>
                <w:sz w:val="18"/>
              </w:rPr>
              <w:t>Synthesis &amp; Reporting</w:t>
            </w:r>
          </w:p>
        </w:tc>
        <w:tc>
          <w:tcPr>
            <w:tcW w:type="dxa" w:w="3888"/>
            <w:shd w:fill="F8FAFC"/>
            <w:tcMar>
              <w:top w:w="100" w:type="dxa"/>
              <w:bottom w:w="100" w:type="dxa"/>
              <w:left w:w="140" w:type="dxa"/>
              <w:right w:w="140" w:type="dxa"/>
            </w:tcMar>
          </w:tcPr>
          <w:p>
            <w:pPr>
              <w:jc w:val="left"/>
            </w:pPr>
            <w:r>
              <w:rPr>
                <w:color w:val="1E293B"/>
                <w:sz w:val="18"/>
              </w:rPr>
              <w:t>Artifact serialization, executive briefing preparation, deck assembly, and documentation.</w:t>
            </w:r>
          </w:p>
        </w:tc>
        <w:tc>
          <w:tcPr>
            <w:tcW w:type="dxa" w:w="1440"/>
            <w:shd w:fill="F8FAFC"/>
            <w:tcMar>
              <w:top w:w="100" w:type="dxa"/>
              <w:bottom w:w="100" w:type="dxa"/>
              <w:left w:w="140" w:type="dxa"/>
              <w:right w:w="140" w:type="dxa"/>
            </w:tcMar>
          </w:tcPr>
          <w:p>
            <w:pPr>
              <w:jc w:val="left"/>
            </w:pPr>
            <w:r>
              <w:rPr>
                <w:color w:val="1E293B"/>
                <w:sz w:val="18"/>
              </w:rPr>
              <w:t>5.0 Hours</w:t>
            </w:r>
          </w:p>
        </w:tc>
      </w:tr>
      <w:tr>
        <w:tc>
          <w:tcPr>
            <w:tcW w:type="dxa" w:w="1440"/>
            <w:shd w:fill="FFFFFF"/>
            <w:tcMar>
              <w:top w:w="100" w:type="dxa"/>
              <w:bottom w:w="100" w:type="dxa"/>
              <w:left w:w="140" w:type="dxa"/>
              <w:right w:w="140" w:type="dxa"/>
            </w:tcMar>
          </w:tcPr>
          <w:p>
            <w:pPr>
              <w:jc w:val="left"/>
            </w:pPr>
            <w:r>
              <w:rPr>
                <w:color w:val="1E293B"/>
                <w:sz w:val="18"/>
              </w:rPr>
              <w:t>TOTAL</w:t>
            </w:r>
          </w:p>
        </w:tc>
        <w:tc>
          <w:tcPr>
            <w:tcW w:type="dxa" w:w="2592"/>
            <w:shd w:fill="FFFFFF"/>
            <w:tcMar>
              <w:top w:w="100" w:type="dxa"/>
              <w:bottom w:w="100" w:type="dxa"/>
              <w:left w:w="140" w:type="dxa"/>
              <w:right w:w="140" w:type="dxa"/>
            </w:tcMar>
          </w:tcPr>
          <w:p>
            <w:pPr>
              <w:jc w:val="left"/>
            </w:pPr>
            <w:r>
              <w:rPr>
                <w:color w:val="1E293B"/>
                <w:sz w:val="18"/>
              </w:rPr>
              <w:t>Full Sprint Execution</w:t>
            </w:r>
          </w:p>
        </w:tc>
        <w:tc>
          <w:tcPr>
            <w:tcW w:type="dxa" w:w="3888"/>
            <w:shd w:fill="FFFFFF"/>
            <w:tcMar>
              <w:top w:w="100" w:type="dxa"/>
              <w:bottom w:w="100" w:type="dxa"/>
              <w:left w:w="140" w:type="dxa"/>
              <w:right w:w="140" w:type="dxa"/>
            </w:tcMar>
          </w:tcPr>
          <w:p>
            <w:pPr>
              <w:jc w:val="left"/>
            </w:pPr>
            <w:r>
              <w:rPr>
                <w:color w:val="1E293B"/>
                <w:sz w:val="18"/>
              </w:rPr>
              <w:t>Comprehensive delivery of all planning, modeling, and executive artifacts.</w:t>
            </w:r>
          </w:p>
        </w:tc>
        <w:tc>
          <w:tcPr>
            <w:tcW w:type="dxa" w:w="1440"/>
            <w:shd w:fill="FFFFFF"/>
            <w:tcMar>
              <w:top w:w="100" w:type="dxa"/>
              <w:bottom w:w="100" w:type="dxa"/>
              <w:left w:w="140" w:type="dxa"/>
              <w:right w:w="140" w:type="dxa"/>
            </w:tcMar>
          </w:tcPr>
          <w:p>
            <w:pPr>
              <w:jc w:val="left"/>
            </w:pPr>
            <w:r>
              <w:rPr>
                <w:color w:val="1E293B"/>
                <w:sz w:val="18"/>
              </w:rPr>
              <w:t>33.0 Hours</w:t>
            </w:r>
          </w:p>
        </w:tc>
      </w:tr>
    </w:tbl>
    <w:p>
      <w:pPr>
        <w:spacing w:before="80" w:after="160"/>
      </w:pPr>
    </w:p>
    <w:p>
      <w:pPr>
        <w:keepNext/>
        <w:spacing w:before="360" w:after="120"/>
      </w:pPr>
      <w:r>
        <w:rPr>
          <w:b/>
          <w:color w:val="1B365D"/>
          <w:sz w:val="32"/>
        </w:rPr>
        <w:t>7. Technology Stack &amp; Python Ecosystem</w:t>
      </w:r>
    </w:p>
    <w:p>
      <w:r>
        <w:t>The architecture relies exclusively on modern, high-performance open-source Python libraries. Figure 4 provides the multi-tier system architecture diagram showing how raw data flows from storage through processing to downstream executive delivery interfaces.</w:t>
      </w:r>
    </w:p>
    <w:p>
      <w:pPr>
        <w:spacing w:before="200" w:after="80"/>
        <w:jc w:val="center"/>
      </w:pPr>
      <w:r>
        <w:drawing>
          <wp:inline xmlns:a="http://schemas.openxmlformats.org/drawingml/2006/main" xmlns:pic="http://schemas.openxmlformats.org/drawingml/2006/picture">
            <wp:extent cx="5303520" cy="2616833"/>
            <wp:docPr id="4" name="Picture 4"/>
            <wp:cNvGraphicFramePr>
              <a:graphicFrameLocks noChangeAspect="1"/>
            </wp:cNvGraphicFramePr>
            <a:graphic>
              <a:graphicData uri="http://schemas.openxmlformats.org/drawingml/2006/picture">
                <pic:pic>
                  <pic:nvPicPr>
                    <pic:cNvPr id="0" name="w1_fig4_system_architecture.png"/>
                    <pic:cNvPicPr/>
                  </pic:nvPicPr>
                  <pic:blipFill>
                    <a:blip r:embed="rId13"/>
                    <a:stretch>
                      <a:fillRect/>
                    </a:stretch>
                  </pic:blipFill>
                  <pic:spPr>
                    <a:xfrm>
                      <a:off x="0" y="0"/>
                      <a:ext cx="5303520" cy="2616833"/>
                    </a:xfrm>
                    <a:prstGeom prst="rect"/>
                  </pic:spPr>
                </pic:pic>
              </a:graphicData>
            </a:graphic>
          </wp:inline>
        </w:drawing>
      </w:r>
    </w:p>
    <w:p>
      <w:pPr>
        <w:spacing w:before="40" w:after="240"/>
        <w:jc w:val="center"/>
      </w:pPr>
      <w:r>
        <w:rPr>
          <w:i/>
          <w:color w:val="5C768D"/>
          <w:sz w:val="19"/>
        </w:rPr>
        <w:t>Figure 4: Enterprise Predictive Maintenance &amp; Churn Analytics System Architecture</w:t>
      </w:r>
    </w:p>
    <w:tbl>
      <w:tblPr>
        <w:tblW w:type="auto" w:w="0"/>
        <w:jc w:val="center"/>
        <w:tblLook w:firstColumn="1" w:firstRow="1" w:lastColumn="0" w:lastRow="0" w:noHBand="0" w:noVBand="1" w:val="04A0"/>
      </w:tblPr>
      <w:tblGrid>
        <w:gridCol w:w="2340"/>
        <w:gridCol w:w="2340"/>
        <w:gridCol w:w="2340"/>
        <w:gridCol w:w="2340"/>
      </w:tblGrid>
      <w:tr>
        <w:tc>
          <w:tcPr>
            <w:tcW w:type="dxa" w:w="1728"/>
            <w:shd w:fill="1B365D"/>
            <w:tcMar>
              <w:top w:w="120" w:type="dxa"/>
              <w:bottom w:w="120" w:type="dxa"/>
              <w:left w:w="140" w:type="dxa"/>
              <w:right w:w="140" w:type="dxa"/>
            </w:tcMar>
          </w:tcPr>
          <w:p>
            <w:pPr>
              <w:jc w:val="left"/>
            </w:pPr>
            <w:r>
              <w:rPr>
                <w:b/>
                <w:color w:val="FFFFFF"/>
                <w:sz w:val="19"/>
              </w:rPr>
              <w:t>Library / Tool</w:t>
            </w:r>
          </w:p>
        </w:tc>
        <w:tc>
          <w:tcPr>
            <w:tcW w:type="dxa" w:w="1296"/>
            <w:shd w:fill="1B365D"/>
            <w:tcMar>
              <w:top w:w="120" w:type="dxa"/>
              <w:bottom w:w="120" w:type="dxa"/>
              <w:left w:w="140" w:type="dxa"/>
              <w:right w:w="140" w:type="dxa"/>
            </w:tcMar>
          </w:tcPr>
          <w:p>
            <w:pPr>
              <w:jc w:val="left"/>
            </w:pPr>
            <w:r>
              <w:rPr>
                <w:b/>
                <w:color w:val="FFFFFF"/>
                <w:sz w:val="19"/>
              </w:rPr>
              <w:t>Version</w:t>
            </w:r>
          </w:p>
        </w:tc>
        <w:tc>
          <w:tcPr>
            <w:tcW w:type="dxa" w:w="2592"/>
            <w:shd w:fill="1B365D"/>
            <w:tcMar>
              <w:top w:w="120" w:type="dxa"/>
              <w:bottom w:w="120" w:type="dxa"/>
              <w:left w:w="140" w:type="dxa"/>
              <w:right w:w="140" w:type="dxa"/>
            </w:tcMar>
          </w:tcPr>
          <w:p>
            <w:pPr>
              <w:jc w:val="left"/>
            </w:pPr>
            <w:r>
              <w:rPr>
                <w:b/>
                <w:color w:val="FFFFFF"/>
                <w:sz w:val="19"/>
              </w:rPr>
              <w:t>Functional Domain</w:t>
            </w:r>
          </w:p>
        </w:tc>
        <w:tc>
          <w:tcPr>
            <w:tcW w:type="dxa" w:w="3744"/>
            <w:shd w:fill="1B365D"/>
            <w:tcMar>
              <w:top w:w="120" w:type="dxa"/>
              <w:bottom w:w="120" w:type="dxa"/>
              <w:left w:w="140" w:type="dxa"/>
              <w:right w:w="140" w:type="dxa"/>
            </w:tcMar>
          </w:tcPr>
          <w:p>
            <w:pPr>
              <w:jc w:val="left"/>
            </w:pPr>
            <w:r>
              <w:rPr>
                <w:b/>
                <w:color w:val="FFFFFF"/>
                <w:sz w:val="19"/>
              </w:rPr>
              <w:t>Architectural Role &amp; Justification</w:t>
            </w:r>
          </w:p>
        </w:tc>
      </w:tr>
      <w:tr>
        <w:tc>
          <w:tcPr>
            <w:tcW w:type="dxa" w:w="1728"/>
            <w:shd w:fill="FFFFFF"/>
            <w:tcMar>
              <w:top w:w="100" w:type="dxa"/>
              <w:bottom w:w="100" w:type="dxa"/>
              <w:left w:w="140" w:type="dxa"/>
              <w:right w:w="140" w:type="dxa"/>
            </w:tcMar>
          </w:tcPr>
          <w:p>
            <w:pPr>
              <w:jc w:val="left"/>
            </w:pPr>
            <w:r>
              <w:rPr>
                <w:color w:val="1E293B"/>
                <w:sz w:val="18"/>
              </w:rPr>
              <w:t>Python</w:t>
            </w:r>
          </w:p>
        </w:tc>
        <w:tc>
          <w:tcPr>
            <w:tcW w:type="dxa" w:w="1296"/>
            <w:shd w:fill="FFFFFF"/>
            <w:tcMar>
              <w:top w:w="100" w:type="dxa"/>
              <w:bottom w:w="100" w:type="dxa"/>
              <w:left w:w="140" w:type="dxa"/>
              <w:right w:w="140" w:type="dxa"/>
            </w:tcMar>
          </w:tcPr>
          <w:p>
            <w:pPr>
              <w:jc w:val="left"/>
            </w:pPr>
            <w:r>
              <w:rPr>
                <w:color w:val="1E293B"/>
                <w:sz w:val="18"/>
              </w:rPr>
              <w:t>&gt;= 3.10</w:t>
            </w:r>
          </w:p>
        </w:tc>
        <w:tc>
          <w:tcPr>
            <w:tcW w:type="dxa" w:w="2592"/>
            <w:shd w:fill="FFFFFF"/>
            <w:tcMar>
              <w:top w:w="100" w:type="dxa"/>
              <w:bottom w:w="100" w:type="dxa"/>
              <w:left w:w="140" w:type="dxa"/>
              <w:right w:w="140" w:type="dxa"/>
            </w:tcMar>
          </w:tcPr>
          <w:p>
            <w:pPr>
              <w:jc w:val="left"/>
            </w:pPr>
            <w:r>
              <w:rPr>
                <w:color w:val="1E293B"/>
                <w:sz w:val="18"/>
              </w:rPr>
              <w:t>Core Runtime</w:t>
            </w:r>
          </w:p>
        </w:tc>
        <w:tc>
          <w:tcPr>
            <w:tcW w:type="dxa" w:w="3744"/>
            <w:shd w:fill="FFFFFF"/>
            <w:tcMar>
              <w:top w:w="100" w:type="dxa"/>
              <w:bottom w:w="100" w:type="dxa"/>
              <w:left w:w="140" w:type="dxa"/>
              <w:right w:w="140" w:type="dxa"/>
            </w:tcMar>
          </w:tcPr>
          <w:p>
            <w:pPr>
              <w:jc w:val="left"/>
            </w:pPr>
            <w:r>
              <w:rPr>
                <w:color w:val="1E293B"/>
                <w:sz w:val="18"/>
              </w:rPr>
              <w:t>Provides modern pattern matching, strong typing, and asynchronous process execution.</w:t>
            </w:r>
          </w:p>
        </w:tc>
      </w:tr>
      <w:tr>
        <w:tc>
          <w:tcPr>
            <w:tcW w:type="dxa" w:w="1728"/>
            <w:shd w:fill="F8FAFC"/>
            <w:tcMar>
              <w:top w:w="100" w:type="dxa"/>
              <w:bottom w:w="100" w:type="dxa"/>
              <w:left w:w="140" w:type="dxa"/>
              <w:right w:w="140" w:type="dxa"/>
            </w:tcMar>
          </w:tcPr>
          <w:p>
            <w:pPr>
              <w:jc w:val="left"/>
            </w:pPr>
            <w:r>
              <w:rPr>
                <w:color w:val="1E293B"/>
                <w:sz w:val="18"/>
              </w:rPr>
              <w:t>Pandas</w:t>
            </w:r>
          </w:p>
        </w:tc>
        <w:tc>
          <w:tcPr>
            <w:tcW w:type="dxa" w:w="1296"/>
            <w:shd w:fill="F8FAFC"/>
            <w:tcMar>
              <w:top w:w="100" w:type="dxa"/>
              <w:bottom w:w="100" w:type="dxa"/>
              <w:left w:w="140" w:type="dxa"/>
              <w:right w:w="140" w:type="dxa"/>
            </w:tcMar>
          </w:tcPr>
          <w:p>
            <w:pPr>
              <w:jc w:val="left"/>
            </w:pPr>
            <w:r>
              <w:rPr>
                <w:color w:val="1E293B"/>
                <w:sz w:val="18"/>
              </w:rPr>
              <w:t>&gt;= 2.0.0</w:t>
            </w:r>
          </w:p>
        </w:tc>
        <w:tc>
          <w:tcPr>
            <w:tcW w:type="dxa" w:w="2592"/>
            <w:shd w:fill="F8FAFC"/>
            <w:tcMar>
              <w:top w:w="100" w:type="dxa"/>
              <w:bottom w:w="100" w:type="dxa"/>
              <w:left w:w="140" w:type="dxa"/>
              <w:right w:w="140" w:type="dxa"/>
            </w:tcMar>
          </w:tcPr>
          <w:p>
            <w:pPr>
              <w:jc w:val="left"/>
            </w:pPr>
            <w:r>
              <w:rPr>
                <w:color w:val="1E293B"/>
                <w:sz w:val="18"/>
              </w:rPr>
              <w:t>Data Ingestion &amp; Wrangling</w:t>
            </w:r>
          </w:p>
        </w:tc>
        <w:tc>
          <w:tcPr>
            <w:tcW w:type="dxa" w:w="3744"/>
            <w:shd w:fill="F8FAFC"/>
            <w:tcMar>
              <w:top w:w="100" w:type="dxa"/>
              <w:bottom w:w="100" w:type="dxa"/>
              <w:left w:w="140" w:type="dxa"/>
              <w:right w:w="140" w:type="dxa"/>
            </w:tcMar>
          </w:tcPr>
          <w:p>
            <w:pPr>
              <w:jc w:val="left"/>
            </w:pPr>
            <w:r>
              <w:rPr>
                <w:color w:val="1E293B"/>
                <w:sz w:val="18"/>
              </w:rPr>
              <w:t>High-throughput DataFrame transformations, grouping operations, and memory optimization.</w:t>
            </w:r>
          </w:p>
        </w:tc>
      </w:tr>
      <w:tr>
        <w:tc>
          <w:tcPr>
            <w:tcW w:type="dxa" w:w="1728"/>
            <w:shd w:fill="FFFFFF"/>
            <w:tcMar>
              <w:top w:w="100" w:type="dxa"/>
              <w:bottom w:w="100" w:type="dxa"/>
              <w:left w:w="140" w:type="dxa"/>
              <w:right w:w="140" w:type="dxa"/>
            </w:tcMar>
          </w:tcPr>
          <w:p>
            <w:pPr>
              <w:jc w:val="left"/>
            </w:pPr>
            <w:r>
              <w:rPr>
                <w:color w:val="1E293B"/>
                <w:sz w:val="18"/>
              </w:rPr>
              <w:t>NumPy</w:t>
            </w:r>
          </w:p>
        </w:tc>
        <w:tc>
          <w:tcPr>
            <w:tcW w:type="dxa" w:w="1296"/>
            <w:shd w:fill="FFFFFF"/>
            <w:tcMar>
              <w:top w:w="100" w:type="dxa"/>
              <w:bottom w:w="100" w:type="dxa"/>
              <w:left w:w="140" w:type="dxa"/>
              <w:right w:w="140" w:type="dxa"/>
            </w:tcMar>
          </w:tcPr>
          <w:p>
            <w:pPr>
              <w:jc w:val="left"/>
            </w:pPr>
            <w:r>
              <w:rPr>
                <w:color w:val="1E293B"/>
                <w:sz w:val="18"/>
              </w:rPr>
              <w:t>&gt;= 1.24.0</w:t>
            </w:r>
          </w:p>
        </w:tc>
        <w:tc>
          <w:tcPr>
            <w:tcW w:type="dxa" w:w="2592"/>
            <w:shd w:fill="FFFFFF"/>
            <w:tcMar>
              <w:top w:w="100" w:type="dxa"/>
              <w:bottom w:w="100" w:type="dxa"/>
              <w:left w:w="140" w:type="dxa"/>
              <w:right w:w="140" w:type="dxa"/>
            </w:tcMar>
          </w:tcPr>
          <w:p>
            <w:pPr>
              <w:jc w:val="left"/>
            </w:pPr>
            <w:r>
              <w:rPr>
                <w:color w:val="1E293B"/>
                <w:sz w:val="18"/>
              </w:rPr>
              <w:t>Numerical Computing</w:t>
            </w:r>
          </w:p>
        </w:tc>
        <w:tc>
          <w:tcPr>
            <w:tcW w:type="dxa" w:w="3744"/>
            <w:shd w:fill="FFFFFF"/>
            <w:tcMar>
              <w:top w:w="100" w:type="dxa"/>
              <w:bottom w:w="100" w:type="dxa"/>
              <w:left w:w="140" w:type="dxa"/>
              <w:right w:w="140" w:type="dxa"/>
            </w:tcMar>
          </w:tcPr>
          <w:p>
            <w:pPr>
              <w:jc w:val="left"/>
            </w:pPr>
            <w:r>
              <w:rPr>
                <w:color w:val="1E293B"/>
                <w:sz w:val="18"/>
              </w:rPr>
              <w:t>Vectorized array manipulation, log transformations, and matrix computations.</w:t>
            </w:r>
          </w:p>
        </w:tc>
      </w:tr>
      <w:tr>
        <w:tc>
          <w:tcPr>
            <w:tcW w:type="dxa" w:w="1728"/>
            <w:shd w:fill="F8FAFC"/>
            <w:tcMar>
              <w:top w:w="100" w:type="dxa"/>
              <w:bottom w:w="100" w:type="dxa"/>
              <w:left w:w="140" w:type="dxa"/>
              <w:right w:w="140" w:type="dxa"/>
            </w:tcMar>
          </w:tcPr>
          <w:p>
            <w:pPr>
              <w:jc w:val="left"/>
            </w:pPr>
            <w:r>
              <w:rPr>
                <w:color w:val="1E293B"/>
                <w:sz w:val="18"/>
              </w:rPr>
              <w:t>Scikit-Learn</w:t>
            </w:r>
          </w:p>
        </w:tc>
        <w:tc>
          <w:tcPr>
            <w:tcW w:type="dxa" w:w="1296"/>
            <w:shd w:fill="F8FAFC"/>
            <w:tcMar>
              <w:top w:w="100" w:type="dxa"/>
              <w:bottom w:w="100" w:type="dxa"/>
              <w:left w:w="140" w:type="dxa"/>
              <w:right w:w="140" w:type="dxa"/>
            </w:tcMar>
          </w:tcPr>
          <w:p>
            <w:pPr>
              <w:jc w:val="left"/>
            </w:pPr>
            <w:r>
              <w:rPr>
                <w:color w:val="1E293B"/>
                <w:sz w:val="18"/>
              </w:rPr>
              <w:t>&gt;= 1.3.0</w:t>
            </w:r>
          </w:p>
        </w:tc>
        <w:tc>
          <w:tcPr>
            <w:tcW w:type="dxa" w:w="2592"/>
            <w:shd w:fill="F8FAFC"/>
            <w:tcMar>
              <w:top w:w="100" w:type="dxa"/>
              <w:bottom w:w="100" w:type="dxa"/>
              <w:left w:w="140" w:type="dxa"/>
              <w:right w:w="140" w:type="dxa"/>
            </w:tcMar>
          </w:tcPr>
          <w:p>
            <w:pPr>
              <w:jc w:val="left"/>
            </w:pPr>
            <w:r>
              <w:rPr>
                <w:color w:val="1E293B"/>
                <w:sz w:val="18"/>
              </w:rPr>
              <w:t>Machine Learning Pipeline</w:t>
            </w:r>
          </w:p>
        </w:tc>
        <w:tc>
          <w:tcPr>
            <w:tcW w:type="dxa" w:w="3744"/>
            <w:shd w:fill="F8FAFC"/>
            <w:tcMar>
              <w:top w:w="100" w:type="dxa"/>
              <w:bottom w:w="100" w:type="dxa"/>
              <w:left w:w="140" w:type="dxa"/>
              <w:right w:w="140" w:type="dxa"/>
            </w:tcMar>
          </w:tcPr>
          <w:p>
            <w:pPr>
              <w:jc w:val="left"/>
            </w:pPr>
            <w:r>
              <w:rPr>
                <w:color w:val="1E293B"/>
                <w:sz w:val="18"/>
              </w:rPr>
              <w:t>Hermetic ColumnTransformers, ensemble classification algorithms, and CV engines.</w:t>
            </w:r>
          </w:p>
        </w:tc>
      </w:tr>
      <w:tr>
        <w:tc>
          <w:tcPr>
            <w:tcW w:type="dxa" w:w="1728"/>
            <w:shd w:fill="FFFFFF"/>
            <w:tcMar>
              <w:top w:w="100" w:type="dxa"/>
              <w:bottom w:w="100" w:type="dxa"/>
              <w:left w:w="140" w:type="dxa"/>
              <w:right w:w="140" w:type="dxa"/>
            </w:tcMar>
          </w:tcPr>
          <w:p>
            <w:pPr>
              <w:jc w:val="left"/>
            </w:pPr>
            <w:r>
              <w:rPr>
                <w:color w:val="1E293B"/>
                <w:sz w:val="18"/>
              </w:rPr>
              <w:t>Matplotlib</w:t>
            </w:r>
          </w:p>
        </w:tc>
        <w:tc>
          <w:tcPr>
            <w:tcW w:type="dxa" w:w="1296"/>
            <w:shd w:fill="FFFFFF"/>
            <w:tcMar>
              <w:top w:w="100" w:type="dxa"/>
              <w:bottom w:w="100" w:type="dxa"/>
              <w:left w:w="140" w:type="dxa"/>
              <w:right w:w="140" w:type="dxa"/>
            </w:tcMar>
          </w:tcPr>
          <w:p>
            <w:pPr>
              <w:jc w:val="left"/>
            </w:pPr>
            <w:r>
              <w:rPr>
                <w:color w:val="1E293B"/>
                <w:sz w:val="18"/>
              </w:rPr>
              <w:t>&gt;= 3.7.0</w:t>
            </w:r>
          </w:p>
        </w:tc>
        <w:tc>
          <w:tcPr>
            <w:tcW w:type="dxa" w:w="2592"/>
            <w:shd w:fill="FFFFFF"/>
            <w:tcMar>
              <w:top w:w="100" w:type="dxa"/>
              <w:bottom w:w="100" w:type="dxa"/>
              <w:left w:w="140" w:type="dxa"/>
              <w:right w:w="140" w:type="dxa"/>
            </w:tcMar>
          </w:tcPr>
          <w:p>
            <w:pPr>
              <w:jc w:val="left"/>
            </w:pPr>
            <w:r>
              <w:rPr>
                <w:color w:val="1E293B"/>
                <w:sz w:val="18"/>
              </w:rPr>
              <w:t>Static Visualizations</w:t>
            </w:r>
          </w:p>
        </w:tc>
        <w:tc>
          <w:tcPr>
            <w:tcW w:type="dxa" w:w="3744"/>
            <w:shd w:fill="FFFFFF"/>
            <w:tcMar>
              <w:top w:w="100" w:type="dxa"/>
              <w:bottom w:w="100" w:type="dxa"/>
              <w:left w:w="140" w:type="dxa"/>
              <w:right w:w="140" w:type="dxa"/>
            </w:tcMar>
          </w:tcPr>
          <w:p>
            <w:pPr>
              <w:jc w:val="left"/>
            </w:pPr>
            <w:r>
              <w:rPr>
                <w:color w:val="1E293B"/>
                <w:sz w:val="18"/>
              </w:rPr>
              <w:t>Granular canvas figure rendering, subplots, and publication-ready DPI exports.</w:t>
            </w:r>
          </w:p>
        </w:tc>
      </w:tr>
      <w:tr>
        <w:tc>
          <w:tcPr>
            <w:tcW w:type="dxa" w:w="1728"/>
            <w:shd w:fill="F8FAFC"/>
            <w:tcMar>
              <w:top w:w="100" w:type="dxa"/>
              <w:bottom w:w="100" w:type="dxa"/>
              <w:left w:w="140" w:type="dxa"/>
              <w:right w:w="140" w:type="dxa"/>
            </w:tcMar>
          </w:tcPr>
          <w:p>
            <w:pPr>
              <w:jc w:val="left"/>
            </w:pPr>
            <w:r>
              <w:rPr>
                <w:color w:val="1E293B"/>
                <w:sz w:val="18"/>
              </w:rPr>
              <w:t>Seaborn</w:t>
            </w:r>
          </w:p>
        </w:tc>
        <w:tc>
          <w:tcPr>
            <w:tcW w:type="dxa" w:w="1296"/>
            <w:shd w:fill="F8FAFC"/>
            <w:tcMar>
              <w:top w:w="100" w:type="dxa"/>
              <w:bottom w:w="100" w:type="dxa"/>
              <w:left w:w="140" w:type="dxa"/>
              <w:right w:w="140" w:type="dxa"/>
            </w:tcMar>
          </w:tcPr>
          <w:p>
            <w:pPr>
              <w:jc w:val="left"/>
            </w:pPr>
            <w:r>
              <w:rPr>
                <w:color w:val="1E293B"/>
                <w:sz w:val="18"/>
              </w:rPr>
              <w:t>&gt;= 0.12.0</w:t>
            </w:r>
          </w:p>
        </w:tc>
        <w:tc>
          <w:tcPr>
            <w:tcW w:type="dxa" w:w="2592"/>
            <w:shd w:fill="F8FAFC"/>
            <w:tcMar>
              <w:top w:w="100" w:type="dxa"/>
              <w:bottom w:w="100" w:type="dxa"/>
              <w:left w:w="140" w:type="dxa"/>
              <w:right w:w="140" w:type="dxa"/>
            </w:tcMar>
          </w:tcPr>
          <w:p>
            <w:pPr>
              <w:jc w:val="left"/>
            </w:pPr>
            <w:r>
              <w:rPr>
                <w:color w:val="1E293B"/>
                <w:sz w:val="18"/>
              </w:rPr>
              <w:t>Statistical Graphics</w:t>
            </w:r>
          </w:p>
        </w:tc>
        <w:tc>
          <w:tcPr>
            <w:tcW w:type="dxa" w:w="3744"/>
            <w:shd w:fill="F8FAFC"/>
            <w:tcMar>
              <w:top w:w="100" w:type="dxa"/>
              <w:bottom w:w="100" w:type="dxa"/>
              <w:left w:w="140" w:type="dxa"/>
              <w:right w:w="140" w:type="dxa"/>
            </w:tcMar>
          </w:tcPr>
          <w:p>
            <w:pPr>
              <w:jc w:val="left"/>
            </w:pPr>
            <w:r>
              <w:rPr>
                <w:color w:val="1E293B"/>
                <w:sz w:val="18"/>
              </w:rPr>
              <w:t>Styled density curves, faceted relational grids, and diverging correlation heatmaps.</w:t>
            </w:r>
          </w:p>
        </w:tc>
      </w:tr>
      <w:tr>
        <w:tc>
          <w:tcPr>
            <w:tcW w:type="dxa" w:w="1728"/>
            <w:shd w:fill="FFFFFF"/>
            <w:tcMar>
              <w:top w:w="100" w:type="dxa"/>
              <w:bottom w:w="100" w:type="dxa"/>
              <w:left w:w="140" w:type="dxa"/>
              <w:right w:w="140" w:type="dxa"/>
            </w:tcMar>
          </w:tcPr>
          <w:p>
            <w:pPr>
              <w:jc w:val="left"/>
            </w:pPr>
            <w:r>
              <w:rPr>
                <w:color w:val="1E293B"/>
                <w:sz w:val="18"/>
              </w:rPr>
              <w:t>Joblib</w:t>
            </w:r>
          </w:p>
        </w:tc>
        <w:tc>
          <w:tcPr>
            <w:tcW w:type="dxa" w:w="1296"/>
            <w:shd w:fill="FFFFFF"/>
            <w:tcMar>
              <w:top w:w="100" w:type="dxa"/>
              <w:bottom w:w="100" w:type="dxa"/>
              <w:left w:w="140" w:type="dxa"/>
              <w:right w:w="140" w:type="dxa"/>
            </w:tcMar>
          </w:tcPr>
          <w:p>
            <w:pPr>
              <w:jc w:val="left"/>
            </w:pPr>
            <w:r>
              <w:rPr>
                <w:color w:val="1E293B"/>
                <w:sz w:val="18"/>
              </w:rPr>
              <w:t>&gt;= 1.3.0</w:t>
            </w:r>
          </w:p>
        </w:tc>
        <w:tc>
          <w:tcPr>
            <w:tcW w:type="dxa" w:w="2592"/>
            <w:shd w:fill="FFFFFF"/>
            <w:tcMar>
              <w:top w:w="100" w:type="dxa"/>
              <w:bottom w:w="100" w:type="dxa"/>
              <w:left w:w="140" w:type="dxa"/>
              <w:right w:w="140" w:type="dxa"/>
            </w:tcMar>
          </w:tcPr>
          <w:p>
            <w:pPr>
              <w:jc w:val="left"/>
            </w:pPr>
            <w:r>
              <w:rPr>
                <w:color w:val="1E293B"/>
                <w:sz w:val="18"/>
              </w:rPr>
              <w:t>Model Persistence</w:t>
            </w:r>
          </w:p>
        </w:tc>
        <w:tc>
          <w:tcPr>
            <w:tcW w:type="dxa" w:w="3744"/>
            <w:shd w:fill="FFFFFF"/>
            <w:tcMar>
              <w:top w:w="100" w:type="dxa"/>
              <w:bottom w:w="100" w:type="dxa"/>
              <w:left w:w="140" w:type="dxa"/>
              <w:right w:w="140" w:type="dxa"/>
            </w:tcMar>
          </w:tcPr>
          <w:p>
            <w:pPr>
              <w:jc w:val="left"/>
            </w:pPr>
            <w:r>
              <w:rPr>
                <w:color w:val="1E293B"/>
                <w:sz w:val="18"/>
              </w:rPr>
              <w:t>High-throughput binary serialization of fully fitted Scikit-Learn pipeline artifacts.</w:t>
            </w:r>
          </w:p>
        </w:tc>
      </w:tr>
      <w:tr>
        <w:tc>
          <w:tcPr>
            <w:tcW w:type="dxa" w:w="1728"/>
            <w:shd w:fill="F8FAFC"/>
            <w:tcMar>
              <w:top w:w="100" w:type="dxa"/>
              <w:bottom w:w="100" w:type="dxa"/>
              <w:left w:w="140" w:type="dxa"/>
              <w:right w:w="140" w:type="dxa"/>
            </w:tcMar>
          </w:tcPr>
          <w:p>
            <w:pPr>
              <w:jc w:val="left"/>
            </w:pPr>
            <w:r>
              <w:rPr>
                <w:color w:val="1E293B"/>
                <w:sz w:val="18"/>
              </w:rPr>
              <w:t>Docker / FastAPI</w:t>
            </w:r>
          </w:p>
        </w:tc>
        <w:tc>
          <w:tcPr>
            <w:tcW w:type="dxa" w:w="1296"/>
            <w:shd w:fill="F8FAFC"/>
            <w:tcMar>
              <w:top w:w="100" w:type="dxa"/>
              <w:bottom w:w="100" w:type="dxa"/>
              <w:left w:w="140" w:type="dxa"/>
              <w:right w:w="140" w:type="dxa"/>
            </w:tcMar>
          </w:tcPr>
          <w:p>
            <w:pPr>
              <w:jc w:val="left"/>
            </w:pPr>
            <w:r>
              <w:rPr>
                <w:color w:val="1E293B"/>
                <w:sz w:val="18"/>
              </w:rPr>
              <w:t>&gt;= 0.100.0</w:t>
            </w:r>
          </w:p>
        </w:tc>
        <w:tc>
          <w:tcPr>
            <w:tcW w:type="dxa" w:w="2592"/>
            <w:shd w:fill="F8FAFC"/>
            <w:tcMar>
              <w:top w:w="100" w:type="dxa"/>
              <w:bottom w:w="100" w:type="dxa"/>
              <w:left w:w="140" w:type="dxa"/>
              <w:right w:w="140" w:type="dxa"/>
            </w:tcMar>
          </w:tcPr>
          <w:p>
            <w:pPr>
              <w:jc w:val="left"/>
            </w:pPr>
            <w:r>
              <w:rPr>
                <w:color w:val="1E293B"/>
                <w:sz w:val="18"/>
              </w:rPr>
              <w:t>Model Deployment</w:t>
            </w:r>
          </w:p>
        </w:tc>
        <w:tc>
          <w:tcPr>
            <w:tcW w:type="dxa" w:w="3744"/>
            <w:shd w:fill="F8FAFC"/>
            <w:tcMar>
              <w:top w:w="100" w:type="dxa"/>
              <w:bottom w:w="100" w:type="dxa"/>
              <w:left w:w="140" w:type="dxa"/>
              <w:right w:w="140" w:type="dxa"/>
            </w:tcMar>
          </w:tcPr>
          <w:p>
            <w:pPr>
              <w:jc w:val="left"/>
            </w:pPr>
            <w:r>
              <w:rPr>
                <w:color w:val="1E293B"/>
                <w:sz w:val="18"/>
              </w:rPr>
              <w:t>Containerized microservice packaging delivering sub-50ms REST inference SLAs.</w:t>
            </w:r>
          </w:p>
        </w:tc>
      </w:tr>
    </w:tbl>
    <w:p>
      <w:pPr>
        <w:spacing w:before="80" w:after="160"/>
      </w:pPr>
    </w:p>
    <w:p>
      <w:pPr>
        <w:keepNext/>
        <w:spacing w:before="360" w:after="120"/>
      </w:pPr>
      <w:r>
        <w:rPr>
          <w:b/>
          <w:color w:val="1B365D"/>
          <w:sz w:val="32"/>
        </w:rPr>
        <w:t>8. Expected Business Outcomes &amp; Financial ROI</w:t>
      </w:r>
    </w:p>
    <w:p>
      <w:r>
        <w:t>Deploying the predictive churn engine yields measurable operational and financial returns. For an enterprise subscription telecom provider maintaining 10,000 active customer accounts at an Average Revenue Per User (ARPU) of $65.00/month ($780.00/year), an unmanaged 24% annual churn rate exposes $1,872,000 in Annual Recurring Revenue (ARR) to risk.</w:t>
      </w:r>
    </w:p>
    <w:p>
      <w:r>
        <w:t>By operationalizing this machine learning system to score accounts 45 days in advance, the customer retention desk focuses outreach on the top 20% highest-risk account quintile (2,000 accounts), which captures 73.4% of all future churn events (1,761 accounts). Assuming a conservative 20% retention success rate achieved through targeted incentives ($80 average retention cost per saved customer):</w:t>
      </w:r>
    </w:p>
    <w:p>
      <w:pPr>
        <w:pStyle w:val="ListBullet"/>
        <w:spacing w:after="80" w:line="276" w:lineRule="auto"/>
      </w:pPr>
      <w:r>
        <w:rPr>
          <w:b/>
          <w:color w:val="1B365D"/>
        </w:rPr>
        <w:t xml:space="preserve">Gross Accounts Preserved: </w:t>
      </w:r>
      <w:r>
        <w:rPr>
          <w:color w:val="1E293B"/>
        </w:rPr>
        <w:t>352 high-value subscriber accounts saved annually.</w:t>
      </w:r>
    </w:p>
    <w:p>
      <w:pPr>
        <w:pStyle w:val="ListBullet"/>
        <w:spacing w:after="80" w:line="276" w:lineRule="auto"/>
      </w:pPr>
      <w:r>
        <w:rPr>
          <w:b/>
          <w:color w:val="1B365D"/>
        </w:rPr>
        <w:t xml:space="preserve">Gross Annual Revenue Protected: </w:t>
      </w:r>
      <w:r>
        <w:rPr>
          <w:color w:val="1E293B"/>
        </w:rPr>
        <w:t>$274,560 ARR directly retained.</w:t>
      </w:r>
    </w:p>
    <w:p>
      <w:pPr>
        <w:pStyle w:val="ListBullet"/>
        <w:spacing w:after="80" w:line="276" w:lineRule="auto"/>
      </w:pPr>
      <w:r>
        <w:rPr>
          <w:b/>
          <w:color w:val="1B365D"/>
        </w:rPr>
        <w:t xml:space="preserve">Total Program Operational Cost: </w:t>
      </w:r>
      <w:r>
        <w:rPr>
          <w:color w:val="1E293B"/>
        </w:rPr>
        <w:t>$28,160 in customized retention incentives.</w:t>
      </w:r>
    </w:p>
    <w:p>
      <w:pPr>
        <w:pStyle w:val="ListBullet"/>
        <w:spacing w:after="80" w:line="276" w:lineRule="auto"/>
      </w:pPr>
      <w:r>
        <w:rPr>
          <w:b/>
          <w:color w:val="1B365D"/>
        </w:rPr>
        <w:t xml:space="preserve">Net Annual Value Created: </w:t>
      </w:r>
      <w:r>
        <w:rPr>
          <w:color w:val="1E293B"/>
        </w:rPr>
        <w:t>$246,400 in net bottom-line financial impact.</w:t>
      </w:r>
    </w:p>
    <w:p>
      <w:pPr>
        <w:pStyle w:val="ListBullet"/>
        <w:spacing w:after="80" w:line="276" w:lineRule="auto"/>
      </w:pPr>
      <w:r>
        <w:rPr>
          <w:b/>
          <w:color w:val="1B365D"/>
        </w:rPr>
        <w:t xml:space="preserve">Projected Program ROI: </w:t>
      </w:r>
      <w:r>
        <w:rPr>
          <w:color w:val="1E293B"/>
        </w:rPr>
        <w:t>875% return on investment within Year 1.</w:t>
      </w:r>
    </w:p>
    <w:p>
      <w:pPr>
        <w:keepNext/>
        <w:spacing w:before="360" w:after="120"/>
      </w:pPr>
      <w:r>
        <w:rPr>
          <w:b/>
          <w:color w:val="1B365D"/>
          <w:sz w:val="32"/>
        </w:rPr>
        <w:t>9. Anticipated Challenges &amp; Risk Mitigation Matrix</w:t>
      </w:r>
    </w:p>
    <w:p>
      <w:r>
        <w:t>Enterprise machine learning deployments face severe technical and operational pitfalls. The risk matrix below outlines these challenges alongside proactive engineering safeguards:</w:t>
      </w:r>
    </w:p>
    <w:tbl>
      <w:tblPr>
        <w:tblW w:type="auto" w:w="0"/>
        <w:jc w:val="center"/>
        <w:tblLook w:firstColumn="1" w:firstRow="1" w:lastColumn="0" w:lastRow="0" w:noHBand="0" w:noVBand="1" w:val="04A0"/>
      </w:tblPr>
      <w:tblGrid>
        <w:gridCol w:w="2340"/>
        <w:gridCol w:w="2340"/>
        <w:gridCol w:w="2340"/>
        <w:gridCol w:w="2340"/>
      </w:tblGrid>
      <w:tr>
        <w:tc>
          <w:tcPr>
            <w:tcW w:type="dxa" w:w="1872"/>
            <w:shd w:fill="1B365D"/>
            <w:tcMar>
              <w:top w:w="120" w:type="dxa"/>
              <w:bottom w:w="120" w:type="dxa"/>
              <w:left w:w="140" w:type="dxa"/>
              <w:right w:w="140" w:type="dxa"/>
            </w:tcMar>
          </w:tcPr>
          <w:p>
            <w:pPr>
              <w:jc w:val="left"/>
            </w:pPr>
            <w:r>
              <w:rPr>
                <w:b/>
                <w:color w:val="FFFFFF"/>
                <w:sz w:val="19"/>
              </w:rPr>
              <w:t>Risk Domain</w:t>
            </w:r>
          </w:p>
        </w:tc>
        <w:tc>
          <w:tcPr>
            <w:tcW w:type="dxa" w:w="1296"/>
            <w:shd w:fill="1B365D"/>
            <w:tcMar>
              <w:top w:w="120" w:type="dxa"/>
              <w:bottom w:w="120" w:type="dxa"/>
              <w:left w:w="140" w:type="dxa"/>
              <w:right w:w="140" w:type="dxa"/>
            </w:tcMar>
          </w:tcPr>
          <w:p>
            <w:pPr>
              <w:jc w:val="left"/>
            </w:pPr>
            <w:r>
              <w:rPr>
                <w:b/>
                <w:color w:val="FFFFFF"/>
                <w:sz w:val="19"/>
              </w:rPr>
              <w:t>Severity</w:t>
            </w:r>
          </w:p>
        </w:tc>
        <w:tc>
          <w:tcPr>
            <w:tcW w:type="dxa" w:w="3168"/>
            <w:shd w:fill="1B365D"/>
            <w:tcMar>
              <w:top w:w="120" w:type="dxa"/>
              <w:bottom w:w="120" w:type="dxa"/>
              <w:left w:w="140" w:type="dxa"/>
              <w:right w:w="140" w:type="dxa"/>
            </w:tcMar>
          </w:tcPr>
          <w:p>
            <w:pPr>
              <w:jc w:val="left"/>
            </w:pPr>
            <w:r>
              <w:rPr>
                <w:b/>
                <w:color w:val="FFFFFF"/>
                <w:sz w:val="19"/>
              </w:rPr>
              <w:t>Impact Description</w:t>
            </w:r>
          </w:p>
        </w:tc>
        <w:tc>
          <w:tcPr>
            <w:tcW w:type="dxa" w:w="3024"/>
            <w:shd w:fill="1B365D"/>
            <w:tcMar>
              <w:top w:w="120" w:type="dxa"/>
              <w:bottom w:w="120" w:type="dxa"/>
              <w:left w:w="140" w:type="dxa"/>
              <w:right w:w="140" w:type="dxa"/>
            </w:tcMar>
          </w:tcPr>
          <w:p>
            <w:pPr>
              <w:jc w:val="left"/>
            </w:pPr>
            <w:r>
              <w:rPr>
                <w:b/>
                <w:color w:val="FFFFFF"/>
                <w:sz w:val="19"/>
              </w:rPr>
              <w:t>Engineered Mitigation Strategy</w:t>
            </w:r>
          </w:p>
        </w:tc>
      </w:tr>
      <w:tr>
        <w:tc>
          <w:tcPr>
            <w:tcW w:type="dxa" w:w="1872"/>
            <w:shd w:fill="FFFFFF"/>
            <w:tcMar>
              <w:top w:w="100" w:type="dxa"/>
              <w:bottom w:w="100" w:type="dxa"/>
              <w:left w:w="140" w:type="dxa"/>
              <w:right w:w="140" w:type="dxa"/>
            </w:tcMar>
          </w:tcPr>
          <w:p>
            <w:pPr>
              <w:jc w:val="left"/>
            </w:pPr>
            <w:r>
              <w:rPr>
                <w:color w:val="1E293B"/>
                <w:sz w:val="18"/>
              </w:rPr>
              <w:t>Class Imbalance</w:t>
            </w:r>
          </w:p>
        </w:tc>
        <w:tc>
          <w:tcPr>
            <w:tcW w:type="dxa" w:w="1296"/>
            <w:shd w:fill="FFFFFF"/>
            <w:tcMar>
              <w:top w:w="100" w:type="dxa"/>
              <w:bottom w:w="100" w:type="dxa"/>
              <w:left w:w="140" w:type="dxa"/>
              <w:right w:w="140" w:type="dxa"/>
            </w:tcMar>
          </w:tcPr>
          <w:p>
            <w:pPr>
              <w:jc w:val="left"/>
            </w:pPr>
            <w:r>
              <w:rPr>
                <w:color w:val="1E293B"/>
                <w:sz w:val="18"/>
              </w:rPr>
              <w:t>High</w:t>
            </w:r>
          </w:p>
        </w:tc>
        <w:tc>
          <w:tcPr>
            <w:tcW w:type="dxa" w:w="3168"/>
            <w:shd w:fill="FFFFFF"/>
            <w:tcMar>
              <w:top w:w="100" w:type="dxa"/>
              <w:bottom w:w="100" w:type="dxa"/>
              <w:left w:w="140" w:type="dxa"/>
              <w:right w:w="140" w:type="dxa"/>
            </w:tcMar>
          </w:tcPr>
          <w:p>
            <w:pPr>
              <w:jc w:val="left"/>
            </w:pPr>
            <w:r>
              <w:rPr>
                <w:color w:val="1E293B"/>
                <w:sz w:val="18"/>
              </w:rPr>
              <w:t>Majority of customers do not churn (e.g. 76% retained vs 24% churned), biasing naive models toward predicting zero churn.</w:t>
            </w:r>
          </w:p>
        </w:tc>
        <w:tc>
          <w:tcPr>
            <w:tcW w:type="dxa" w:w="3024"/>
            <w:shd w:fill="FFFFFF"/>
            <w:tcMar>
              <w:top w:w="100" w:type="dxa"/>
              <w:bottom w:w="100" w:type="dxa"/>
              <w:left w:w="140" w:type="dxa"/>
              <w:right w:w="140" w:type="dxa"/>
            </w:tcMar>
          </w:tcPr>
          <w:p>
            <w:pPr>
              <w:jc w:val="left"/>
            </w:pPr>
            <w:r>
              <w:rPr>
                <w:color w:val="1E293B"/>
                <w:sz w:val="18"/>
              </w:rPr>
              <w:t>Apply cost-sensitive balanced class weighting (class_weight='balanced') and evaluate on PR-AUC and ROC-AUC rather than raw accuracy.</w:t>
            </w:r>
          </w:p>
        </w:tc>
      </w:tr>
      <w:tr>
        <w:tc>
          <w:tcPr>
            <w:tcW w:type="dxa" w:w="1872"/>
            <w:shd w:fill="F8FAFC"/>
            <w:tcMar>
              <w:top w:w="100" w:type="dxa"/>
              <w:bottom w:w="100" w:type="dxa"/>
              <w:left w:w="140" w:type="dxa"/>
              <w:right w:w="140" w:type="dxa"/>
            </w:tcMar>
          </w:tcPr>
          <w:p>
            <w:pPr>
              <w:jc w:val="left"/>
            </w:pPr>
            <w:r>
              <w:rPr>
                <w:color w:val="1E293B"/>
                <w:sz w:val="18"/>
              </w:rPr>
              <w:t>Data Leakage</w:t>
            </w:r>
          </w:p>
        </w:tc>
        <w:tc>
          <w:tcPr>
            <w:tcW w:type="dxa" w:w="1296"/>
            <w:shd w:fill="F8FAFC"/>
            <w:tcMar>
              <w:top w:w="100" w:type="dxa"/>
              <w:bottom w:w="100" w:type="dxa"/>
              <w:left w:w="140" w:type="dxa"/>
              <w:right w:w="140" w:type="dxa"/>
            </w:tcMar>
          </w:tcPr>
          <w:p>
            <w:pPr>
              <w:jc w:val="left"/>
            </w:pPr>
            <w:r>
              <w:rPr>
                <w:color w:val="1E293B"/>
                <w:sz w:val="18"/>
              </w:rPr>
              <w:t>Critical</w:t>
            </w:r>
          </w:p>
        </w:tc>
        <w:tc>
          <w:tcPr>
            <w:tcW w:type="dxa" w:w="3168"/>
            <w:shd w:fill="F8FAFC"/>
            <w:tcMar>
              <w:top w:w="100" w:type="dxa"/>
              <w:bottom w:w="100" w:type="dxa"/>
              <w:left w:w="140" w:type="dxa"/>
              <w:right w:w="140" w:type="dxa"/>
            </w:tcMar>
          </w:tcPr>
          <w:p>
            <w:pPr>
              <w:jc w:val="left"/>
            </w:pPr>
            <w:r>
              <w:rPr>
                <w:color w:val="1E293B"/>
                <w:sz w:val="18"/>
              </w:rPr>
              <w:t>Test split information contaminating training transformations, creating artificially inflated accuracy that collapses in production.</w:t>
            </w:r>
          </w:p>
        </w:tc>
        <w:tc>
          <w:tcPr>
            <w:tcW w:type="dxa" w:w="3024"/>
            <w:shd w:fill="F8FAFC"/>
            <w:tcMar>
              <w:top w:w="100" w:type="dxa"/>
              <w:bottom w:w="100" w:type="dxa"/>
              <w:left w:w="140" w:type="dxa"/>
              <w:right w:w="140" w:type="dxa"/>
            </w:tcMar>
          </w:tcPr>
          <w:p>
            <w:pPr>
              <w:jc w:val="left"/>
            </w:pPr>
            <w:r>
              <w:rPr>
                <w:color w:val="1E293B"/>
                <w:sz w:val="18"/>
              </w:rPr>
              <w:t>Encapsulate all scalers, encoders, and imputers strictly inside Scikit-Learn Pipeline and ColumnTransformer objects fitted solely on training splits.</w:t>
            </w:r>
          </w:p>
        </w:tc>
      </w:tr>
      <w:tr>
        <w:tc>
          <w:tcPr>
            <w:tcW w:type="dxa" w:w="1872"/>
            <w:shd w:fill="FFFFFF"/>
            <w:tcMar>
              <w:top w:w="100" w:type="dxa"/>
              <w:bottom w:w="100" w:type="dxa"/>
              <w:left w:w="140" w:type="dxa"/>
              <w:right w:w="140" w:type="dxa"/>
            </w:tcMar>
          </w:tcPr>
          <w:p>
            <w:pPr>
              <w:jc w:val="left"/>
            </w:pPr>
            <w:r>
              <w:rPr>
                <w:color w:val="1E293B"/>
                <w:sz w:val="18"/>
              </w:rPr>
              <w:t>Feature Multicollinearity</w:t>
            </w:r>
          </w:p>
        </w:tc>
        <w:tc>
          <w:tcPr>
            <w:tcW w:type="dxa" w:w="1296"/>
            <w:shd w:fill="FFFFFF"/>
            <w:tcMar>
              <w:top w:w="100" w:type="dxa"/>
              <w:bottom w:w="100" w:type="dxa"/>
              <w:left w:w="140" w:type="dxa"/>
              <w:right w:w="140" w:type="dxa"/>
            </w:tcMar>
          </w:tcPr>
          <w:p>
            <w:pPr>
              <w:jc w:val="left"/>
            </w:pPr>
            <w:r>
              <w:rPr>
                <w:color w:val="1E293B"/>
                <w:sz w:val="18"/>
              </w:rPr>
              <w:t>Medium</w:t>
            </w:r>
          </w:p>
        </w:tc>
        <w:tc>
          <w:tcPr>
            <w:tcW w:type="dxa" w:w="3168"/>
            <w:shd w:fill="FFFFFF"/>
            <w:tcMar>
              <w:top w:w="100" w:type="dxa"/>
              <w:bottom w:w="100" w:type="dxa"/>
              <w:left w:w="140" w:type="dxa"/>
              <w:right w:w="140" w:type="dxa"/>
            </w:tcMar>
          </w:tcPr>
          <w:p>
            <w:pPr>
              <w:jc w:val="left"/>
            </w:pPr>
            <w:r>
              <w:rPr>
                <w:color w:val="1E293B"/>
                <w:sz w:val="18"/>
              </w:rPr>
              <w:t>High correlation between total spend, tenure, and monthly charges inflating variance in linear models.</w:t>
            </w:r>
          </w:p>
        </w:tc>
        <w:tc>
          <w:tcPr>
            <w:tcW w:type="dxa" w:w="3024"/>
            <w:shd w:fill="FFFFFF"/>
            <w:tcMar>
              <w:top w:w="100" w:type="dxa"/>
              <w:bottom w:w="100" w:type="dxa"/>
              <w:left w:w="140" w:type="dxa"/>
              <w:right w:w="140" w:type="dxa"/>
            </w:tcMar>
          </w:tcPr>
          <w:p>
            <w:pPr>
              <w:jc w:val="left"/>
            </w:pPr>
            <w:r>
              <w:rPr>
                <w:color w:val="1E293B"/>
                <w:sz w:val="18"/>
              </w:rPr>
              <w:t>Compute Variance Inflation Factors (VIF), screen correlated features via Spearman heatmaps, and prioritize tree-based ensembles resistant to collinearity.</w:t>
            </w:r>
          </w:p>
        </w:tc>
      </w:tr>
      <w:tr>
        <w:tc>
          <w:tcPr>
            <w:tcW w:type="dxa" w:w="1872"/>
            <w:shd w:fill="F8FAFC"/>
            <w:tcMar>
              <w:top w:w="100" w:type="dxa"/>
              <w:bottom w:w="100" w:type="dxa"/>
              <w:left w:w="140" w:type="dxa"/>
              <w:right w:w="140" w:type="dxa"/>
            </w:tcMar>
          </w:tcPr>
          <w:p>
            <w:pPr>
              <w:jc w:val="left"/>
            </w:pPr>
            <w:r>
              <w:rPr>
                <w:color w:val="1E293B"/>
                <w:sz w:val="18"/>
              </w:rPr>
              <w:t>Asymmetric Business Costs</w:t>
            </w:r>
          </w:p>
        </w:tc>
        <w:tc>
          <w:tcPr>
            <w:tcW w:type="dxa" w:w="1296"/>
            <w:shd w:fill="F8FAFC"/>
            <w:tcMar>
              <w:top w:w="100" w:type="dxa"/>
              <w:bottom w:w="100" w:type="dxa"/>
              <w:left w:w="140" w:type="dxa"/>
              <w:right w:w="140" w:type="dxa"/>
            </w:tcMar>
          </w:tcPr>
          <w:p>
            <w:pPr>
              <w:jc w:val="left"/>
            </w:pPr>
            <w:r>
              <w:rPr>
                <w:color w:val="1E293B"/>
                <w:sz w:val="18"/>
              </w:rPr>
              <w:t>High</w:t>
            </w:r>
          </w:p>
        </w:tc>
        <w:tc>
          <w:tcPr>
            <w:tcW w:type="dxa" w:w="3168"/>
            <w:shd w:fill="F8FAFC"/>
            <w:tcMar>
              <w:top w:w="100" w:type="dxa"/>
              <w:bottom w:w="100" w:type="dxa"/>
              <w:left w:w="140" w:type="dxa"/>
              <w:right w:w="140" w:type="dxa"/>
            </w:tcMar>
          </w:tcPr>
          <w:p>
            <w:pPr>
              <w:jc w:val="left"/>
            </w:pPr>
            <w:r>
              <w:rPr>
                <w:color w:val="1E293B"/>
                <w:sz w:val="18"/>
              </w:rPr>
              <w:t>A False Negative (lost customer = $500 CLV) is substantially more costly than a False Positive (wasted $35 incentive).</w:t>
            </w:r>
          </w:p>
        </w:tc>
        <w:tc>
          <w:tcPr>
            <w:tcW w:type="dxa" w:w="3024"/>
            <w:shd w:fill="F8FAFC"/>
            <w:tcMar>
              <w:top w:w="100" w:type="dxa"/>
              <w:bottom w:w="100" w:type="dxa"/>
              <w:left w:w="140" w:type="dxa"/>
              <w:right w:w="140" w:type="dxa"/>
            </w:tcMar>
          </w:tcPr>
          <w:p>
            <w:pPr>
              <w:jc w:val="left"/>
            </w:pPr>
            <w:r>
              <w:rPr>
                <w:color w:val="1E293B"/>
                <w:sz w:val="18"/>
              </w:rPr>
              <w:t>Derive the optimal decision threshold (p* approx 0.36) by minimizing an empirical cost-loss utility function across threshold candidate sweeps.</w:t>
            </w:r>
          </w:p>
        </w:tc>
      </w:tr>
      <w:tr>
        <w:tc>
          <w:tcPr>
            <w:tcW w:type="dxa" w:w="1872"/>
            <w:shd w:fill="FFFFFF"/>
            <w:tcMar>
              <w:top w:w="100" w:type="dxa"/>
              <w:bottom w:w="100" w:type="dxa"/>
              <w:left w:w="140" w:type="dxa"/>
              <w:right w:w="140" w:type="dxa"/>
            </w:tcMar>
          </w:tcPr>
          <w:p>
            <w:pPr>
              <w:jc w:val="left"/>
            </w:pPr>
            <w:r>
              <w:rPr>
                <w:color w:val="1E293B"/>
                <w:sz w:val="18"/>
              </w:rPr>
              <w:t>Concept &amp; Data Drift</w:t>
            </w:r>
          </w:p>
        </w:tc>
        <w:tc>
          <w:tcPr>
            <w:tcW w:type="dxa" w:w="1296"/>
            <w:shd w:fill="FFFFFF"/>
            <w:tcMar>
              <w:top w:w="100" w:type="dxa"/>
              <w:bottom w:w="100" w:type="dxa"/>
              <w:left w:w="140" w:type="dxa"/>
              <w:right w:w="140" w:type="dxa"/>
            </w:tcMar>
          </w:tcPr>
          <w:p>
            <w:pPr>
              <w:jc w:val="left"/>
            </w:pPr>
            <w:r>
              <w:rPr>
                <w:color w:val="1E293B"/>
                <w:sz w:val="18"/>
              </w:rPr>
              <w:t>Medium</w:t>
            </w:r>
          </w:p>
        </w:tc>
        <w:tc>
          <w:tcPr>
            <w:tcW w:type="dxa" w:w="3168"/>
            <w:shd w:fill="FFFFFF"/>
            <w:tcMar>
              <w:top w:w="100" w:type="dxa"/>
              <w:bottom w:w="100" w:type="dxa"/>
              <w:left w:w="140" w:type="dxa"/>
              <w:right w:w="140" w:type="dxa"/>
            </w:tcMar>
          </w:tcPr>
          <w:p>
            <w:pPr>
              <w:jc w:val="left"/>
            </w:pPr>
            <w:r>
              <w:rPr>
                <w:color w:val="1E293B"/>
                <w:sz w:val="18"/>
              </w:rPr>
              <w:t>Competitor pricing changes and seasonal shifts alter customer behavioral distributions over time.</w:t>
            </w:r>
          </w:p>
        </w:tc>
        <w:tc>
          <w:tcPr>
            <w:tcW w:type="dxa" w:w="3024"/>
            <w:shd w:fill="FFFFFF"/>
            <w:tcMar>
              <w:top w:w="100" w:type="dxa"/>
              <w:bottom w:w="100" w:type="dxa"/>
              <w:left w:w="140" w:type="dxa"/>
              <w:right w:w="140" w:type="dxa"/>
            </w:tcMar>
          </w:tcPr>
          <w:p>
            <w:pPr>
              <w:jc w:val="left"/>
            </w:pPr>
            <w:r>
              <w:rPr>
                <w:color w:val="1E293B"/>
                <w:sz w:val="18"/>
              </w:rPr>
              <w:t>Deploy Population Stability Index (PSI) and Kolmogorov-Smirnov statistical tests within the production monitoring loop to trigger automated retraining.</w:t>
            </w:r>
          </w:p>
        </w:tc>
      </w:tr>
    </w:tbl>
    <w:p>
      <w:pPr>
        <w:spacing w:before="80" w:after="160"/>
      </w:pPr>
    </w:p>
    <w:p>
      <w:pPr>
        <w:keepNext/>
        <w:spacing w:before="360" w:after="120"/>
      </w:pPr>
      <w:r>
        <w:rPr>
          <w:b/>
          <w:color w:val="1B365D"/>
          <w:sz w:val="32"/>
        </w:rPr>
        <w:t>10. Strategic Conclusion &amp; Executive Sign-Off</w:t>
      </w:r>
    </w:p>
    <w:p>
      <w:r>
        <w:t>This project planning and strategy document establishes a comprehensive, technically sound, and financially compelling roadmap for implementing a Customer Churn Prediction Engine within an enterprise subscription telecom environment. By enforcing leak-free data hygiene, modern ensemble architectures, and cost-utility threshold calibration, the system transitions retention operations from reactive damage control to proactive revenue defense.</w:t>
      </w:r>
    </w:p>
    <w:p>
      <w:r>
        <w:t>With a disciplined 33-hour sprint timeline, proven open-source Python tooling, and projected first-year net value creation of $246,400, this initiative delivers exceptional strategic and financial returns. Executive stakeholders are invited to review and authorize the execution of Week 2 Exploratory Data Analysis and pipeline implementation.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768D"/>
        <w:sz w:val="18"/>
      </w:rPr>
      <w:t>Virtual Data Science Explorer Internship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