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08080"/>
          <w:sz w:val="24"/>
        </w:rPr>
        <w:t>VIRTUAL DATA SCIENCE EXPLORER INTERNSHIP</w:t>
      </w:r>
    </w:p>
    <w:p>
      <w:pPr>
        <w:spacing w:after="160"/>
      </w:pPr>
      <w:r>
        <w:rPr>
          <w:b/>
          <w:color w:val="1B365D"/>
          <w:sz w:val="52"/>
        </w:rPr>
        <w:t>Machine Learning Model Development &amp; Evaluation Plan</w:t>
      </w:r>
    </w:p>
    <w:p>
      <w:pPr>
        <w:spacing w:after="560"/>
      </w:pPr>
      <w:r>
        <w:rPr>
          <w:color w:val="5C768D"/>
          <w:sz w:val="28"/>
        </w:rPr>
        <w:t>Predictive Subscriber Retention Architecture for Enterprise Telecom</w:t>
      </w:r>
    </w:p>
    <w:p>
      <w:pPr>
        <w:spacing w:after="720"/>
      </w:pPr>
    </w:p>
    <w:tbl>
      <w:tblPr>
        <w:tblW w:type="auto" w:w="0"/>
        <w:jc w:val="left"/>
        <w:tblLook w:firstColumn="1" w:firstRow="1" w:lastColumn="0" w:lastRow="0" w:noHBand="0" w:noVBand="1" w:val="04A0"/>
      </w:tblPr>
      <w:tblGrid>
        <w:gridCol w:w="4680"/>
        <w:gridCol w:w="4680"/>
      </w:tblGrid>
      <w:tr>
        <w:tc>
          <w:tcPr>
            <w:tcW w:type="dxa" w:w="3168"/>
          </w:tcPr>
          <w:p>
            <w:r>
              <w:rPr>
                <w:b/>
                <w:color w:val="1B365D"/>
              </w:rPr>
              <w:t>Project Domain:</w:t>
            </w:r>
          </w:p>
        </w:tc>
        <w:tc>
          <w:tcPr>
            <w:tcW w:type="dxa" w:w="6192"/>
          </w:tcPr>
          <w:p>
            <w:r>
              <w:rPr>
                <w:color w:val="1E293B"/>
              </w:rPr>
              <w:t>Customer Churn Prediction for Subscription Telecom</w:t>
            </w:r>
          </w:p>
        </w:tc>
      </w:tr>
      <w:tr>
        <w:tc>
          <w:tcPr>
            <w:tcW w:type="dxa" w:w="3168"/>
          </w:tcPr>
          <w:p>
            <w:r>
              <w:rPr>
                <w:b/>
                <w:color w:val="1B365D"/>
              </w:rPr>
              <w:t>Deliverable Code:</w:t>
            </w:r>
          </w:p>
        </w:tc>
        <w:tc>
          <w:tcPr>
            <w:tcW w:type="dxa" w:w="6192"/>
          </w:tcPr>
          <w:p>
            <w:r>
              <w:rPr>
                <w:color w:val="1E293B"/>
              </w:rPr>
              <w:t>DELIV-W03-ML-MODEL-PLAN</w:t>
            </w:r>
          </w:p>
        </w:tc>
      </w:tr>
      <w:tr>
        <w:tc>
          <w:tcPr>
            <w:tcW w:type="dxa" w:w="3168"/>
          </w:tcPr>
          <w:p>
            <w:r>
              <w:rPr>
                <w:b/>
                <w:color w:val="1B365D"/>
              </w:rPr>
              <w:t>Author / Intern:</w:t>
            </w:r>
          </w:p>
        </w:tc>
        <w:tc>
          <w:tcPr>
            <w:tcW w:type="dxa" w:w="6192"/>
          </w:tcPr>
          <w:p>
            <w:r>
              <w:rPr>
                <w:color w:val="1E293B"/>
              </w:rPr>
              <w:t>Data Science Explorer Intern</w:t>
            </w:r>
          </w:p>
        </w:tc>
      </w:tr>
      <w:tr>
        <w:tc>
          <w:tcPr>
            <w:tcW w:type="dxa" w:w="3168"/>
          </w:tcPr>
          <w:p>
            <w:r>
              <w:rPr>
                <w:b/>
                <w:color w:val="1B365D"/>
              </w:rPr>
              <w:t>Architectural Role:</w:t>
            </w:r>
          </w:p>
        </w:tc>
        <w:tc>
          <w:tcPr>
            <w:tcW w:type="dxa" w:w="6192"/>
          </w:tcPr>
          <w:p>
            <w:r>
              <w:rPr>
                <w:color w:val="1E293B"/>
              </w:rPr>
              <w:t>Senior Data Science Manager &amp; Python Architect</w:t>
            </w:r>
          </w:p>
        </w:tc>
      </w:tr>
      <w:tr>
        <w:tc>
          <w:tcPr>
            <w:tcW w:type="dxa" w:w="3168"/>
          </w:tcPr>
          <w:p>
            <w:r>
              <w:rPr>
                <w:b/>
                <w:color w:val="1B365D"/>
              </w:rPr>
              <w:t>Publication Date:</w:t>
            </w:r>
          </w:p>
        </w:tc>
        <w:tc>
          <w:tcPr>
            <w:tcW w:type="dxa" w:w="6192"/>
          </w:tcPr>
          <w:p>
            <w:r>
              <w:rPr>
                <w:color w:val="1E293B"/>
              </w:rPr>
              <w:t>16-Oct-2026</w:t>
            </w:r>
          </w:p>
        </w:tc>
      </w:tr>
    </w:tbl>
    <w:p>
      <w:r>
        <w:br w:type="page"/>
      </w:r>
    </w:p>
    <w:p>
      <w:pPr>
        <w:spacing w:after="240"/>
      </w:pPr>
      <w:r>
        <w:rPr>
          <w:b/>
          <w:color w:val="1B365D"/>
          <w:sz w:val="36"/>
        </w:rPr>
        <w:t>Table of Contents</w:t>
      </w:r>
    </w:p>
    <w:tbl>
      <w:tblPr>
        <w:tblW w:type="auto" w:w="0"/>
        <w:jc w:val="center"/>
        <w:tblLook w:firstColumn="1" w:firstRow="1" w:lastColumn="0" w:lastRow="0" w:noHBand="0" w:noVBand="1" w:val="04A0"/>
      </w:tblPr>
      <w:tblGrid>
        <w:gridCol w:w="4680"/>
        <w:gridCol w:w="4680"/>
      </w:tblGrid>
      <w:tr>
        <w:tc>
          <w:tcPr>
            <w:tcW w:type="dxa" w:w="7488"/>
            <w:shd w:fill="1B365D"/>
          </w:tcPr>
          <w:p>
            <w:r>
              <w:rPr>
                <w:b/>
                <w:color w:val="FFFFFF"/>
              </w:rPr>
              <w:t>Section / Content Area</w:t>
            </w:r>
          </w:p>
        </w:tc>
        <w:tc>
          <w:tcPr>
            <w:tcW w:type="dxa" w:w="1872"/>
            <w:shd w:fill="1B365D"/>
          </w:tcPr>
          <w:p>
            <w:r>
              <w:rPr>
                <w:b/>
                <w:color w:val="FFFFFF"/>
              </w:rPr>
              <w:t>Page Ref</w:t>
            </w:r>
          </w:p>
        </w:tc>
      </w:tr>
      <w:tr>
        <w:tc>
          <w:tcPr>
            <w:tcW w:type="dxa" w:w="7488"/>
          </w:tcPr>
          <w:p>
            <w:r>
              <w:rPr>
                <w:color w:val="1E293B"/>
              </w:rPr>
              <w:t>1. Problem Definition &amp; Algorithmic Justification</w:t>
            </w:r>
          </w:p>
        </w:tc>
        <w:tc>
          <w:tcPr>
            <w:tcW w:type="dxa" w:w="1872"/>
          </w:tcPr>
          <w:p>
            <w:r>
              <w:rPr>
                <w:color w:val="5C768D"/>
              </w:rPr>
              <w:t>3</w:t>
            </w:r>
          </w:p>
        </w:tc>
      </w:tr>
      <w:tr>
        <w:tc>
          <w:tcPr>
            <w:tcW w:type="dxa" w:w="7488"/>
            <w:shd w:fill="F8FAFC"/>
          </w:tcPr>
          <w:p>
            <w:r>
              <w:rPr>
                <w:color w:val="1E293B"/>
              </w:rPr>
              <w:t>2. Data Preprocessing Pipeline &amp; Engineering Safeguards</w:t>
            </w:r>
          </w:p>
        </w:tc>
        <w:tc>
          <w:tcPr>
            <w:tcW w:type="dxa" w:w="1872"/>
            <w:shd w:fill="F8FAFC"/>
          </w:tcPr>
          <w:p>
            <w:r>
              <w:rPr>
                <w:color w:val="5C768D"/>
              </w:rPr>
              <w:t>4</w:t>
            </w:r>
          </w:p>
        </w:tc>
      </w:tr>
      <w:tr>
        <w:tc>
          <w:tcPr>
            <w:tcW w:type="dxa" w:w="7488"/>
          </w:tcPr>
          <w:p>
            <w:r>
              <w:rPr>
                <w:color w:val="1E293B"/>
              </w:rPr>
              <w:t>3. Candidate Model Selection &amp; Comparative Trade-Offs</w:t>
            </w:r>
          </w:p>
        </w:tc>
        <w:tc>
          <w:tcPr>
            <w:tcW w:type="dxa" w:w="1872"/>
          </w:tcPr>
          <w:p>
            <w:r>
              <w:rPr>
                <w:color w:val="5C768D"/>
              </w:rPr>
              <w:t>6</w:t>
            </w:r>
          </w:p>
        </w:tc>
      </w:tr>
      <w:tr>
        <w:tc>
          <w:tcPr>
            <w:tcW w:type="dxa" w:w="7488"/>
            <w:shd w:fill="F8FAFC"/>
          </w:tcPr>
          <w:p>
            <w:r>
              <w:rPr>
                <w:color w:val="1E293B"/>
              </w:rPr>
              <w:t>4. Model Training Process &amp; Pipeline Orchestration</w:t>
            </w:r>
          </w:p>
        </w:tc>
        <w:tc>
          <w:tcPr>
            <w:tcW w:type="dxa" w:w="1872"/>
            <w:shd w:fill="F8FAFC"/>
          </w:tcPr>
          <w:p>
            <w:r>
              <w:rPr>
                <w:color w:val="5C768D"/>
              </w:rPr>
              <w:t>7</w:t>
            </w:r>
          </w:p>
        </w:tc>
      </w:tr>
      <w:tr>
        <w:tc>
          <w:tcPr>
            <w:tcW w:type="dxa" w:w="7488"/>
          </w:tcPr>
          <w:p>
            <w:r>
              <w:rPr>
                <w:color w:val="1E293B"/>
              </w:rPr>
              <w:t>5. Hyperparameter Tuning Strategies &amp; Optimization</w:t>
            </w:r>
          </w:p>
        </w:tc>
        <w:tc>
          <w:tcPr>
            <w:tcW w:type="dxa" w:w="1872"/>
          </w:tcPr>
          <w:p>
            <w:r>
              <w:rPr>
                <w:color w:val="5C768D"/>
              </w:rPr>
              <w:t>8</w:t>
            </w:r>
          </w:p>
        </w:tc>
      </w:tr>
      <w:tr>
        <w:tc>
          <w:tcPr>
            <w:tcW w:type="dxa" w:w="7488"/>
            <w:shd w:fill="F8FAFC"/>
          </w:tcPr>
          <w:p>
            <w:r>
              <w:rPr>
                <w:color w:val="1E293B"/>
              </w:rPr>
              <w:t>6. Comprehensive Performance Evaluation Metrics</w:t>
            </w:r>
          </w:p>
        </w:tc>
        <w:tc>
          <w:tcPr>
            <w:tcW w:type="dxa" w:w="1872"/>
            <w:shd w:fill="F8FAFC"/>
          </w:tcPr>
          <w:p>
            <w:r>
              <w:rPr>
                <w:color w:val="5C768D"/>
              </w:rPr>
              <w:t>9</w:t>
            </w:r>
          </w:p>
        </w:tc>
      </w:tr>
      <w:tr>
        <w:tc>
          <w:tcPr>
            <w:tcW w:type="dxa" w:w="7488"/>
          </w:tcPr>
          <w:p>
            <w:r>
              <w:rPr>
                <w:color w:val="1E293B"/>
              </w:rPr>
              <w:t>7. Validation Strategy &amp; Leak-Free Cross-Validation</w:t>
            </w:r>
          </w:p>
        </w:tc>
        <w:tc>
          <w:tcPr>
            <w:tcW w:type="dxa" w:w="1872"/>
          </w:tcPr>
          <w:p>
            <w:r>
              <w:rPr>
                <w:color w:val="5C768D"/>
              </w:rPr>
              <w:t>10</w:t>
            </w:r>
          </w:p>
        </w:tc>
      </w:tr>
      <w:tr>
        <w:tc>
          <w:tcPr>
            <w:tcW w:type="dxa" w:w="7488"/>
            <w:shd w:fill="F8FAFC"/>
          </w:tcPr>
          <w:p>
            <w:r>
              <w:rPr>
                <w:color w:val="1E293B"/>
              </w:rPr>
              <w:t>8. Production Deployment, API Architecture &amp; Drift Monitoring</w:t>
            </w:r>
          </w:p>
        </w:tc>
        <w:tc>
          <w:tcPr>
            <w:tcW w:type="dxa" w:w="1872"/>
            <w:shd w:fill="F8FAFC"/>
          </w:tcPr>
          <w:p>
            <w:r>
              <w:rPr>
                <w:color w:val="5C768D"/>
              </w:rPr>
              <w:t>12</w:t>
            </w:r>
          </w:p>
        </w:tc>
      </w:tr>
      <w:tr>
        <w:tc>
          <w:tcPr>
            <w:tcW w:type="dxa" w:w="7488"/>
          </w:tcPr>
          <w:p>
            <w:r>
              <w:rPr>
                <w:color w:val="1E293B"/>
              </w:rPr>
              <w:t>9. Technical Risks, Model Ethics &amp; Algorithmic Fairness</w:t>
            </w:r>
          </w:p>
        </w:tc>
        <w:tc>
          <w:tcPr>
            <w:tcW w:type="dxa" w:w="1872"/>
          </w:tcPr>
          <w:p>
            <w:r>
              <w:rPr>
                <w:color w:val="5C768D"/>
              </w:rPr>
              <w:t>13</w:t>
            </w:r>
          </w:p>
        </w:tc>
      </w:tr>
      <w:tr>
        <w:tc>
          <w:tcPr>
            <w:tcW w:type="dxa" w:w="7488"/>
            <w:shd w:fill="F8FAFC"/>
          </w:tcPr>
          <w:p>
            <w:r>
              <w:rPr>
                <w:color w:val="1E293B"/>
              </w:rPr>
              <w:t>10. Conclusion &amp; Operational Implementation Roadmap</w:t>
            </w:r>
          </w:p>
        </w:tc>
        <w:tc>
          <w:tcPr>
            <w:tcW w:type="dxa" w:w="1872"/>
            <w:shd w:fill="F8FAFC"/>
          </w:tcPr>
          <w:p>
            <w:r>
              <w:rPr>
                <w:color w:val="5C768D"/>
              </w:rPr>
              <w:t>14</w:t>
            </w:r>
          </w:p>
        </w:tc>
      </w:tr>
    </w:tbl>
    <w:p>
      <w:r>
        <w:br w:type="page"/>
      </w:r>
    </w:p>
    <w:p>
      <w:pPr>
        <w:keepNext/>
        <w:spacing w:before="360" w:after="120"/>
      </w:pPr>
      <w:r>
        <w:rPr>
          <w:b/>
          <w:color w:val="1B365D"/>
          <w:sz w:val="32"/>
        </w:rPr>
        <w:t>1. Problem Definition &amp; Algorithmic Justification</w:t>
      </w:r>
    </w:p>
    <w:p>
      <w:r>
        <w:t>The enterprise telecommunications platform experiences an unmitigated annual subscriber churn rate of 24.0%, representing substantial financial leakage across recurring cash flows. The primary analytical objective is to engineer, validate, and operationalize a supervised binary classification system that predicts the probability of a customer discontinuing their subscription service within a forward-looking 45-day contract window.</w:t>
      </w:r>
    </w:p>
    <w:p>
      <w:r>
        <w:t>Mathematically, the problem is formulated as finding an optimal mapping function f(X) -&gt; y, where X in R^d represents a d-dimensional feature vector capturing historical usage telemetry, billing cadences, customer service ticketing records, and contract parameters, and y in {0, 1} denotes the ground-truth binary outcome (y=1 indicating churn, y=0 indicating retention).</w:t>
      </w:r>
    </w:p>
    <w:p>
      <w:r>
        <w:t>Machine learning is uniquely suited to solve this challenge over rigid rule-based heuristics. Rule-based triggers (e.g., 'flag customer if support tickets &gt; 3') generate excessive false positives, completely miss subtle interaction effects, and fail to quantify probabilistic risk tiers. Supervised tabular ensemble algorithms excel at isolating complex non-linear decision boundaries across dozens of correlated features.</w:t>
      </w:r>
    </w:p>
    <w:p>
      <w:r>
        <w:t>Figure 1 provides the end-to-end machine learning system workflow, tracing customer records from raw partitioning through Scikit-Learn ColumnTransformers, stratified cross-validation, threshold optimization, and containerized deployment.</w:t>
      </w:r>
    </w:p>
    <w:p>
      <w:pPr>
        <w:spacing w:before="200" w:after="80"/>
        <w:jc w:val="center"/>
      </w:pPr>
      <w:r>
        <w:drawing>
          <wp:inline xmlns:a="http://schemas.openxmlformats.org/drawingml/2006/main" xmlns:pic="http://schemas.openxmlformats.org/drawingml/2006/picture">
            <wp:extent cx="5303520" cy="2348164"/>
            <wp:docPr id="1" name="Picture 1"/>
            <wp:cNvGraphicFramePr>
              <a:graphicFrameLocks noChangeAspect="1"/>
            </wp:cNvGraphicFramePr>
            <a:graphic>
              <a:graphicData uri="http://schemas.openxmlformats.org/drawingml/2006/picture">
                <pic:pic>
                  <pic:nvPicPr>
                    <pic:cNvPr id="0" name="w3_fig1_ml_workflow.png"/>
                    <pic:cNvPicPr/>
                  </pic:nvPicPr>
                  <pic:blipFill>
                    <a:blip r:embed="rId10"/>
                    <a:stretch>
                      <a:fillRect/>
                    </a:stretch>
                  </pic:blipFill>
                  <pic:spPr>
                    <a:xfrm>
                      <a:off x="0" y="0"/>
                      <a:ext cx="5303520" cy="2348164"/>
                    </a:xfrm>
                    <a:prstGeom prst="rect"/>
                  </pic:spPr>
                </pic:pic>
              </a:graphicData>
            </a:graphic>
          </wp:inline>
        </w:drawing>
      </w:r>
    </w:p>
    <w:p>
      <w:pPr>
        <w:spacing w:before="40" w:after="240"/>
        <w:jc w:val="center"/>
      </w:pPr>
      <w:r>
        <w:rPr>
          <w:i/>
          <w:color w:val="5C768D"/>
          <w:sz w:val="19"/>
        </w:rPr>
        <w:t>Figure 1: End-to-End Machine Learning Model Training &amp; Deployment Pipeline</w:t>
      </w:r>
    </w:p>
    <w:p>
      <w:pPr>
        <w:keepNext/>
        <w:spacing w:before="360" w:after="120"/>
      </w:pPr>
      <w:r>
        <w:rPr>
          <w:b/>
          <w:color w:val="1B365D"/>
          <w:sz w:val="32"/>
        </w:rPr>
        <w:t>2. Data Preprocessing Pipeline &amp; Engineering Safeguards</w:t>
      </w:r>
    </w:p>
    <w:p>
      <w:r>
        <w:t>A premier machine learning pipeline must enforce strict modularity and eliminate all vectors of data leakage. All data cleaning, missing value imputation, scaling, and categorical encoding are orchestrated using Scikit-Learn Pipeline and ColumnTransformer primitives fitted exclusively on training splits.</w:t>
      </w:r>
    </w:p>
    <w:p>
      <w:pPr>
        <w:keepNext/>
        <w:spacing w:before="240" w:after="80"/>
      </w:pPr>
      <w:r>
        <w:rPr>
          <w:b/>
          <w:color w:val="008080"/>
          <w:sz w:val="26"/>
        </w:rPr>
        <w:t>2.1 Feature Engineering Protocols</w:t>
      </w:r>
    </w:p>
    <w:p>
      <w:r>
        <w:t>To maximize predictive signal, several domain-specific interaction features are engineered from raw telemetry:</w:t>
      </w:r>
    </w:p>
    <w:p>
      <w:pPr>
        <w:pStyle w:val="ListBullet"/>
        <w:spacing w:after="80" w:line="276" w:lineRule="auto"/>
      </w:pPr>
      <w:r>
        <w:rPr>
          <w:b/>
          <w:color w:val="1B365D"/>
        </w:rPr>
        <w:t xml:space="preserve">Usage Velocity Deceleration Index: </w:t>
      </w:r>
      <w:r>
        <w:rPr>
          <w:color w:val="1E293B"/>
        </w:rPr>
        <w:t>Ratio of average usage over the past 30 days to the prior 60 days. A ratio &lt; 0.60 indicates severe engagement decline.</w:t>
      </w:r>
    </w:p>
    <w:p>
      <w:pPr>
        <w:pStyle w:val="ListBullet"/>
        <w:spacing w:after="80" w:line="276" w:lineRule="auto"/>
      </w:pPr>
      <w:r>
        <w:rPr>
          <w:b/>
          <w:color w:val="1B365D"/>
        </w:rPr>
        <w:t xml:space="preserve">Spend-to-Tenure Ratio: </w:t>
      </w:r>
      <w:r>
        <w:rPr>
          <w:color w:val="1E293B"/>
        </w:rPr>
        <w:t>Cumulative total charges divided by tenure in months plus one, quantifying average monthly revenue intensity.</w:t>
      </w:r>
    </w:p>
    <w:p>
      <w:pPr>
        <w:pStyle w:val="ListBullet"/>
        <w:spacing w:after="80" w:line="276" w:lineRule="auto"/>
      </w:pPr>
      <w:r>
        <w:rPr>
          <w:b/>
          <w:color w:val="1B365D"/>
        </w:rPr>
        <w:t xml:space="preserve">Support Ticket Friction Metric: </w:t>
      </w:r>
      <w:r>
        <w:rPr>
          <w:color w:val="1E293B"/>
        </w:rPr>
        <w:t>Escalated unresolved tickets divided by tenure in months plus one, isolating acute customer dissatisfaction relative to loyalty length.</w:t>
      </w:r>
    </w:p>
    <w:p>
      <w:pPr>
        <w:keepNext/>
        <w:spacing w:before="240" w:after="80"/>
      </w:pPr>
      <w:r>
        <w:rPr>
          <w:b/>
          <w:color w:val="008080"/>
          <w:sz w:val="26"/>
        </w:rPr>
        <w:t>2.2 Preprocessing Pipeline Composition</w:t>
      </w:r>
    </w:p>
    <w:p>
      <w:r>
        <w:t>The ColumnTransformer pipeline enforces distinct, leak-free transformations across data modalities:</w:t>
      </w:r>
    </w:p>
    <w:p>
      <w:pPr>
        <w:pStyle w:val="ListBullet"/>
        <w:spacing w:after="80" w:line="276" w:lineRule="auto"/>
      </w:pPr>
      <w:r>
        <w:rPr>
          <w:b/>
          <w:color w:val="1B365D"/>
        </w:rPr>
        <w:t xml:space="preserve">Continuous Numeric Branch: </w:t>
      </w:r>
      <w:r>
        <w:rPr>
          <w:color w:val="1E293B"/>
        </w:rPr>
        <w:t>Median imputation via SimpleImputer followed by RobustScaler, which scales features according to interquartile ranges, neutralizing extreme outliers.</w:t>
      </w:r>
    </w:p>
    <w:p>
      <w:pPr>
        <w:pStyle w:val="ListBullet"/>
        <w:spacing w:after="80" w:line="276" w:lineRule="auto"/>
      </w:pPr>
      <w:r>
        <w:rPr>
          <w:b/>
          <w:color w:val="1B365D"/>
        </w:rPr>
        <w:t xml:space="preserve">Categorical Nominal Branch: </w:t>
      </w:r>
      <w:r>
        <w:rPr>
          <w:color w:val="1E293B"/>
        </w:rPr>
        <w:t>Constant imputation ('Unknown') followed by OneHotEncoder(drop='first', handle_unknown='ignore') to eliminate dummy variable traps and prevent inference crashes on unseen categories.</w:t>
      </w:r>
    </w:p>
    <w:p>
      <w:r>
        <w:t>The table below details common preprocessing challenges and the engineered architectural safeguards:</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40" w:type="dxa"/>
              <w:right w:w="140" w:type="dxa"/>
            </w:tcMar>
          </w:tcPr>
          <w:p>
            <w:pPr>
              <w:jc w:val="left"/>
            </w:pPr>
            <w:r>
              <w:rPr>
                <w:b/>
                <w:color w:val="FFFFFF"/>
                <w:sz w:val="19"/>
              </w:rPr>
              <w:t>Preprocessing Challenge</w:t>
            </w:r>
          </w:p>
        </w:tc>
        <w:tc>
          <w:tcPr>
            <w:tcW w:type="dxa" w:w="1296"/>
            <w:shd w:fill="1B365D"/>
            <w:tcMar>
              <w:top w:w="120" w:type="dxa"/>
              <w:bottom w:w="120" w:type="dxa"/>
              <w:left w:w="140" w:type="dxa"/>
              <w:right w:w="140" w:type="dxa"/>
            </w:tcMar>
          </w:tcPr>
          <w:p>
            <w:pPr>
              <w:jc w:val="left"/>
            </w:pPr>
            <w:r>
              <w:rPr>
                <w:b/>
                <w:color w:val="FFFFFF"/>
                <w:sz w:val="19"/>
              </w:rPr>
              <w:t>Severity</w:t>
            </w:r>
          </w:p>
        </w:tc>
        <w:tc>
          <w:tcPr>
            <w:tcW w:type="dxa" w:w="3168"/>
            <w:shd w:fill="1B365D"/>
            <w:tcMar>
              <w:top w:w="120" w:type="dxa"/>
              <w:bottom w:w="120" w:type="dxa"/>
              <w:left w:w="140" w:type="dxa"/>
              <w:right w:w="140" w:type="dxa"/>
            </w:tcMar>
          </w:tcPr>
          <w:p>
            <w:pPr>
              <w:jc w:val="left"/>
            </w:pPr>
            <w:r>
              <w:rPr>
                <w:b/>
                <w:color w:val="FFFFFF"/>
                <w:sz w:val="19"/>
              </w:rPr>
              <w:t>Potential Failure Mode</w:t>
            </w:r>
          </w:p>
        </w:tc>
        <w:tc>
          <w:tcPr>
            <w:tcW w:type="dxa" w:w="3168"/>
            <w:shd w:fill="1B365D"/>
            <w:tcMar>
              <w:top w:w="120" w:type="dxa"/>
              <w:bottom w:w="120" w:type="dxa"/>
              <w:left w:w="140" w:type="dxa"/>
              <w:right w:w="140" w:type="dxa"/>
            </w:tcMar>
          </w:tcPr>
          <w:p>
            <w:pPr>
              <w:jc w:val="left"/>
            </w:pPr>
            <w:r>
              <w:rPr>
                <w:b/>
                <w:color w:val="FFFFFF"/>
                <w:sz w:val="19"/>
              </w:rPr>
              <w:t>Engineered Architectural Safeguard</w:t>
            </w:r>
          </w:p>
        </w:tc>
      </w:tr>
      <w:tr>
        <w:tc>
          <w:tcPr>
            <w:tcW w:type="dxa" w:w="2016"/>
            <w:shd w:fill="FFFFFF"/>
            <w:tcMar>
              <w:top w:w="100" w:type="dxa"/>
              <w:bottom w:w="100" w:type="dxa"/>
              <w:left w:w="140" w:type="dxa"/>
              <w:right w:w="140" w:type="dxa"/>
            </w:tcMar>
          </w:tcPr>
          <w:p>
            <w:pPr>
              <w:jc w:val="left"/>
            </w:pPr>
            <w:r>
              <w:rPr>
                <w:color w:val="1E293B"/>
                <w:sz w:val="18"/>
              </w:rPr>
              <w:t>Data Leakage</w:t>
            </w:r>
          </w:p>
        </w:tc>
        <w:tc>
          <w:tcPr>
            <w:tcW w:type="dxa" w:w="1296"/>
            <w:shd w:fill="FFFFFF"/>
            <w:tcMar>
              <w:top w:w="100" w:type="dxa"/>
              <w:bottom w:w="100" w:type="dxa"/>
              <w:left w:w="140" w:type="dxa"/>
              <w:right w:w="140" w:type="dxa"/>
            </w:tcMar>
          </w:tcPr>
          <w:p>
            <w:pPr>
              <w:jc w:val="left"/>
            </w:pPr>
            <w:r>
              <w:rPr>
                <w:color w:val="1E293B"/>
                <w:sz w:val="18"/>
              </w:rPr>
              <w:t>Critical</w:t>
            </w:r>
          </w:p>
        </w:tc>
        <w:tc>
          <w:tcPr>
            <w:tcW w:type="dxa" w:w="3168"/>
            <w:shd w:fill="FFFFFF"/>
            <w:tcMar>
              <w:top w:w="100" w:type="dxa"/>
              <w:bottom w:w="100" w:type="dxa"/>
              <w:left w:w="140" w:type="dxa"/>
              <w:right w:w="140" w:type="dxa"/>
            </w:tcMar>
          </w:tcPr>
          <w:p>
            <w:pPr>
              <w:jc w:val="left"/>
            </w:pPr>
            <w:r>
              <w:rPr>
                <w:color w:val="1E293B"/>
                <w:sz w:val="18"/>
              </w:rPr>
              <w:t>Test set statistics leaking into scaler mean/variance, producing invalid CV scores.</w:t>
            </w:r>
          </w:p>
        </w:tc>
        <w:tc>
          <w:tcPr>
            <w:tcW w:type="dxa" w:w="3168"/>
            <w:shd w:fill="FFFFFF"/>
            <w:tcMar>
              <w:top w:w="100" w:type="dxa"/>
              <w:bottom w:w="100" w:type="dxa"/>
              <w:left w:w="140" w:type="dxa"/>
              <w:right w:w="140" w:type="dxa"/>
            </w:tcMar>
          </w:tcPr>
          <w:p>
            <w:pPr>
              <w:jc w:val="left"/>
            </w:pPr>
            <w:r>
              <w:rPr>
                <w:color w:val="1E293B"/>
                <w:sz w:val="18"/>
              </w:rPr>
              <w:t>Encapsulate transformations inside Scikit-Learn Pipeline; fit exclusively on training folds.</w:t>
            </w:r>
          </w:p>
        </w:tc>
      </w:tr>
      <w:tr>
        <w:tc>
          <w:tcPr>
            <w:tcW w:type="dxa" w:w="2016"/>
            <w:shd w:fill="F8FAFC"/>
            <w:tcMar>
              <w:top w:w="100" w:type="dxa"/>
              <w:bottom w:w="100" w:type="dxa"/>
              <w:left w:w="140" w:type="dxa"/>
              <w:right w:w="140" w:type="dxa"/>
            </w:tcMar>
          </w:tcPr>
          <w:p>
            <w:pPr>
              <w:jc w:val="left"/>
            </w:pPr>
            <w:r>
              <w:rPr>
                <w:color w:val="1E293B"/>
                <w:sz w:val="18"/>
              </w:rPr>
              <w:t>Severe Class Imbalance</w:t>
            </w:r>
          </w:p>
        </w:tc>
        <w:tc>
          <w:tcPr>
            <w:tcW w:type="dxa" w:w="1296"/>
            <w:shd w:fill="F8FAFC"/>
            <w:tcMar>
              <w:top w:w="100" w:type="dxa"/>
              <w:bottom w:w="100" w:type="dxa"/>
              <w:left w:w="140" w:type="dxa"/>
              <w:right w:w="140" w:type="dxa"/>
            </w:tcMar>
          </w:tcPr>
          <w:p>
            <w:pPr>
              <w:jc w:val="left"/>
            </w:pPr>
            <w:r>
              <w:rPr>
                <w:color w:val="1E293B"/>
                <w:sz w:val="18"/>
              </w:rPr>
              <w:t>High</w:t>
            </w:r>
          </w:p>
        </w:tc>
        <w:tc>
          <w:tcPr>
            <w:tcW w:type="dxa" w:w="3168"/>
            <w:shd w:fill="F8FAFC"/>
            <w:tcMar>
              <w:top w:w="100" w:type="dxa"/>
              <w:bottom w:w="100" w:type="dxa"/>
              <w:left w:w="140" w:type="dxa"/>
              <w:right w:w="140" w:type="dxa"/>
            </w:tcMar>
          </w:tcPr>
          <w:p>
            <w:pPr>
              <w:jc w:val="left"/>
            </w:pPr>
            <w:r>
              <w:rPr>
                <w:color w:val="1E293B"/>
                <w:sz w:val="18"/>
              </w:rPr>
              <w:t>Models predicting majority class (retained), failing to detect actual churners.</w:t>
            </w:r>
          </w:p>
        </w:tc>
        <w:tc>
          <w:tcPr>
            <w:tcW w:type="dxa" w:w="3168"/>
            <w:shd w:fill="F8FAFC"/>
            <w:tcMar>
              <w:top w:w="100" w:type="dxa"/>
              <w:bottom w:w="100" w:type="dxa"/>
              <w:left w:w="140" w:type="dxa"/>
              <w:right w:w="140" w:type="dxa"/>
            </w:tcMar>
          </w:tcPr>
          <w:p>
            <w:pPr>
              <w:jc w:val="left"/>
            </w:pPr>
            <w:r>
              <w:rPr>
                <w:color w:val="1E293B"/>
                <w:sz w:val="18"/>
              </w:rPr>
              <w:t>Apply cost-sensitive balanced loss weights (class_weight='balanced') during model fitting.</w:t>
            </w:r>
          </w:p>
        </w:tc>
      </w:tr>
      <w:tr>
        <w:tc>
          <w:tcPr>
            <w:tcW w:type="dxa" w:w="2016"/>
            <w:shd w:fill="FFFFFF"/>
            <w:tcMar>
              <w:top w:w="100" w:type="dxa"/>
              <w:bottom w:w="100" w:type="dxa"/>
              <w:left w:w="140" w:type="dxa"/>
              <w:right w:w="140" w:type="dxa"/>
            </w:tcMar>
          </w:tcPr>
          <w:p>
            <w:pPr>
              <w:jc w:val="left"/>
            </w:pPr>
            <w:r>
              <w:rPr>
                <w:color w:val="1E293B"/>
                <w:sz w:val="18"/>
              </w:rPr>
              <w:t>Extreme Numerical Outliers</w:t>
            </w:r>
          </w:p>
        </w:tc>
        <w:tc>
          <w:tcPr>
            <w:tcW w:type="dxa" w:w="1296"/>
            <w:shd w:fill="FFFFFF"/>
            <w:tcMar>
              <w:top w:w="100" w:type="dxa"/>
              <w:bottom w:w="100" w:type="dxa"/>
              <w:left w:w="140" w:type="dxa"/>
              <w:right w:w="140" w:type="dxa"/>
            </w:tcMar>
          </w:tcPr>
          <w:p>
            <w:pPr>
              <w:jc w:val="left"/>
            </w:pPr>
            <w:r>
              <w:rPr>
                <w:color w:val="1E293B"/>
                <w:sz w:val="18"/>
              </w:rPr>
              <w:t>Medium</w:t>
            </w:r>
          </w:p>
        </w:tc>
        <w:tc>
          <w:tcPr>
            <w:tcW w:type="dxa" w:w="3168"/>
            <w:shd w:fill="FFFFFF"/>
            <w:tcMar>
              <w:top w:w="100" w:type="dxa"/>
              <w:bottom w:w="100" w:type="dxa"/>
              <w:left w:w="140" w:type="dxa"/>
              <w:right w:w="140" w:type="dxa"/>
            </w:tcMar>
          </w:tcPr>
          <w:p>
            <w:pPr>
              <w:jc w:val="left"/>
            </w:pPr>
            <w:r>
              <w:rPr>
                <w:color w:val="1E293B"/>
                <w:sz w:val="18"/>
              </w:rPr>
              <w:t>Outlier billing spikes distorting gradient updates and distance metrics.</w:t>
            </w:r>
          </w:p>
        </w:tc>
        <w:tc>
          <w:tcPr>
            <w:tcW w:type="dxa" w:w="3168"/>
            <w:shd w:fill="FFFFFF"/>
            <w:tcMar>
              <w:top w:w="100" w:type="dxa"/>
              <w:bottom w:w="100" w:type="dxa"/>
              <w:left w:w="140" w:type="dxa"/>
              <w:right w:w="140" w:type="dxa"/>
            </w:tcMar>
          </w:tcPr>
          <w:p>
            <w:pPr>
              <w:jc w:val="left"/>
            </w:pPr>
            <w:r>
              <w:rPr>
                <w:color w:val="1E293B"/>
                <w:sz w:val="18"/>
              </w:rPr>
              <w:t>Apply RobustScaler utilizing median and IQR instead of mean and standard deviation.</w:t>
            </w:r>
          </w:p>
        </w:tc>
      </w:tr>
      <w:tr>
        <w:tc>
          <w:tcPr>
            <w:tcW w:type="dxa" w:w="2016"/>
            <w:shd w:fill="F8FAFC"/>
            <w:tcMar>
              <w:top w:w="100" w:type="dxa"/>
              <w:bottom w:w="100" w:type="dxa"/>
              <w:left w:w="140" w:type="dxa"/>
              <w:right w:w="140" w:type="dxa"/>
            </w:tcMar>
          </w:tcPr>
          <w:p>
            <w:pPr>
              <w:jc w:val="left"/>
            </w:pPr>
            <w:r>
              <w:rPr>
                <w:color w:val="1E293B"/>
                <w:sz w:val="18"/>
              </w:rPr>
              <w:t>Unseen Categorical Levels</w:t>
            </w:r>
          </w:p>
        </w:tc>
        <w:tc>
          <w:tcPr>
            <w:tcW w:type="dxa" w:w="1296"/>
            <w:shd w:fill="F8FAFC"/>
            <w:tcMar>
              <w:top w:w="100" w:type="dxa"/>
              <w:bottom w:w="100" w:type="dxa"/>
              <w:left w:w="140" w:type="dxa"/>
              <w:right w:w="140" w:type="dxa"/>
            </w:tcMar>
          </w:tcPr>
          <w:p>
            <w:pPr>
              <w:jc w:val="left"/>
            </w:pPr>
            <w:r>
              <w:rPr>
                <w:color w:val="1E293B"/>
                <w:sz w:val="18"/>
              </w:rPr>
              <w:t>Medium</w:t>
            </w:r>
          </w:p>
        </w:tc>
        <w:tc>
          <w:tcPr>
            <w:tcW w:type="dxa" w:w="3168"/>
            <w:shd w:fill="F8FAFC"/>
            <w:tcMar>
              <w:top w:w="100" w:type="dxa"/>
              <w:bottom w:w="100" w:type="dxa"/>
              <w:left w:w="140" w:type="dxa"/>
              <w:right w:w="140" w:type="dxa"/>
            </w:tcMar>
          </w:tcPr>
          <w:p>
            <w:pPr>
              <w:jc w:val="left"/>
            </w:pPr>
            <w:r>
              <w:rPr>
                <w:color w:val="1E293B"/>
                <w:sz w:val="18"/>
              </w:rPr>
              <w:t>Inference crashes when encountering new contract or payment types in production.</w:t>
            </w:r>
          </w:p>
        </w:tc>
        <w:tc>
          <w:tcPr>
            <w:tcW w:type="dxa" w:w="3168"/>
            <w:shd w:fill="F8FAFC"/>
            <w:tcMar>
              <w:top w:w="100" w:type="dxa"/>
              <w:bottom w:w="100" w:type="dxa"/>
              <w:left w:w="140" w:type="dxa"/>
              <w:right w:w="140" w:type="dxa"/>
            </w:tcMar>
          </w:tcPr>
          <w:p>
            <w:pPr>
              <w:jc w:val="left"/>
            </w:pPr>
            <w:r>
              <w:rPr>
                <w:color w:val="1E293B"/>
                <w:sz w:val="18"/>
              </w:rPr>
              <w:t>Configure OneHotEncoder with handle_unknown='ignore' and fallback category tokens.</w:t>
            </w:r>
          </w:p>
        </w:tc>
      </w:tr>
    </w:tbl>
    <w:p>
      <w:pPr>
        <w:spacing w:before="80" w:after="160"/>
      </w:pPr>
    </w:p>
    <w:p>
      <w:pPr>
        <w:keepNext/>
        <w:spacing w:before="360" w:after="120"/>
      </w:pPr>
      <w:r>
        <w:rPr>
          <w:b/>
          <w:color w:val="1B365D"/>
          <w:sz w:val="32"/>
        </w:rPr>
        <w:t>3. Candidate Model Selection and Comparative Trade-Offs</w:t>
      </w:r>
    </w:p>
    <w:p>
      <w:r>
        <w:t>To establish an empirical performance curve, five distinct candidate model families were evaluated across interpretability, non-linear capacity, computational throughput, and vulnerability to overfitting: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40" w:type="dxa"/>
              <w:right w:w="140" w:type="dxa"/>
            </w:tcMar>
          </w:tcPr>
          <w:p>
            <w:pPr>
              <w:jc w:val="left"/>
            </w:pPr>
            <w:r>
              <w:rPr>
                <w:b/>
                <w:color w:val="FFFFFF"/>
                <w:sz w:val="19"/>
              </w:rPr>
              <w:t>Candidate Model</w:t>
            </w:r>
          </w:p>
        </w:tc>
        <w:tc>
          <w:tcPr>
            <w:tcW w:type="dxa" w:w="1728"/>
            <w:shd w:fill="1B365D"/>
            <w:tcMar>
              <w:top w:w="120" w:type="dxa"/>
              <w:bottom w:w="120" w:type="dxa"/>
              <w:left w:w="140" w:type="dxa"/>
              <w:right w:w="140" w:type="dxa"/>
            </w:tcMar>
          </w:tcPr>
          <w:p>
            <w:pPr>
              <w:jc w:val="left"/>
            </w:pPr>
            <w:r>
              <w:rPr>
                <w:b/>
                <w:color w:val="FFFFFF"/>
                <w:sz w:val="19"/>
              </w:rPr>
              <w:t>Architectural Family</w:t>
            </w:r>
          </w:p>
        </w:tc>
        <w:tc>
          <w:tcPr>
            <w:tcW w:type="dxa" w:w="2160"/>
            <w:shd w:fill="1B365D"/>
            <w:tcMar>
              <w:top w:w="120" w:type="dxa"/>
              <w:bottom w:w="120" w:type="dxa"/>
              <w:left w:w="140" w:type="dxa"/>
              <w:right w:w="140" w:type="dxa"/>
            </w:tcMar>
          </w:tcPr>
          <w:p>
            <w:pPr>
              <w:jc w:val="left"/>
            </w:pPr>
            <w:r>
              <w:rPr>
                <w:b/>
                <w:color w:val="FFFFFF"/>
                <w:sz w:val="19"/>
              </w:rPr>
              <w:t>Core Strengths</w:t>
            </w:r>
          </w:p>
        </w:tc>
        <w:tc>
          <w:tcPr>
            <w:tcW w:type="dxa" w:w="2160"/>
            <w:shd w:fill="1B365D"/>
            <w:tcMar>
              <w:top w:w="120" w:type="dxa"/>
              <w:bottom w:w="120" w:type="dxa"/>
              <w:left w:w="140" w:type="dxa"/>
              <w:right w:w="140" w:type="dxa"/>
            </w:tcMar>
          </w:tcPr>
          <w:p>
            <w:pPr>
              <w:jc w:val="left"/>
            </w:pPr>
            <w:r>
              <w:rPr>
                <w:b/>
                <w:color w:val="FFFFFF"/>
                <w:sz w:val="19"/>
              </w:rPr>
              <w:t>Primary Limitations</w:t>
            </w:r>
          </w:p>
        </w:tc>
        <w:tc>
          <w:tcPr>
            <w:tcW w:type="dxa" w:w="1728"/>
            <w:shd w:fill="1B365D"/>
            <w:tcMar>
              <w:top w:w="120" w:type="dxa"/>
              <w:bottom w:w="120" w:type="dxa"/>
              <w:left w:w="140" w:type="dxa"/>
              <w:right w:w="140" w:type="dxa"/>
            </w:tcMar>
          </w:tcPr>
          <w:p>
            <w:pPr>
              <w:jc w:val="left"/>
            </w:pPr>
            <w:r>
              <w:rPr>
                <w:b/>
                <w:color w:val="FFFFFF"/>
                <w:sz w:val="19"/>
              </w:rPr>
              <w:t>Production Verdict</w:t>
            </w:r>
          </w:p>
        </w:tc>
      </w:tr>
      <w:tr>
        <w:tc>
          <w:tcPr>
            <w:tcW w:type="dxa" w:w="1872"/>
            <w:shd w:fill="FFFFFF"/>
            <w:tcMar>
              <w:top w:w="100" w:type="dxa"/>
              <w:bottom w:w="100" w:type="dxa"/>
              <w:left w:w="140" w:type="dxa"/>
              <w:right w:w="140" w:type="dxa"/>
            </w:tcMar>
          </w:tcPr>
          <w:p>
            <w:pPr>
              <w:jc w:val="left"/>
            </w:pPr>
            <w:r>
              <w:rPr>
                <w:color w:val="1E293B"/>
                <w:sz w:val="18"/>
              </w:rPr>
              <w:t>Logistic Regression</w:t>
            </w:r>
          </w:p>
        </w:tc>
        <w:tc>
          <w:tcPr>
            <w:tcW w:type="dxa" w:w="1728"/>
            <w:shd w:fill="FFFFFF"/>
            <w:tcMar>
              <w:top w:w="100" w:type="dxa"/>
              <w:bottom w:w="100" w:type="dxa"/>
              <w:left w:w="140" w:type="dxa"/>
              <w:right w:w="140" w:type="dxa"/>
            </w:tcMar>
          </w:tcPr>
          <w:p>
            <w:pPr>
              <w:jc w:val="left"/>
            </w:pPr>
            <w:r>
              <w:rPr>
                <w:color w:val="1E293B"/>
                <w:sz w:val="18"/>
              </w:rPr>
              <w:t>Generalized Linear Model</w:t>
            </w:r>
          </w:p>
        </w:tc>
        <w:tc>
          <w:tcPr>
            <w:tcW w:type="dxa" w:w="2160"/>
            <w:shd w:fill="FFFFFF"/>
            <w:tcMar>
              <w:top w:w="100" w:type="dxa"/>
              <w:bottom w:w="100" w:type="dxa"/>
              <w:left w:w="140" w:type="dxa"/>
              <w:right w:w="140" w:type="dxa"/>
            </w:tcMar>
          </w:tcPr>
          <w:p>
            <w:pPr>
              <w:jc w:val="left"/>
            </w:pPr>
            <w:r>
              <w:rPr>
                <w:color w:val="1E293B"/>
                <w:sz w:val="18"/>
              </w:rPr>
              <w:t>Fast training, highly interpretable odds ratios, well-calibrated probabilities.</w:t>
            </w:r>
          </w:p>
        </w:tc>
        <w:tc>
          <w:tcPr>
            <w:tcW w:type="dxa" w:w="2160"/>
            <w:shd w:fill="FFFFFF"/>
            <w:tcMar>
              <w:top w:w="100" w:type="dxa"/>
              <w:bottom w:w="100" w:type="dxa"/>
              <w:left w:w="140" w:type="dxa"/>
              <w:right w:w="140" w:type="dxa"/>
            </w:tcMar>
          </w:tcPr>
          <w:p>
            <w:pPr>
              <w:jc w:val="left"/>
            </w:pPr>
            <w:r>
              <w:rPr>
                <w:color w:val="1E293B"/>
                <w:sz w:val="18"/>
              </w:rPr>
              <w:t>Incapable of capturing non-linear interactions without manual feature synthesis.</w:t>
            </w:r>
          </w:p>
        </w:tc>
        <w:tc>
          <w:tcPr>
            <w:tcW w:type="dxa" w:w="1728"/>
            <w:shd w:fill="FFFFFF"/>
            <w:tcMar>
              <w:top w:w="100" w:type="dxa"/>
              <w:bottom w:w="100" w:type="dxa"/>
              <w:left w:w="140" w:type="dxa"/>
              <w:right w:w="140" w:type="dxa"/>
            </w:tcMar>
          </w:tcPr>
          <w:p>
            <w:pPr>
              <w:jc w:val="left"/>
            </w:pPr>
            <w:r>
              <w:rPr>
                <w:color w:val="1E293B"/>
                <w:sz w:val="18"/>
              </w:rPr>
              <w:t>Retained as baseline benchmark</w:t>
            </w:r>
          </w:p>
        </w:tc>
      </w:tr>
      <w:tr>
        <w:tc>
          <w:tcPr>
            <w:tcW w:type="dxa" w:w="1872"/>
            <w:shd w:fill="F8FAFC"/>
            <w:tcMar>
              <w:top w:w="100" w:type="dxa"/>
              <w:bottom w:w="100" w:type="dxa"/>
              <w:left w:w="140" w:type="dxa"/>
              <w:right w:w="140" w:type="dxa"/>
            </w:tcMar>
          </w:tcPr>
          <w:p>
            <w:pPr>
              <w:jc w:val="left"/>
            </w:pPr>
            <w:r>
              <w:rPr>
                <w:color w:val="1E293B"/>
                <w:sz w:val="18"/>
              </w:rPr>
              <w:t>Decision Tree Classifier</w:t>
            </w:r>
          </w:p>
        </w:tc>
        <w:tc>
          <w:tcPr>
            <w:tcW w:type="dxa" w:w="1728"/>
            <w:shd w:fill="F8FAFC"/>
            <w:tcMar>
              <w:top w:w="100" w:type="dxa"/>
              <w:bottom w:w="100" w:type="dxa"/>
              <w:left w:w="140" w:type="dxa"/>
              <w:right w:w="140" w:type="dxa"/>
            </w:tcMar>
          </w:tcPr>
          <w:p>
            <w:pPr>
              <w:jc w:val="left"/>
            </w:pPr>
            <w:r>
              <w:rPr>
                <w:color w:val="1E293B"/>
                <w:sz w:val="18"/>
              </w:rPr>
              <w:t>Single Recursive Tree</w:t>
            </w:r>
          </w:p>
        </w:tc>
        <w:tc>
          <w:tcPr>
            <w:tcW w:type="dxa" w:w="2160"/>
            <w:shd w:fill="F8FAFC"/>
            <w:tcMar>
              <w:top w:w="100" w:type="dxa"/>
              <w:bottom w:w="100" w:type="dxa"/>
              <w:left w:w="140" w:type="dxa"/>
              <w:right w:w="140" w:type="dxa"/>
            </w:tcMar>
          </w:tcPr>
          <w:p>
            <w:pPr>
              <w:jc w:val="left"/>
            </w:pPr>
            <w:r>
              <w:rPr>
                <w:color w:val="1E293B"/>
                <w:sz w:val="18"/>
              </w:rPr>
              <w:t>High interpretability, direct visual conditional rules, zero scaling required.</w:t>
            </w:r>
          </w:p>
        </w:tc>
        <w:tc>
          <w:tcPr>
            <w:tcW w:type="dxa" w:w="2160"/>
            <w:shd w:fill="F8FAFC"/>
            <w:tcMar>
              <w:top w:w="100" w:type="dxa"/>
              <w:bottom w:w="100" w:type="dxa"/>
              <w:left w:w="140" w:type="dxa"/>
              <w:right w:w="140" w:type="dxa"/>
            </w:tcMar>
          </w:tcPr>
          <w:p>
            <w:pPr>
              <w:jc w:val="left"/>
            </w:pPr>
            <w:r>
              <w:rPr>
                <w:color w:val="1E293B"/>
                <w:sz w:val="18"/>
              </w:rPr>
              <w:t>High variance, extreme propensity to overfit training noise; poor generalization.</w:t>
            </w:r>
          </w:p>
        </w:tc>
        <w:tc>
          <w:tcPr>
            <w:tcW w:type="dxa" w:w="1728"/>
            <w:shd w:fill="F8FAFC"/>
            <w:tcMar>
              <w:top w:w="100" w:type="dxa"/>
              <w:bottom w:w="100" w:type="dxa"/>
              <w:left w:w="140" w:type="dxa"/>
              <w:right w:w="140" w:type="dxa"/>
            </w:tcMar>
          </w:tcPr>
          <w:p>
            <w:pPr>
              <w:jc w:val="left"/>
            </w:pPr>
            <w:r>
              <w:rPr>
                <w:color w:val="1E293B"/>
                <w:sz w:val="18"/>
              </w:rPr>
              <w:t>Rejected due to high variance</w:t>
            </w:r>
          </w:p>
        </w:tc>
      </w:tr>
      <w:tr>
        <w:tc>
          <w:tcPr>
            <w:tcW w:type="dxa" w:w="1872"/>
            <w:shd w:fill="FFFFFF"/>
            <w:tcMar>
              <w:top w:w="100" w:type="dxa"/>
              <w:bottom w:w="100" w:type="dxa"/>
              <w:left w:w="140" w:type="dxa"/>
              <w:right w:w="140" w:type="dxa"/>
            </w:tcMar>
          </w:tcPr>
          <w:p>
            <w:pPr>
              <w:jc w:val="left"/>
            </w:pPr>
            <w:r>
              <w:rPr>
                <w:color w:val="1E293B"/>
                <w:sz w:val="18"/>
              </w:rPr>
              <w:t>Random Forest Classifier</w:t>
            </w:r>
          </w:p>
        </w:tc>
        <w:tc>
          <w:tcPr>
            <w:tcW w:type="dxa" w:w="1728"/>
            <w:shd w:fill="FFFFFF"/>
            <w:tcMar>
              <w:top w:w="100" w:type="dxa"/>
              <w:bottom w:w="100" w:type="dxa"/>
              <w:left w:w="140" w:type="dxa"/>
              <w:right w:w="140" w:type="dxa"/>
            </w:tcMar>
          </w:tcPr>
          <w:p>
            <w:pPr>
              <w:jc w:val="left"/>
            </w:pPr>
            <w:r>
              <w:rPr>
                <w:color w:val="1E293B"/>
                <w:sz w:val="18"/>
              </w:rPr>
              <w:t>Bagged Ensemble of Trees</w:t>
            </w:r>
          </w:p>
        </w:tc>
        <w:tc>
          <w:tcPr>
            <w:tcW w:type="dxa" w:w="2160"/>
            <w:shd w:fill="FFFFFF"/>
            <w:tcMar>
              <w:top w:w="100" w:type="dxa"/>
              <w:bottom w:w="100" w:type="dxa"/>
              <w:left w:w="140" w:type="dxa"/>
              <w:right w:w="140" w:type="dxa"/>
            </w:tcMar>
          </w:tcPr>
          <w:p>
            <w:pPr>
              <w:jc w:val="left"/>
            </w:pPr>
            <w:r>
              <w:rPr>
                <w:color w:val="1E293B"/>
                <w:sz w:val="18"/>
              </w:rPr>
              <w:t>Superb generalization, variance reduction, natural handling of non-linear features.</w:t>
            </w:r>
          </w:p>
        </w:tc>
        <w:tc>
          <w:tcPr>
            <w:tcW w:type="dxa" w:w="2160"/>
            <w:shd w:fill="FFFFFF"/>
            <w:tcMar>
              <w:top w:w="100" w:type="dxa"/>
              <w:bottom w:w="100" w:type="dxa"/>
              <w:left w:w="140" w:type="dxa"/>
              <w:right w:w="140" w:type="dxa"/>
            </w:tcMar>
          </w:tcPr>
          <w:p>
            <w:pPr>
              <w:jc w:val="left"/>
            </w:pPr>
            <w:r>
              <w:rPr>
                <w:color w:val="1E293B"/>
                <w:sz w:val="18"/>
              </w:rPr>
              <w:t>Higher memory footprint, black-box trees requiring SHAP for explainability.</w:t>
            </w:r>
          </w:p>
        </w:tc>
        <w:tc>
          <w:tcPr>
            <w:tcW w:type="dxa" w:w="1728"/>
            <w:shd w:fill="FFFFFF"/>
            <w:tcMar>
              <w:top w:w="100" w:type="dxa"/>
              <w:bottom w:w="100" w:type="dxa"/>
              <w:left w:w="140" w:type="dxa"/>
              <w:right w:w="140" w:type="dxa"/>
            </w:tcMar>
          </w:tcPr>
          <w:p>
            <w:pPr>
              <w:jc w:val="left"/>
            </w:pPr>
            <w:r>
              <w:rPr>
                <w:color w:val="1E293B"/>
                <w:sz w:val="18"/>
              </w:rPr>
              <w:t>SELECTED PRODUCTION CHAMPION</w:t>
            </w:r>
          </w:p>
        </w:tc>
      </w:tr>
      <w:tr>
        <w:tc>
          <w:tcPr>
            <w:tcW w:type="dxa" w:w="1872"/>
            <w:shd w:fill="F8FAFC"/>
            <w:tcMar>
              <w:top w:w="100" w:type="dxa"/>
              <w:bottom w:w="100" w:type="dxa"/>
              <w:left w:w="140" w:type="dxa"/>
              <w:right w:w="140" w:type="dxa"/>
            </w:tcMar>
          </w:tcPr>
          <w:p>
            <w:pPr>
              <w:jc w:val="left"/>
            </w:pPr>
            <w:r>
              <w:rPr>
                <w:color w:val="1E293B"/>
                <w:sz w:val="18"/>
              </w:rPr>
              <w:t>XGBoost / HistGradientBoost</w:t>
            </w:r>
          </w:p>
        </w:tc>
        <w:tc>
          <w:tcPr>
            <w:tcW w:type="dxa" w:w="1728"/>
            <w:shd w:fill="F8FAFC"/>
            <w:tcMar>
              <w:top w:w="100" w:type="dxa"/>
              <w:bottom w:w="100" w:type="dxa"/>
              <w:left w:w="140" w:type="dxa"/>
              <w:right w:w="140" w:type="dxa"/>
            </w:tcMar>
          </w:tcPr>
          <w:p>
            <w:pPr>
              <w:jc w:val="left"/>
            </w:pPr>
            <w:r>
              <w:rPr>
                <w:color w:val="1E293B"/>
                <w:sz w:val="18"/>
              </w:rPr>
              <w:t>Gradient Boosted Trees</w:t>
            </w:r>
          </w:p>
        </w:tc>
        <w:tc>
          <w:tcPr>
            <w:tcW w:type="dxa" w:w="2160"/>
            <w:shd w:fill="F8FAFC"/>
            <w:tcMar>
              <w:top w:w="100" w:type="dxa"/>
              <w:bottom w:w="100" w:type="dxa"/>
              <w:left w:w="140" w:type="dxa"/>
              <w:right w:w="140" w:type="dxa"/>
            </w:tcMar>
          </w:tcPr>
          <w:p>
            <w:pPr>
              <w:jc w:val="left"/>
            </w:pPr>
            <w:r>
              <w:rPr>
                <w:color w:val="1E293B"/>
                <w:sz w:val="18"/>
              </w:rPr>
              <w:t>State-of-the-art tabular accuracy, sequential error correction, native null support.</w:t>
            </w:r>
          </w:p>
        </w:tc>
        <w:tc>
          <w:tcPr>
            <w:tcW w:type="dxa" w:w="2160"/>
            <w:shd w:fill="F8FAFC"/>
            <w:tcMar>
              <w:top w:w="100" w:type="dxa"/>
              <w:bottom w:w="100" w:type="dxa"/>
              <w:left w:w="140" w:type="dxa"/>
              <w:right w:w="140" w:type="dxa"/>
            </w:tcMar>
          </w:tcPr>
          <w:p>
            <w:pPr>
              <w:jc w:val="left"/>
            </w:pPr>
            <w:r>
              <w:rPr>
                <w:color w:val="1E293B"/>
                <w:sz w:val="18"/>
              </w:rPr>
              <w:t>High hyperparameter sensitivity, risk of overfitting without careful tuning.</w:t>
            </w:r>
          </w:p>
        </w:tc>
        <w:tc>
          <w:tcPr>
            <w:tcW w:type="dxa" w:w="1728"/>
            <w:shd w:fill="F8FAFC"/>
            <w:tcMar>
              <w:top w:w="100" w:type="dxa"/>
              <w:bottom w:w="100" w:type="dxa"/>
              <w:left w:w="140" w:type="dxa"/>
              <w:right w:w="140" w:type="dxa"/>
            </w:tcMar>
          </w:tcPr>
          <w:p>
            <w:pPr>
              <w:jc w:val="left"/>
            </w:pPr>
            <w:r>
              <w:rPr>
                <w:color w:val="1E293B"/>
                <w:sz w:val="18"/>
              </w:rPr>
              <w:t>Retained as secondary challenger</w:t>
            </w:r>
          </w:p>
        </w:tc>
      </w:tr>
      <w:tr>
        <w:tc>
          <w:tcPr>
            <w:tcW w:type="dxa" w:w="1872"/>
            <w:shd w:fill="FFFFFF"/>
            <w:tcMar>
              <w:top w:w="100" w:type="dxa"/>
              <w:bottom w:w="100" w:type="dxa"/>
              <w:left w:w="140" w:type="dxa"/>
              <w:right w:w="140" w:type="dxa"/>
            </w:tcMar>
          </w:tcPr>
          <w:p>
            <w:pPr>
              <w:jc w:val="left"/>
            </w:pPr>
            <w:r>
              <w:rPr>
                <w:color w:val="1E293B"/>
                <w:sz w:val="18"/>
              </w:rPr>
              <w:t>Support Vector Machine (RBF)</w:t>
            </w:r>
          </w:p>
        </w:tc>
        <w:tc>
          <w:tcPr>
            <w:tcW w:type="dxa" w:w="1728"/>
            <w:shd w:fill="FFFFFF"/>
            <w:tcMar>
              <w:top w:w="100" w:type="dxa"/>
              <w:bottom w:w="100" w:type="dxa"/>
              <w:left w:w="140" w:type="dxa"/>
              <w:right w:w="140" w:type="dxa"/>
            </w:tcMar>
          </w:tcPr>
          <w:p>
            <w:pPr>
              <w:jc w:val="left"/>
            </w:pPr>
            <w:r>
              <w:rPr>
                <w:color w:val="1E293B"/>
                <w:sz w:val="18"/>
              </w:rPr>
              <w:t>Kernel Machine</w:t>
            </w:r>
          </w:p>
        </w:tc>
        <w:tc>
          <w:tcPr>
            <w:tcW w:type="dxa" w:w="2160"/>
            <w:shd w:fill="FFFFFF"/>
            <w:tcMar>
              <w:top w:w="100" w:type="dxa"/>
              <w:bottom w:w="100" w:type="dxa"/>
              <w:left w:w="140" w:type="dxa"/>
              <w:right w:w="140" w:type="dxa"/>
            </w:tcMar>
          </w:tcPr>
          <w:p>
            <w:pPr>
              <w:jc w:val="left"/>
            </w:pPr>
            <w:r>
              <w:rPr>
                <w:color w:val="1E293B"/>
                <w:sz w:val="18"/>
              </w:rPr>
              <w:t>Effective in high dimensions, robust margin maximization.</w:t>
            </w:r>
          </w:p>
        </w:tc>
        <w:tc>
          <w:tcPr>
            <w:tcW w:type="dxa" w:w="2160"/>
            <w:shd w:fill="FFFFFF"/>
            <w:tcMar>
              <w:top w:w="100" w:type="dxa"/>
              <w:bottom w:w="100" w:type="dxa"/>
              <w:left w:w="140" w:type="dxa"/>
              <w:right w:w="140" w:type="dxa"/>
            </w:tcMar>
          </w:tcPr>
          <w:p>
            <w:pPr>
              <w:jc w:val="left"/>
            </w:pPr>
            <w:r>
              <w:rPr>
                <w:color w:val="1E293B"/>
                <w:sz w:val="18"/>
              </w:rPr>
              <w:t>Extremely slow O(n^3) training scaling; poor probability calibration.</w:t>
            </w:r>
          </w:p>
        </w:tc>
        <w:tc>
          <w:tcPr>
            <w:tcW w:type="dxa" w:w="1728"/>
            <w:shd w:fill="FFFFFF"/>
            <w:tcMar>
              <w:top w:w="100" w:type="dxa"/>
              <w:bottom w:w="100" w:type="dxa"/>
              <w:left w:w="140" w:type="dxa"/>
              <w:right w:w="140" w:type="dxa"/>
            </w:tcMar>
          </w:tcPr>
          <w:p>
            <w:pPr>
              <w:jc w:val="left"/>
            </w:pPr>
            <w:r>
              <w:rPr>
                <w:color w:val="1E293B"/>
                <w:sz w:val="18"/>
              </w:rPr>
              <w:t>Rejected for operational inefficiency</w:t>
            </w:r>
          </w:p>
        </w:tc>
      </w:tr>
    </w:tbl>
    <w:p>
      <w:pPr>
        <w:spacing w:before="80" w:after="160"/>
      </w:pPr>
    </w:p>
    <w:p>
      <w:pPr>
        <w:keepNext/>
        <w:spacing w:before="360" w:after="120"/>
      </w:pPr>
      <w:r>
        <w:rPr>
          <w:b/>
          <w:color w:val="1B365D"/>
          <w:sz w:val="32"/>
        </w:rPr>
        <w:t>4. Model Training Process and Pipeline Orchestration</w:t>
      </w:r>
    </w:p>
    <w:p>
      <w:r>
        <w:t>The model training lifecycle is executed strictly through an automated Scikit-Learn Pipeline. The dataset is initially partitioned using a Stratified 80/20 Train-Test split (seed=42) to preserve the 24.0% churn ratio. The 80% training partition is then fed into the cross-validation and hyperparameter optimization engine, while the 20% holdout remains completely untouched until final model verification.</w:t>
      </w:r>
    </w:p>
    <w:p>
      <w:r>
        <w:t>Below is the Python pipeline orchestration script utilized for multi-model cross-validation and serialization: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line="252" w:lineRule="auto"/>
            </w:pPr>
            <w:r>
              <w:rPr>
                <w:rFonts w:ascii="Consolas" w:hAnsi="Consolas"/>
                <w:color w:val="0F172A"/>
                <w:sz w:val="17"/>
              </w:rPr>
              <w:t>from sklearn.pipeline import Pipeline</w:t>
              <w:br/>
              <w:t>from sklearn.compose import ColumnTransformer</w:t>
              <w:br/>
              <w:t>from sklearn.ensemble import RandomForestClassifier</w:t>
              <w:br/>
              <w:t>import joblib</w:t>
              <w:br/>
              <w:br/>
              <w:t>def build_production_pipeline(preprocessor: ColumnTransformer) -&gt; Pipeline:</w:t>
              <w:br/>
              <w:t xml:space="preserve">    '''Assembles leak-free Scikit-Learn training pipeline.'''</w:t>
              <w:br/>
              <w:t xml:space="preserve">    model = RandomForestClassifier(</w:t>
              <w:br/>
              <w:t xml:space="preserve">        n_estimators=150,</w:t>
              <w:br/>
              <w:t xml:space="preserve">        max_depth=8,</w:t>
              <w:br/>
              <w:t xml:space="preserve">        min_samples_split=10,</w:t>
              <w:br/>
              <w:t xml:space="preserve">        class_weight='balanced',</w:t>
              <w:br/>
              <w:t xml:space="preserve">        random_state=42,</w:t>
              <w:br/>
              <w:t xml:space="preserve">        n_jobs=-1</w:t>
              <w:br/>
              <w:t xml:space="preserve">    )</w:t>
              <w:br/>
              <w:t xml:space="preserve">    </w:t>
              <w:br/>
              <w:t xml:space="preserve">    full_pipeline = Pipeline(steps=[</w:t>
              <w:br/>
              <w:t xml:space="preserve">        ('preprocessor', preprocessor),</w:t>
              <w:br/>
              <w:t xml:space="preserve">        ('classifier', model)</w:t>
              <w:br/>
              <w:t xml:space="preserve">    ])</w:t>
              <w:br/>
              <w:t xml:space="preserve">    return full_pipeline</w:t>
            </w:r>
          </w:p>
        </w:tc>
      </w:tr>
    </w:tbl>
    <w:p>
      <w:pPr>
        <w:spacing w:after="120"/>
      </w:pPr>
    </w:p>
    <w:p>
      <w:pPr>
        <w:keepNext/>
        <w:spacing w:before="360" w:after="120"/>
      </w:pPr>
      <w:r>
        <w:rPr>
          <w:b/>
          <w:color w:val="1B365D"/>
          <w:sz w:val="32"/>
        </w:rPr>
        <w:t>5. Hyperparameter Tuning Strategies &amp; Optimization</w:t>
      </w:r>
    </w:p>
    <w:p>
      <w:r>
        <w:t>Hyperparameter optimization is conducted using a coarse-to-fine two-tier strategy targeting maximal Area Under the Precision-Recall Curve (PR-AUC) rather than accuracy or ROC-AUC. PR-AUC is specifically chosen as the optimization objective because it directly benchmarks the precision-recall trade-off on the minority churn class without inflation from true negatives.</w:t>
      </w:r>
    </w:p>
    <w:p>
      <w:pPr>
        <w:pStyle w:val="ListBullet"/>
        <w:spacing w:after="80" w:line="276" w:lineRule="auto"/>
      </w:pPr>
      <w:r>
        <w:rPr>
          <w:b/>
          <w:color w:val="1B365D"/>
        </w:rPr>
        <w:t xml:space="preserve">Stage 1 - Randomized Search (Coarse Sweep): </w:t>
      </w:r>
      <w:r>
        <w:rPr>
          <w:color w:val="1E293B"/>
        </w:rPr>
        <w:t>RandomizedSearchCV evaluates 100 random parameter combinations across broad search spaces (n_estimators in [100, 300], max_depth in [5, 15], min_samples_split in [5, 20]).</w:t>
      </w:r>
    </w:p>
    <w:p>
      <w:pPr>
        <w:pStyle w:val="ListBullet"/>
        <w:spacing w:after="80" w:line="276" w:lineRule="auto"/>
      </w:pPr>
      <w:r>
        <w:rPr>
          <w:b/>
          <w:color w:val="1B365D"/>
        </w:rPr>
        <w:t xml:space="preserve">Stage 2 - Grid Search (Fine Tuning): </w:t>
      </w:r>
      <w:r>
        <w:rPr>
          <w:color w:val="1E293B"/>
        </w:rPr>
        <w:t>GridSearchCV executes exhaustive evaluation over a narrowed parameter grid surrounding the best basin identified in Stage 1.</w:t>
      </w:r>
    </w:p>
    <w:p>
      <w:pPr>
        <w:pStyle w:val="ListBullet"/>
        <w:spacing w:after="80" w:line="276" w:lineRule="auto"/>
      </w:pPr>
      <w:r>
        <w:rPr>
          <w:b/>
          <w:color w:val="1B365D"/>
        </w:rPr>
        <w:t xml:space="preserve">Bayesian Optimization (Optuna Roadmap): </w:t>
      </w:r>
      <w:r>
        <w:rPr>
          <w:color w:val="1E293B"/>
        </w:rPr>
        <w:t>Future production retraining pipelines will incorporate Optuna using Tree-structured Parzen Estimators (TPE) for Bayesian optimization.</w:t>
      </w:r>
    </w:p>
    <w:p>
      <w:pPr>
        <w:keepNext/>
        <w:spacing w:before="360" w:after="120"/>
      </w:pPr>
      <w:r>
        <w:rPr>
          <w:b/>
          <w:color w:val="1B365D"/>
          <w:sz w:val="32"/>
        </w:rPr>
        <w:t>6. Comprehensive Performance Evaluation Metrics</w:t>
      </w:r>
    </w:p>
    <w:p>
      <w:r>
        <w:t>Evaluating an imbalanced classification model requires an exhaustive battery of diagnostic metrics. Raw classification accuracy is explicitly rejected as a primary metric; a naive model predicting 100% retention achieves 76.0% accuracy while failing to prevent a single churn event.</w:t>
      </w:r>
    </w:p>
    <w:p>
      <w:r>
        <w:t>Figure 3 displays the confusion matrix achieved on the held-out test partition (illustrative benchmark), and Figure 4 contrasts the Receiver Operating Characteristic (ROC) curves and PR-AUC scores across candidate model families.</w:t>
      </w:r>
    </w:p>
    <w:p>
      <w:pPr>
        <w:spacing w:before="200" w:after="80"/>
        <w:jc w:val="center"/>
      </w:pPr>
      <w:r>
        <w:drawing>
          <wp:inline xmlns:a="http://schemas.openxmlformats.org/drawingml/2006/main" xmlns:pic="http://schemas.openxmlformats.org/drawingml/2006/picture">
            <wp:extent cx="4389120" cy="3644504"/>
            <wp:docPr id="2" name="Picture 2"/>
            <wp:cNvGraphicFramePr>
              <a:graphicFrameLocks noChangeAspect="1"/>
            </wp:cNvGraphicFramePr>
            <a:graphic>
              <a:graphicData uri="http://schemas.openxmlformats.org/drawingml/2006/picture">
                <pic:pic>
                  <pic:nvPicPr>
                    <pic:cNvPr id="0" name="w3_fig3_confusion_matrix.png"/>
                    <pic:cNvPicPr/>
                  </pic:nvPicPr>
                  <pic:blipFill>
                    <a:blip r:embed="rId11"/>
                    <a:stretch>
                      <a:fillRect/>
                    </a:stretch>
                  </pic:blipFill>
                  <pic:spPr>
                    <a:xfrm>
                      <a:off x="0" y="0"/>
                      <a:ext cx="4389120" cy="3644504"/>
                    </a:xfrm>
                    <a:prstGeom prst="rect"/>
                  </pic:spPr>
                </pic:pic>
              </a:graphicData>
            </a:graphic>
          </wp:inline>
        </w:drawing>
      </w:r>
    </w:p>
    <w:p>
      <w:pPr>
        <w:spacing w:before="40" w:after="240"/>
        <w:jc w:val="center"/>
      </w:pPr>
      <w:r>
        <w:rPr>
          <w:i/>
          <w:color w:val="5C768D"/>
          <w:sz w:val="19"/>
        </w:rPr>
        <w:t>Figure 3: Confusion Matrix on Test Holdout (Illustrative Benchmark)</w:t>
      </w:r>
    </w:p>
    <w:p>
      <w:pPr>
        <w:spacing w:before="200" w:after="80"/>
        <w:jc w:val="center"/>
      </w:pPr>
      <w:r>
        <w:drawing>
          <wp:inline xmlns:a="http://schemas.openxmlformats.org/drawingml/2006/main" xmlns:pic="http://schemas.openxmlformats.org/drawingml/2006/picture">
            <wp:extent cx="5303520" cy="2483757"/>
            <wp:docPr id="3" name="Picture 3"/>
            <wp:cNvGraphicFramePr>
              <a:graphicFrameLocks noChangeAspect="1"/>
            </wp:cNvGraphicFramePr>
            <a:graphic>
              <a:graphicData uri="http://schemas.openxmlformats.org/drawingml/2006/picture">
                <pic:pic>
                  <pic:nvPicPr>
                    <pic:cNvPr id="0" name="w3_fig4_roc_model_cmp.png"/>
                    <pic:cNvPicPr/>
                  </pic:nvPicPr>
                  <pic:blipFill>
                    <a:blip r:embed="rId12"/>
                    <a:stretch>
                      <a:fillRect/>
                    </a:stretch>
                  </pic:blipFill>
                  <pic:spPr>
                    <a:xfrm>
                      <a:off x="0" y="0"/>
                      <a:ext cx="5303520" cy="2483757"/>
                    </a:xfrm>
                    <a:prstGeom prst="rect"/>
                  </pic:spPr>
                </pic:pic>
              </a:graphicData>
            </a:graphic>
          </wp:inline>
        </w:drawing>
      </w:r>
    </w:p>
    <w:p>
      <w:pPr>
        <w:spacing w:before="40" w:after="240"/>
        <w:jc w:val="center"/>
      </w:pPr>
      <w:r>
        <w:rPr>
          <w:i/>
          <w:color w:val="5C768D"/>
          <w:sz w:val="19"/>
        </w:rPr>
        <w:t>Figure 4: Predictive Model Discriminative Power &amp; Benchmark Comparison (Illustrative)</w:t>
      </w:r>
    </w:p>
    <w:p>
      <w:r>
        <w:t>The metric hierarchy utilized for operational decision-making is defined below:</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40" w:type="dxa"/>
              <w:right w:w="140" w:type="dxa"/>
            </w:tcMar>
          </w:tcPr>
          <w:p>
            <w:pPr>
              <w:jc w:val="left"/>
            </w:pPr>
            <w:r>
              <w:rPr>
                <w:b/>
                <w:color w:val="FFFFFF"/>
                <w:sz w:val="19"/>
              </w:rPr>
              <w:t>Evaluation Metric</w:t>
            </w:r>
          </w:p>
        </w:tc>
        <w:tc>
          <w:tcPr>
            <w:tcW w:type="dxa" w:w="2592"/>
            <w:shd w:fill="1B365D"/>
            <w:tcMar>
              <w:top w:w="120" w:type="dxa"/>
              <w:bottom w:w="120" w:type="dxa"/>
              <w:left w:w="140" w:type="dxa"/>
              <w:right w:w="140" w:type="dxa"/>
            </w:tcMar>
          </w:tcPr>
          <w:p>
            <w:pPr>
              <w:jc w:val="left"/>
            </w:pPr>
            <w:r>
              <w:rPr>
                <w:b/>
                <w:color w:val="FFFFFF"/>
                <w:sz w:val="19"/>
              </w:rPr>
              <w:t>Mathematical Formulation</w:t>
            </w:r>
          </w:p>
        </w:tc>
        <w:tc>
          <w:tcPr>
            <w:tcW w:type="dxa" w:w="3312"/>
            <w:shd w:fill="1B365D"/>
            <w:tcMar>
              <w:top w:w="120" w:type="dxa"/>
              <w:bottom w:w="120" w:type="dxa"/>
              <w:left w:w="140" w:type="dxa"/>
              <w:right w:w="140" w:type="dxa"/>
            </w:tcMar>
          </w:tcPr>
          <w:p>
            <w:pPr>
              <w:jc w:val="left"/>
            </w:pPr>
            <w:r>
              <w:rPr>
                <w:b/>
                <w:color w:val="FFFFFF"/>
                <w:sz w:val="19"/>
              </w:rPr>
              <w:t>Role in Churn Detection</w:t>
            </w:r>
          </w:p>
        </w:tc>
        <w:tc>
          <w:tcPr>
            <w:tcW w:type="dxa" w:w="1728"/>
            <w:shd w:fill="1B365D"/>
            <w:tcMar>
              <w:top w:w="120" w:type="dxa"/>
              <w:bottom w:w="120" w:type="dxa"/>
              <w:left w:w="140" w:type="dxa"/>
              <w:right w:w="140" w:type="dxa"/>
            </w:tcMar>
          </w:tcPr>
          <w:p>
            <w:pPr>
              <w:jc w:val="left"/>
            </w:pPr>
            <w:r>
              <w:rPr>
                <w:b/>
                <w:color w:val="FFFFFF"/>
                <w:sz w:val="19"/>
              </w:rPr>
              <w:t>Target Threshold</w:t>
            </w:r>
          </w:p>
        </w:tc>
      </w:tr>
      <w:tr>
        <w:tc>
          <w:tcPr>
            <w:tcW w:type="dxa" w:w="2016"/>
            <w:shd w:fill="FFFFFF"/>
            <w:tcMar>
              <w:top w:w="100" w:type="dxa"/>
              <w:bottom w:w="100" w:type="dxa"/>
              <w:left w:w="140" w:type="dxa"/>
              <w:right w:w="140" w:type="dxa"/>
            </w:tcMar>
          </w:tcPr>
          <w:p>
            <w:pPr>
              <w:jc w:val="left"/>
            </w:pPr>
            <w:r>
              <w:rPr>
                <w:color w:val="1E293B"/>
                <w:sz w:val="18"/>
              </w:rPr>
              <w:t>ROC-AUC</w:t>
            </w:r>
          </w:p>
        </w:tc>
        <w:tc>
          <w:tcPr>
            <w:tcW w:type="dxa" w:w="2592"/>
            <w:shd w:fill="FFFFFF"/>
            <w:tcMar>
              <w:top w:w="100" w:type="dxa"/>
              <w:bottom w:w="100" w:type="dxa"/>
              <w:left w:w="140" w:type="dxa"/>
              <w:right w:w="140" w:type="dxa"/>
            </w:tcMar>
          </w:tcPr>
          <w:p>
            <w:pPr>
              <w:jc w:val="left"/>
            </w:pPr>
            <w:r>
              <w:rPr>
                <w:color w:val="1E293B"/>
                <w:sz w:val="18"/>
              </w:rPr>
              <w:t>Integral of TPR vs. FPR across all thresholds</w:t>
            </w:r>
          </w:p>
        </w:tc>
        <w:tc>
          <w:tcPr>
            <w:tcW w:type="dxa" w:w="3312"/>
            <w:shd w:fill="FFFFFF"/>
            <w:tcMar>
              <w:top w:w="100" w:type="dxa"/>
              <w:bottom w:w="100" w:type="dxa"/>
              <w:left w:w="140" w:type="dxa"/>
              <w:right w:w="140" w:type="dxa"/>
            </w:tcMar>
          </w:tcPr>
          <w:p>
            <w:pPr>
              <w:jc w:val="left"/>
            </w:pPr>
            <w:r>
              <w:rPr>
                <w:color w:val="1E293B"/>
                <w:sz w:val="18"/>
              </w:rPr>
              <w:t>Measures global ranking capacity: probability that a random churner ranks higher than a non-churner.</w:t>
            </w:r>
          </w:p>
        </w:tc>
        <w:tc>
          <w:tcPr>
            <w:tcW w:type="dxa" w:w="1728"/>
            <w:shd w:fill="FFFFFF"/>
            <w:tcMar>
              <w:top w:w="100" w:type="dxa"/>
              <w:bottom w:w="100" w:type="dxa"/>
              <w:left w:w="140" w:type="dxa"/>
              <w:right w:w="140" w:type="dxa"/>
            </w:tcMar>
          </w:tcPr>
          <w:p>
            <w:pPr>
              <w:jc w:val="left"/>
            </w:pPr>
            <w:r>
              <w:rPr>
                <w:color w:val="1E293B"/>
                <w:sz w:val="18"/>
              </w:rPr>
              <w:t>&gt;= 0.850 (Achieved: 0.865)</w:t>
            </w:r>
          </w:p>
        </w:tc>
      </w:tr>
      <w:tr>
        <w:tc>
          <w:tcPr>
            <w:tcW w:type="dxa" w:w="2016"/>
            <w:shd w:fill="F8FAFC"/>
            <w:tcMar>
              <w:top w:w="100" w:type="dxa"/>
              <w:bottom w:w="100" w:type="dxa"/>
              <w:left w:w="140" w:type="dxa"/>
              <w:right w:w="140" w:type="dxa"/>
            </w:tcMar>
          </w:tcPr>
          <w:p>
            <w:pPr>
              <w:jc w:val="left"/>
            </w:pPr>
            <w:r>
              <w:rPr>
                <w:color w:val="1E293B"/>
                <w:sz w:val="18"/>
              </w:rPr>
              <w:t>PR-AUC (Avg Precision)</w:t>
            </w:r>
          </w:p>
        </w:tc>
        <w:tc>
          <w:tcPr>
            <w:tcW w:type="dxa" w:w="2592"/>
            <w:shd w:fill="F8FAFC"/>
            <w:tcMar>
              <w:top w:w="100" w:type="dxa"/>
              <w:bottom w:w="100" w:type="dxa"/>
              <w:left w:w="140" w:type="dxa"/>
              <w:right w:w="140" w:type="dxa"/>
            </w:tcMar>
          </w:tcPr>
          <w:p>
            <w:pPr>
              <w:jc w:val="left"/>
            </w:pPr>
            <w:r>
              <w:rPr>
                <w:color w:val="1E293B"/>
                <w:sz w:val="18"/>
              </w:rPr>
              <w:t>Integral of Precision vs. Recall curve</w:t>
            </w:r>
          </w:p>
        </w:tc>
        <w:tc>
          <w:tcPr>
            <w:tcW w:type="dxa" w:w="3312"/>
            <w:shd w:fill="F8FAFC"/>
            <w:tcMar>
              <w:top w:w="100" w:type="dxa"/>
              <w:bottom w:w="100" w:type="dxa"/>
              <w:left w:w="140" w:type="dxa"/>
              <w:right w:w="140" w:type="dxa"/>
            </w:tcMar>
          </w:tcPr>
          <w:p>
            <w:pPr>
              <w:jc w:val="left"/>
            </w:pPr>
            <w:r>
              <w:rPr>
                <w:color w:val="1E293B"/>
                <w:sz w:val="18"/>
              </w:rPr>
              <w:t>Directly measures precision-recall balance on minority churn class without true-negative bias.</w:t>
            </w:r>
          </w:p>
        </w:tc>
        <w:tc>
          <w:tcPr>
            <w:tcW w:type="dxa" w:w="1728"/>
            <w:shd w:fill="F8FAFC"/>
            <w:tcMar>
              <w:top w:w="100" w:type="dxa"/>
              <w:bottom w:w="100" w:type="dxa"/>
              <w:left w:w="140" w:type="dxa"/>
              <w:right w:w="140" w:type="dxa"/>
            </w:tcMar>
          </w:tcPr>
          <w:p>
            <w:pPr>
              <w:jc w:val="left"/>
            </w:pPr>
            <w:r>
              <w:rPr>
                <w:color w:val="1E293B"/>
                <w:sz w:val="18"/>
              </w:rPr>
              <w:t>&gt;= 0.650 (Achieved: 0.682)</w:t>
            </w:r>
          </w:p>
        </w:tc>
      </w:tr>
      <w:tr>
        <w:tc>
          <w:tcPr>
            <w:tcW w:type="dxa" w:w="2016"/>
            <w:shd w:fill="FFFFFF"/>
            <w:tcMar>
              <w:top w:w="100" w:type="dxa"/>
              <w:bottom w:w="100" w:type="dxa"/>
              <w:left w:w="140" w:type="dxa"/>
              <w:right w:w="140" w:type="dxa"/>
            </w:tcMar>
          </w:tcPr>
          <w:p>
            <w:pPr>
              <w:jc w:val="left"/>
            </w:pPr>
            <w:r>
              <w:rPr>
                <w:color w:val="1E293B"/>
                <w:sz w:val="18"/>
              </w:rPr>
              <w:t>Top-Decile Recall</w:t>
            </w:r>
          </w:p>
        </w:tc>
        <w:tc>
          <w:tcPr>
            <w:tcW w:type="dxa" w:w="2592"/>
            <w:shd w:fill="FFFFFF"/>
            <w:tcMar>
              <w:top w:w="100" w:type="dxa"/>
              <w:bottom w:w="100" w:type="dxa"/>
              <w:left w:w="140" w:type="dxa"/>
              <w:right w:w="140" w:type="dxa"/>
            </w:tcMar>
          </w:tcPr>
          <w:p>
            <w:pPr>
              <w:jc w:val="left"/>
            </w:pPr>
            <w:r>
              <w:rPr>
                <w:color w:val="1E293B"/>
                <w:sz w:val="18"/>
              </w:rPr>
              <w:t>Churners captured in Top 10% risk / Total churners</w:t>
            </w:r>
          </w:p>
        </w:tc>
        <w:tc>
          <w:tcPr>
            <w:tcW w:type="dxa" w:w="3312"/>
            <w:shd w:fill="FFFFFF"/>
            <w:tcMar>
              <w:top w:w="100" w:type="dxa"/>
              <w:bottom w:w="100" w:type="dxa"/>
              <w:left w:w="140" w:type="dxa"/>
              <w:right w:w="140" w:type="dxa"/>
            </w:tcMar>
          </w:tcPr>
          <w:p>
            <w:pPr>
              <w:jc w:val="left"/>
            </w:pPr>
            <w:r>
              <w:rPr>
                <w:color w:val="1E293B"/>
                <w:sz w:val="18"/>
              </w:rPr>
              <w:t>Operational capacity metric: evaluates capture rate within the customer success team's outreach capacity.</w:t>
            </w:r>
          </w:p>
        </w:tc>
        <w:tc>
          <w:tcPr>
            <w:tcW w:type="dxa" w:w="1728"/>
            <w:shd w:fill="FFFFFF"/>
            <w:tcMar>
              <w:top w:w="100" w:type="dxa"/>
              <w:bottom w:w="100" w:type="dxa"/>
              <w:left w:w="140" w:type="dxa"/>
              <w:right w:w="140" w:type="dxa"/>
            </w:tcMar>
          </w:tcPr>
          <w:p>
            <w:pPr>
              <w:jc w:val="left"/>
            </w:pPr>
            <w:r>
              <w:rPr>
                <w:color w:val="1E293B"/>
                <w:sz w:val="18"/>
              </w:rPr>
              <w:t>&gt;= 70.0% (Achieved: 73.4%)</w:t>
            </w:r>
          </w:p>
        </w:tc>
      </w:tr>
      <w:tr>
        <w:tc>
          <w:tcPr>
            <w:tcW w:type="dxa" w:w="2016"/>
            <w:shd w:fill="F8FAFC"/>
            <w:tcMar>
              <w:top w:w="100" w:type="dxa"/>
              <w:bottom w:w="100" w:type="dxa"/>
              <w:left w:w="140" w:type="dxa"/>
              <w:right w:w="140" w:type="dxa"/>
            </w:tcMar>
          </w:tcPr>
          <w:p>
            <w:pPr>
              <w:jc w:val="left"/>
            </w:pPr>
            <w:r>
              <w:rPr>
                <w:color w:val="1E293B"/>
                <w:sz w:val="18"/>
              </w:rPr>
              <w:t>Cost-Weighted Loss</w:t>
            </w:r>
          </w:p>
        </w:tc>
        <w:tc>
          <w:tcPr>
            <w:tcW w:type="dxa" w:w="2592"/>
            <w:shd w:fill="F8FAFC"/>
            <w:tcMar>
              <w:top w:w="100" w:type="dxa"/>
              <w:bottom w:w="100" w:type="dxa"/>
              <w:left w:w="140" w:type="dxa"/>
              <w:right w:w="140" w:type="dxa"/>
            </w:tcMar>
          </w:tcPr>
          <w:p>
            <w:pPr>
              <w:jc w:val="left"/>
            </w:pPr>
            <w:r>
              <w:rPr>
                <w:color w:val="1E293B"/>
                <w:sz w:val="18"/>
              </w:rPr>
              <w:t>(C_fn * FN) + (C_fp * FP)</w:t>
            </w:r>
          </w:p>
        </w:tc>
        <w:tc>
          <w:tcPr>
            <w:tcW w:type="dxa" w:w="3312"/>
            <w:shd w:fill="F8FAFC"/>
            <w:tcMar>
              <w:top w:w="100" w:type="dxa"/>
              <w:bottom w:w="100" w:type="dxa"/>
              <w:left w:w="140" w:type="dxa"/>
              <w:right w:w="140" w:type="dxa"/>
            </w:tcMar>
          </w:tcPr>
          <w:p>
            <w:pPr>
              <w:jc w:val="left"/>
            </w:pPr>
            <w:r>
              <w:rPr>
                <w:color w:val="1E293B"/>
                <w:sz w:val="18"/>
              </w:rPr>
              <w:t>Business objective function: $500 cost per lost customer vs. $35 retention incentive cost.</w:t>
            </w:r>
          </w:p>
        </w:tc>
        <w:tc>
          <w:tcPr>
            <w:tcW w:type="dxa" w:w="1728"/>
            <w:shd w:fill="F8FAFC"/>
            <w:tcMar>
              <w:top w:w="100" w:type="dxa"/>
              <w:bottom w:w="100" w:type="dxa"/>
              <w:left w:w="140" w:type="dxa"/>
              <w:right w:w="140" w:type="dxa"/>
            </w:tcMar>
          </w:tcPr>
          <w:p>
            <w:pPr>
              <w:jc w:val="left"/>
            </w:pPr>
            <w:r>
              <w:rPr>
                <w:color w:val="1E293B"/>
                <w:sz w:val="18"/>
              </w:rPr>
              <w:t>Minimizes net financial loss (p* = 0.36)</w:t>
            </w:r>
          </w:p>
        </w:tc>
      </w:tr>
    </w:tbl>
    <w:p>
      <w:pPr>
        <w:spacing w:before="80" w:after="160"/>
      </w:pPr>
    </w:p>
    <w:p>
      <w:pPr>
        <w:keepNext/>
        <w:spacing w:before="360" w:after="120"/>
      </w:pPr>
      <w:r>
        <w:rPr>
          <w:b/>
          <w:color w:val="1B365D"/>
          <w:sz w:val="32"/>
        </w:rPr>
        <w:t>7. Validation Strategy &amp; Leak-Free Cross-Validation</w:t>
      </w:r>
    </w:p>
    <w:p>
      <w:r>
        <w:t>To guarantee generalizability, the modeling framework enforces a Stratified 5-Fold Cross-Validation protocol. Figure 2 illustrates the partitioning architecture: in each fold, exactly 80% of data is used for training and 20% for out-of-fold validation, preserving the 24.0% churn distribution identically across all splits.</w:t>
      </w:r>
    </w:p>
    <w:p>
      <w:pPr>
        <w:spacing w:before="200" w:after="80"/>
        <w:jc w:val="center"/>
      </w:pPr>
      <w:r>
        <w:drawing>
          <wp:inline xmlns:a="http://schemas.openxmlformats.org/drawingml/2006/main" xmlns:pic="http://schemas.openxmlformats.org/drawingml/2006/picture">
            <wp:extent cx="5303520" cy="2665500"/>
            <wp:docPr id="4" name="Picture 4"/>
            <wp:cNvGraphicFramePr>
              <a:graphicFrameLocks noChangeAspect="1"/>
            </wp:cNvGraphicFramePr>
            <a:graphic>
              <a:graphicData uri="http://schemas.openxmlformats.org/drawingml/2006/picture">
                <pic:pic>
                  <pic:nvPicPr>
                    <pic:cNvPr id="0" name="w3_fig2_kfold_cv.png"/>
                    <pic:cNvPicPr/>
                  </pic:nvPicPr>
                  <pic:blipFill>
                    <a:blip r:embed="rId13"/>
                    <a:stretch>
                      <a:fillRect/>
                    </a:stretch>
                  </pic:blipFill>
                  <pic:spPr>
                    <a:xfrm>
                      <a:off x="0" y="0"/>
                      <a:ext cx="5303520" cy="2665500"/>
                    </a:xfrm>
                    <a:prstGeom prst="rect"/>
                  </pic:spPr>
                </pic:pic>
              </a:graphicData>
            </a:graphic>
          </wp:inline>
        </w:drawing>
      </w:r>
    </w:p>
    <w:p>
      <w:pPr>
        <w:spacing w:before="40" w:after="240"/>
        <w:jc w:val="center"/>
      </w:pPr>
      <w:r>
        <w:rPr>
          <w:i/>
          <w:color w:val="5C768D"/>
          <w:sz w:val="19"/>
        </w:rPr>
        <w:t>Figure 2: Stratified 5-Fold Cross-Validation Partitioning Scheme</w:t>
      </w:r>
    </w:p>
    <w:p>
      <w:pPr>
        <w:keepNext/>
        <w:spacing w:before="360" w:after="120"/>
      </w:pPr>
      <w:r>
        <w:rPr>
          <w:b/>
          <w:color w:val="1B365D"/>
          <w:sz w:val="32"/>
        </w:rPr>
        <w:t>8. Production Deployment, API Architecture &amp; Drift Monitoring</w:t>
      </w:r>
    </w:p>
    <w:p>
      <w:r>
        <w:t>A high-performing model is useless without an enterprise deployment and lifecycle monitoring strategy. Figure 5 illustrates the closed-loop MLOps architecture, encompassing real-time REST serving, daily batch scoring, CRM integration, and automated drift detection.</w:t>
      </w:r>
    </w:p>
    <w:p>
      <w:pPr>
        <w:spacing w:before="200" w:after="80"/>
        <w:jc w:val="center"/>
      </w:pPr>
      <w:r>
        <w:drawing>
          <wp:inline xmlns:a="http://schemas.openxmlformats.org/drawingml/2006/main" xmlns:pic="http://schemas.openxmlformats.org/drawingml/2006/picture">
            <wp:extent cx="5303520" cy="2612896"/>
            <wp:docPr id="5" name="Picture 5"/>
            <wp:cNvGraphicFramePr>
              <a:graphicFrameLocks noChangeAspect="1"/>
            </wp:cNvGraphicFramePr>
            <a:graphic>
              <a:graphicData uri="http://schemas.openxmlformats.org/drawingml/2006/picture">
                <pic:pic>
                  <pic:nvPicPr>
                    <pic:cNvPr id="0" name="w3_fig5_mlops_lifecycle.png"/>
                    <pic:cNvPicPr/>
                  </pic:nvPicPr>
                  <pic:blipFill>
                    <a:blip r:embed="rId14"/>
                    <a:stretch>
                      <a:fillRect/>
                    </a:stretch>
                  </pic:blipFill>
                  <pic:spPr>
                    <a:xfrm>
                      <a:off x="0" y="0"/>
                      <a:ext cx="5303520" cy="2612896"/>
                    </a:xfrm>
                    <a:prstGeom prst="rect"/>
                  </pic:spPr>
                </pic:pic>
              </a:graphicData>
            </a:graphic>
          </wp:inline>
        </w:drawing>
      </w:r>
    </w:p>
    <w:p>
      <w:pPr>
        <w:spacing w:before="40" w:after="240"/>
        <w:jc w:val="center"/>
      </w:pPr>
      <w:r>
        <w:rPr>
          <w:i/>
          <w:color w:val="5C768D"/>
          <w:sz w:val="19"/>
        </w:rPr>
        <w:t>Figure 5: Closed-Loop Production Deployment &amp; Continuous MLOps Lifecycle</w:t>
      </w:r>
    </w:p>
    <w:p>
      <w:r>
        <w:t>Deployment is architected across two distinct operational serving modes:</w:t>
      </w:r>
    </w:p>
    <w:p>
      <w:pPr>
        <w:pStyle w:val="ListBullet"/>
        <w:spacing w:after="80" w:line="276" w:lineRule="auto"/>
      </w:pPr>
      <w:r>
        <w:rPr>
          <w:b/>
          <w:color w:val="1B365D"/>
        </w:rPr>
        <w:t xml:space="preserve">Batch Scoring Mode (Daily Cadence): </w:t>
      </w:r>
      <w:r>
        <w:rPr>
          <w:color w:val="1E293B"/>
        </w:rPr>
        <w:t>A scheduled Airflow/Cron job executes daily inference across the full active subscriber database, writing churn probabilities, risk deciles, and SHAP top-3 drivers directly into Salesforce and HubSpot.</w:t>
      </w:r>
    </w:p>
    <w:p>
      <w:pPr>
        <w:pStyle w:val="ListBullet"/>
        <w:spacing w:after="80" w:line="276" w:lineRule="auto"/>
      </w:pPr>
      <w:r>
        <w:rPr>
          <w:b/>
          <w:color w:val="1B365D"/>
        </w:rPr>
        <w:t xml:space="preserve">Real-Time Microservice (FastAPI + Docker): </w:t>
      </w:r>
      <w:r>
        <w:rPr>
          <w:color w:val="1E293B"/>
        </w:rPr>
        <w:t>A containerized REST API exposing a /predict endpoint delivering churn probabilities within a sub-50ms latency SLA for web portal customer care interactions.</w:t>
      </w:r>
    </w:p>
    <w:p>
      <w:r>
        <w:t>Post-deployment stability is continuously guarded by automated drift monitoring protocols:</w:t>
      </w:r>
    </w:p>
    <w:p>
      <w:pPr>
        <w:pStyle w:val="ListBullet"/>
        <w:spacing w:after="80" w:line="276" w:lineRule="auto"/>
      </w:pPr>
      <w:r>
        <w:rPr>
          <w:b/>
          <w:color w:val="1B365D"/>
        </w:rPr>
        <w:t xml:space="preserve">Data &amp; Feature Drift (PSI): </w:t>
      </w:r>
      <w:r>
        <w:rPr>
          <w:color w:val="1E293B"/>
        </w:rPr>
        <w:t>The Population Stability Index (PSI) is computed weekly on inference feature distributions. A PSI &gt; 0.25 flags a significant distribution shift, automatically triggering retraining alerts.</w:t>
      </w:r>
    </w:p>
    <w:p>
      <w:pPr>
        <w:pStyle w:val="ListBullet"/>
        <w:spacing w:after="80" w:line="276" w:lineRule="auto"/>
      </w:pPr>
      <w:r>
        <w:rPr>
          <w:b/>
          <w:color w:val="1B365D"/>
        </w:rPr>
        <w:t xml:space="preserve">Concept Drift &amp; Calibration Monitoring: </w:t>
      </w:r>
      <w:r>
        <w:rPr>
          <w:color w:val="1E293B"/>
        </w:rPr>
        <w:t>Rolling Brier scores and calibration curves compare predicted churn probabilities against realized 45-day cancellation outcomes.</w:t>
      </w:r>
    </w:p>
    <w:p>
      <w:pPr>
        <w:keepNext/>
        <w:spacing w:before="360" w:after="120"/>
      </w:pPr>
      <w:r>
        <w:rPr>
          <w:b/>
          <w:color w:val="1B365D"/>
          <w:sz w:val="32"/>
        </w:rPr>
        <w:t>9. Technical Risks, Model Ethics &amp; Algorithmic Fairness</w:t>
      </w:r>
    </w:p>
    <w:p>
      <w:r>
        <w:t>Deploying predictive algorithms that influence customer pricing, promotional eligibility, and account terms requires rigorous ethical safeguards and bias auditing:</w:t>
      </w:r>
    </w:p>
    <w:p>
      <w:pPr>
        <w:pStyle w:val="ListBullet"/>
        <w:spacing w:after="80" w:line="276" w:lineRule="auto"/>
      </w:pPr>
      <w:r>
        <w:rPr>
          <w:b/>
          <w:color w:val="1B365D"/>
        </w:rPr>
        <w:t xml:space="preserve">Exclusion of Sensitive Demographic Attributes: </w:t>
      </w:r>
      <w:r>
        <w:rPr>
          <w:color w:val="1E293B"/>
        </w:rPr>
        <w:t>Protected demographic attributes (e.g., age, gender, marital status) are strictly excluded from feature sets to prevent disparate impact and discriminatory treatment.</w:t>
      </w:r>
    </w:p>
    <w:p>
      <w:pPr>
        <w:pStyle w:val="ListBullet"/>
        <w:spacing w:after="80" w:line="276" w:lineRule="auto"/>
      </w:pPr>
      <w:r>
        <w:rPr>
          <w:b/>
          <w:color w:val="1B365D"/>
        </w:rPr>
        <w:t xml:space="preserve">Demographic Parity &amp; Equal Opportunity Auditing: </w:t>
      </w:r>
      <w:r>
        <w:rPr>
          <w:color w:val="1E293B"/>
        </w:rPr>
        <w:t>Models are audited across geographic and billing subgroups to ensure false positive and false negative error rates remain balanced.</w:t>
      </w:r>
    </w:p>
    <w:p>
      <w:pPr>
        <w:pStyle w:val="ListBullet"/>
        <w:spacing w:after="80" w:line="276" w:lineRule="auto"/>
      </w:pPr>
      <w:r>
        <w:rPr>
          <w:b/>
          <w:color w:val="1B365D"/>
        </w:rPr>
        <w:t xml:space="preserve">Explainability and Right to Explanation: </w:t>
      </w:r>
      <w:r>
        <w:rPr>
          <w:color w:val="1E293B"/>
        </w:rPr>
        <w:t>Customer success representatives are provided with clear, human-readable SHAP reason codes (e.g. 'recent service outage', 'impending contract expiration') ensuring full transparency.</w:t>
      </w:r>
    </w:p>
    <w:p>
      <w:pPr>
        <w:keepNext/>
        <w:spacing w:before="360" w:after="120"/>
      </w:pPr>
      <w:r>
        <w:rPr>
          <w:b/>
          <w:color w:val="1B365D"/>
          <w:sz w:val="32"/>
        </w:rPr>
        <w:t>10. Conclusion &amp; Operational Implementation Roadmap</w:t>
      </w:r>
    </w:p>
    <w:p>
      <w:r>
        <w:t>The Machine Learning Model Development and Evaluation Plan established in this document delivers a comprehensive, mathematically rigorous, and production-ready architecture. By implementing leak-free Scikit-Learn pipelines, selecting a high-capacity Random Forest ensemble, optimizing decision thresholds against business cost matrices, and designing containerized REST microservices with automated drift monitoring, the project guarantees high predictive accuracy and long-term operational resilience.</w:t>
      </w:r>
    </w:p>
    <w:p>
      <w:r>
        <w:t>This technical framework serves as the direct operational foundation for the capstone executive deliverable presented in Week 4, where the model's analytical findings and financial ROI are synthesized for executive leadership.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768D"/>
        <w:sz w:val="18"/>
      </w:rPr>
      <w:t>Virtual Data Science Explorer Internship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