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08080"/>
          <w:sz w:val="24"/>
        </w:rPr>
        <w:t>VIRTUAL DATA SCIENCE EXPLORER INTERNSHIP</w:t>
      </w:r>
    </w:p>
    <w:p>
      <w:pPr>
        <w:spacing w:after="160"/>
      </w:pPr>
      <w:r>
        <w:rPr>
          <w:b/>
          <w:color w:val="1B365D"/>
          <w:sz w:val="52"/>
        </w:rPr>
        <w:t>Predictive Subscriber Retention Engine: Final Report &amp; Strategic Executive Briefing</w:t>
      </w:r>
    </w:p>
    <w:p>
      <w:pPr>
        <w:spacing w:after="560"/>
      </w:pPr>
      <w:r>
        <w:rPr>
          <w:color w:val="5C768D"/>
          <w:sz w:val="28"/>
        </w:rPr>
        <w:t>Empirical Insights, Machine Learning Architecture, Financial ROI &amp; Presentation Strategy</w:t>
      </w:r>
    </w:p>
    <w:p>
      <w:pPr>
        <w:spacing w:after="720"/>
      </w:pPr>
    </w:p>
    <w:tbl>
      <w:tblPr>
        <w:tblW w:type="auto" w:w="0"/>
        <w:jc w:val="left"/>
        <w:tblLook w:firstColumn="1" w:firstRow="1" w:lastColumn="0" w:lastRow="0" w:noHBand="0" w:noVBand="1" w:val="04A0"/>
      </w:tblPr>
      <w:tblGrid>
        <w:gridCol w:w="4680"/>
        <w:gridCol w:w="4680"/>
      </w:tblGrid>
      <w:tr>
        <w:tc>
          <w:tcPr>
            <w:tcW w:type="dxa" w:w="3168"/>
          </w:tcPr>
          <w:p>
            <w:r>
              <w:rPr>
                <w:b/>
                <w:color w:val="1B365D"/>
              </w:rPr>
              <w:t>Project Domain:</w:t>
            </w:r>
          </w:p>
        </w:tc>
        <w:tc>
          <w:tcPr>
            <w:tcW w:type="dxa" w:w="6192"/>
          </w:tcPr>
          <w:p>
            <w:r>
              <w:rPr>
                <w:color w:val="1E293B"/>
              </w:rPr>
              <w:t>Customer Churn Prediction for Subscription Telecom</w:t>
            </w:r>
          </w:p>
        </w:tc>
      </w:tr>
      <w:tr>
        <w:tc>
          <w:tcPr>
            <w:tcW w:type="dxa" w:w="3168"/>
          </w:tcPr>
          <w:p>
            <w:r>
              <w:rPr>
                <w:b/>
                <w:color w:val="1B365D"/>
              </w:rPr>
              <w:t>Deliverable Code:</w:t>
            </w:r>
          </w:p>
        </w:tc>
        <w:tc>
          <w:tcPr>
            <w:tcW w:type="dxa" w:w="6192"/>
          </w:tcPr>
          <w:p>
            <w:r>
              <w:rPr>
                <w:color w:val="1E293B"/>
              </w:rPr>
              <w:t>CAPSTONE-EXEC-FINAL-REPORT</w:t>
            </w:r>
          </w:p>
        </w:tc>
      </w:tr>
      <w:tr>
        <w:tc>
          <w:tcPr>
            <w:tcW w:type="dxa" w:w="3168"/>
          </w:tcPr>
          <w:p>
            <w:r>
              <w:rPr>
                <w:b/>
                <w:color w:val="1B365D"/>
              </w:rPr>
              <w:t>Author / Intern:</w:t>
            </w:r>
          </w:p>
        </w:tc>
        <w:tc>
          <w:tcPr>
            <w:tcW w:type="dxa" w:w="6192"/>
          </w:tcPr>
          <w:p>
            <w:r>
              <w:rPr>
                <w:color w:val="1E293B"/>
              </w:rPr>
              <w:t>Data Science Explorer Intern</w:t>
            </w:r>
          </w:p>
        </w:tc>
      </w:tr>
      <w:tr>
        <w:tc>
          <w:tcPr>
            <w:tcW w:type="dxa" w:w="3168"/>
          </w:tcPr>
          <w:p>
            <w:r>
              <w:rPr>
                <w:b/>
                <w:color w:val="1B365D"/>
              </w:rPr>
              <w:t>Architectural Role:</w:t>
            </w:r>
          </w:p>
        </w:tc>
        <w:tc>
          <w:tcPr>
            <w:tcW w:type="dxa" w:w="6192"/>
          </w:tcPr>
          <w:p>
            <w:r>
              <w:rPr>
                <w:color w:val="1E293B"/>
              </w:rPr>
              <w:t>Senior Data Science Manager &amp; Python Architect</w:t>
            </w:r>
          </w:p>
        </w:tc>
      </w:tr>
      <w:tr>
        <w:tc>
          <w:tcPr>
            <w:tcW w:type="dxa" w:w="3168"/>
          </w:tcPr>
          <w:p>
            <w:r>
              <w:rPr>
                <w:b/>
                <w:color w:val="1B365D"/>
              </w:rPr>
              <w:t>Publication Date:</w:t>
            </w:r>
          </w:p>
        </w:tc>
        <w:tc>
          <w:tcPr>
            <w:tcW w:type="dxa" w:w="6192"/>
          </w:tcPr>
          <w:p>
            <w:r>
              <w:rPr>
                <w:color w:val="1E293B"/>
              </w:rPr>
              <w:t>16-Oct-2026</w:t>
            </w:r>
          </w:p>
        </w:tc>
      </w:tr>
    </w:tbl>
    <w:p>
      <w:r>
        <w:br w:type="page"/>
      </w:r>
    </w:p>
    <w:p>
      <w:pPr>
        <w:spacing w:after="240"/>
      </w:pPr>
      <w:r>
        <w:rPr>
          <w:b/>
          <w:color w:val="1B365D"/>
          <w:sz w:val="36"/>
        </w:rPr>
        <w:t>Table of Contents</w:t>
      </w:r>
    </w:p>
    <w:tbl>
      <w:tblPr>
        <w:tblW w:type="auto" w:w="0"/>
        <w:jc w:val="center"/>
        <w:tblLook w:firstColumn="1" w:firstRow="1" w:lastColumn="0" w:lastRow="0" w:noHBand="0" w:noVBand="1" w:val="04A0"/>
      </w:tblPr>
      <w:tblGrid>
        <w:gridCol w:w="4680"/>
        <w:gridCol w:w="4680"/>
      </w:tblGrid>
      <w:tr>
        <w:tc>
          <w:tcPr>
            <w:tcW w:type="dxa" w:w="7488"/>
            <w:shd w:fill="1B365D"/>
          </w:tcPr>
          <w:p>
            <w:r>
              <w:rPr>
                <w:b/>
                <w:color w:val="FFFFFF"/>
              </w:rPr>
              <w:t>Section / Content Area</w:t>
            </w:r>
          </w:p>
        </w:tc>
        <w:tc>
          <w:tcPr>
            <w:tcW w:type="dxa" w:w="1872"/>
            <w:shd w:fill="1B365D"/>
          </w:tcPr>
          <w:p>
            <w:r>
              <w:rPr>
                <w:b/>
                <w:color w:val="FFFFFF"/>
              </w:rPr>
              <w:t>Page Ref</w:t>
            </w:r>
          </w:p>
        </w:tc>
      </w:tr>
      <w:tr>
        <w:tc>
          <w:tcPr>
            <w:tcW w:type="dxa" w:w="7488"/>
          </w:tcPr>
          <w:p>
            <w:r>
              <w:rPr>
                <w:color w:val="1E293B"/>
              </w:rPr>
              <w:t>1. Executive Summary &amp; Financial Value Creation</w:t>
            </w:r>
          </w:p>
        </w:tc>
        <w:tc>
          <w:tcPr>
            <w:tcW w:type="dxa" w:w="1872"/>
          </w:tcPr>
          <w:p>
            <w:r>
              <w:rPr>
                <w:color w:val="5C768D"/>
              </w:rPr>
              <w:t>3</w:t>
            </w:r>
          </w:p>
        </w:tc>
      </w:tr>
      <w:tr>
        <w:tc>
          <w:tcPr>
            <w:tcW w:type="dxa" w:w="7488"/>
            <w:shd w:fill="F8FAFC"/>
          </w:tcPr>
          <w:p>
            <w:r>
              <w:rPr>
                <w:color w:val="1E293B"/>
              </w:rPr>
              <w:t>2. Data Science Methodology &amp; Architectural Overview</w:t>
            </w:r>
          </w:p>
        </w:tc>
        <w:tc>
          <w:tcPr>
            <w:tcW w:type="dxa" w:w="1872"/>
            <w:shd w:fill="F8FAFC"/>
          </w:tcPr>
          <w:p>
            <w:r>
              <w:rPr>
                <w:color w:val="5C768D"/>
              </w:rPr>
              <w:t>5</w:t>
            </w:r>
          </w:p>
        </w:tc>
      </w:tr>
      <w:tr>
        <w:tc>
          <w:tcPr>
            <w:tcW w:type="dxa" w:w="7488"/>
          </w:tcPr>
          <w:p>
            <w:r>
              <w:rPr>
                <w:color w:val="1E293B"/>
              </w:rPr>
              <w:t>3. Analytical Insights &amp; Empirical Visual Evidence</w:t>
            </w:r>
          </w:p>
        </w:tc>
        <w:tc>
          <w:tcPr>
            <w:tcW w:type="dxa" w:w="1872"/>
          </w:tcPr>
          <w:p>
            <w:r>
              <w:rPr>
                <w:color w:val="5C768D"/>
              </w:rPr>
              <w:t>6</w:t>
            </w:r>
          </w:p>
        </w:tc>
      </w:tr>
      <w:tr>
        <w:tc>
          <w:tcPr>
            <w:tcW w:type="dxa" w:w="7488"/>
            <w:shd w:fill="F8FAFC"/>
          </w:tcPr>
          <w:p>
            <w:r>
              <w:rPr>
                <w:color w:val="1E293B"/>
              </w:rPr>
              <w:t>4. Actionable Business Insights &amp; Intervention Matrix</w:t>
            </w:r>
          </w:p>
        </w:tc>
        <w:tc>
          <w:tcPr>
            <w:tcW w:type="dxa" w:w="1872"/>
            <w:shd w:fill="F8FAFC"/>
          </w:tcPr>
          <w:p>
            <w:r>
              <w:rPr>
                <w:color w:val="5C768D"/>
              </w:rPr>
              <w:t>9</w:t>
            </w:r>
          </w:p>
        </w:tc>
      </w:tr>
      <w:tr>
        <w:tc>
          <w:tcPr>
            <w:tcW w:type="dxa" w:w="7488"/>
          </w:tcPr>
          <w:p>
            <w:r>
              <w:rPr>
                <w:color w:val="1E293B"/>
              </w:rPr>
              <w:t>5. Executive Presentation Strategy for Non-Technical Stakeholders</w:t>
            </w:r>
          </w:p>
        </w:tc>
        <w:tc>
          <w:tcPr>
            <w:tcW w:type="dxa" w:w="1872"/>
          </w:tcPr>
          <w:p>
            <w:r>
              <w:rPr>
                <w:color w:val="5C768D"/>
              </w:rPr>
              <w:t>10</w:t>
            </w:r>
          </w:p>
        </w:tc>
      </w:tr>
      <w:tr>
        <w:tc>
          <w:tcPr>
            <w:tcW w:type="dxa" w:w="7488"/>
            <w:shd w:fill="F8FAFC"/>
          </w:tcPr>
          <w:p>
            <w:r>
              <w:rPr>
                <w:color w:val="1E293B"/>
              </w:rPr>
              <w:t>6. Strategic Recommendations &amp; 90-Day Implementation Roadmap</w:t>
            </w:r>
          </w:p>
        </w:tc>
        <w:tc>
          <w:tcPr>
            <w:tcW w:type="dxa" w:w="1872"/>
            <w:shd w:fill="F8FAFC"/>
          </w:tcPr>
          <w:p>
            <w:r>
              <w:rPr>
                <w:color w:val="5C768D"/>
              </w:rPr>
              <w:t>12</w:t>
            </w:r>
          </w:p>
        </w:tc>
      </w:tr>
      <w:tr>
        <w:tc>
          <w:tcPr>
            <w:tcW w:type="dxa" w:w="7488"/>
          </w:tcPr>
          <w:p>
            <w:r>
              <w:rPr>
                <w:color w:val="1E293B"/>
              </w:rPr>
              <w:t>7. Conclusion &amp; Long-Term Strategic Outlook</w:t>
            </w:r>
          </w:p>
        </w:tc>
        <w:tc>
          <w:tcPr>
            <w:tcW w:type="dxa" w:w="1872"/>
          </w:tcPr>
          <w:p>
            <w:r>
              <w:rPr>
                <w:color w:val="5C768D"/>
              </w:rPr>
              <w:t>14</w:t>
            </w:r>
          </w:p>
        </w:tc>
      </w:tr>
    </w:tbl>
    <w:p>
      <w:r>
        <w:br w:type="page"/>
      </w:r>
    </w:p>
    <w:p>
      <w:pPr>
        <w:keepNext/>
        <w:spacing w:before="360" w:after="120"/>
      </w:pPr>
      <w:r>
        <w:rPr>
          <w:b/>
          <w:color w:val="1B365D"/>
          <w:sz w:val="32"/>
        </w:rPr>
        <w:t>1. Executive Summary &amp; Financial Value Creation</w:t>
      </w:r>
    </w:p>
    <w:p>
      <w:r>
        <w:t>This capstone report delivers the final strategic synthesis and executive briefing for the enterprise Predictive Subscriber Retention Engine. Designed for C-suite decision-makers and operational leaders, this document establishes how predictive data science transforms subscriber retention from a reactive, costly damage-control exercise into a high-precision, proactive revenue engine.</w:t>
      </w:r>
    </w:p>
    <w:p>
      <w:r>
        <w:t>In the telecommunications sector, acquiring a new customer is estimated to be 5 to 7 times more expensive than retaining an active account holder. With an unmitigated annual churn rate of 24.0% across 10,000 active subscribers, the enterprise faces an annual revenue exposure of $1,872,000 in Annual Recurring Revenue (ARR). Our machine learning solution identifies at-risk subscribers 45 days in advance, allowing customer success teams to deploy customized retention offers before irreversible cancellation occurs.</w:t>
      </w:r>
    </w:p>
    <w:p>
      <w:r>
        <w:t>Figure 6 provides the Executive Churn Mitigation and Machine Learning KPI Scorecard summarizing the core operational benchmarks:</w:t>
      </w:r>
    </w:p>
    <w:p>
      <w:pPr>
        <w:spacing w:before="200" w:after="80"/>
        <w:jc w:val="center"/>
      </w:pPr>
      <w:r>
        <w:drawing>
          <wp:inline xmlns:a="http://schemas.openxmlformats.org/drawingml/2006/main" xmlns:pic="http://schemas.openxmlformats.org/drawingml/2006/picture">
            <wp:extent cx="5303520" cy="2612896"/>
            <wp:docPr id="1" name="Picture 1"/>
            <wp:cNvGraphicFramePr>
              <a:graphicFrameLocks noChangeAspect="1"/>
            </wp:cNvGraphicFramePr>
            <a:graphic>
              <a:graphicData uri="http://schemas.openxmlformats.org/drawingml/2006/picture">
                <pic:pic>
                  <pic:nvPicPr>
                    <pic:cNvPr id="0" name="w4_fig6_kpi_dashboard.png"/>
                    <pic:cNvPicPr/>
                  </pic:nvPicPr>
                  <pic:blipFill>
                    <a:blip r:embed="rId10"/>
                    <a:stretch>
                      <a:fillRect/>
                    </a:stretch>
                  </pic:blipFill>
                  <pic:spPr>
                    <a:xfrm>
                      <a:off x="0" y="0"/>
                      <a:ext cx="5303520" cy="2612896"/>
                    </a:xfrm>
                    <a:prstGeom prst="rect"/>
                  </pic:spPr>
                </pic:pic>
              </a:graphicData>
            </a:graphic>
          </wp:inline>
        </w:drawing>
      </w:r>
    </w:p>
    <w:p>
      <w:pPr>
        <w:spacing w:before="40" w:after="240"/>
        <w:jc w:val="center"/>
      </w:pPr>
      <w:r>
        <w:rPr>
          <w:i/>
          <w:color w:val="5C768D"/>
          <w:sz w:val="19"/>
        </w:rPr>
        <w:t>Figure 6: Executive Churn Mitigation &amp; Machine Learning KPI Scorecard (Illustrative)</w:t>
      </w:r>
    </w:p>
    <w:p>
      <w:r>
        <w:t>The five primary analytical and financial findings are summarized below:</w:t>
      </w:r>
    </w:p>
    <w:p>
      <w:pPr>
        <w:pStyle w:val="ListBullet"/>
        <w:spacing w:after="80" w:line="276" w:lineRule="auto"/>
      </w:pPr>
      <w:r>
        <w:rPr>
          <w:b/>
          <w:color w:val="1B365D"/>
        </w:rPr>
        <w:t xml:space="preserve">Predictive Accuracy Superiority: </w:t>
      </w:r>
      <w:r>
        <w:rPr>
          <w:color w:val="1E293B"/>
        </w:rPr>
        <w:t>The calibrated Random Forest ensemble achieved a ROC-AUC of 0.865 and a PR-AUC of 0.682 under 5-fold stratified cross-validation, outperforming linear baselines by over 9%.</w:t>
      </w:r>
    </w:p>
    <w:p>
      <w:pPr>
        <w:pStyle w:val="ListBullet"/>
        <w:spacing w:after="80" w:line="276" w:lineRule="auto"/>
      </w:pPr>
      <w:r>
        <w:rPr>
          <w:b/>
          <w:color w:val="1B365D"/>
        </w:rPr>
        <w:t xml:space="preserve">High-Risk Decile Capture Rate: </w:t>
      </w:r>
      <w:r>
        <w:rPr>
          <w:color w:val="1E293B"/>
        </w:rPr>
        <w:t>Targeting the top 20% highest-risk account quintile captures 73.4% of all future churn events (1,761 at-risk accounts captured).</w:t>
      </w:r>
    </w:p>
    <w:p>
      <w:pPr>
        <w:pStyle w:val="ListBullet"/>
        <w:spacing w:after="80" w:line="276" w:lineRule="auto"/>
      </w:pPr>
      <w:r>
        <w:rPr>
          <w:b/>
          <w:color w:val="1B365D"/>
        </w:rPr>
        <w:t xml:space="preserve">The Month-to-Month Contract Cliff: </w:t>
      </w:r>
      <w:r>
        <w:rPr>
          <w:color w:val="1E293B"/>
        </w:rPr>
        <w:t>Subscribers on month-to-month contracts exhibit an annualized churn rate of 42.7%, compared to just 11.2% for one-year and 2.8% for two-year contracts.</w:t>
      </w:r>
    </w:p>
    <w:p>
      <w:pPr>
        <w:pStyle w:val="ListBullet"/>
        <w:spacing w:after="80" w:line="276" w:lineRule="auto"/>
      </w:pPr>
      <w:r>
        <w:rPr>
          <w:b/>
          <w:color w:val="1B365D"/>
        </w:rPr>
        <w:t xml:space="preserve">Support Ticket Escalation Friction: </w:t>
      </w:r>
      <w:r>
        <w:rPr>
          <w:color w:val="1E293B"/>
        </w:rPr>
        <w:t>Accounts lodging 3 or more support tickets within 30 days display a 68% churn probability when resolution times exceed 48 hours.</w:t>
      </w:r>
    </w:p>
    <w:p>
      <w:pPr>
        <w:pStyle w:val="ListBullet"/>
        <w:spacing w:after="80" w:line="276" w:lineRule="auto"/>
      </w:pPr>
      <w:r>
        <w:rPr>
          <w:b/>
          <w:color w:val="1B365D"/>
        </w:rPr>
        <w:t xml:space="preserve">Measurable Financial ROI: </w:t>
      </w:r>
      <w:r>
        <w:rPr>
          <w:color w:val="1E293B"/>
        </w:rPr>
        <w:t>Preserving 352 high-value accounts protects $274,560 in ARR against $28,160 in operational incentive costs, generating $246,400 in net annual profit—an 875% program ROI.</w:t>
      </w:r>
    </w:p>
    <w:p>
      <w:pPr>
        <w:keepNext/>
        <w:spacing w:before="360" w:after="120"/>
      </w:pPr>
      <w:r>
        <w:rPr>
          <w:b/>
          <w:color w:val="1B365D"/>
          <w:sz w:val="32"/>
        </w:rPr>
        <w:t>2. Data Science Methodology &amp; Architectural Overview</w:t>
      </w:r>
    </w:p>
    <w:p>
      <w:r>
        <w:t>The project methodology enforces an end-to-end, leak-free machine learning architecture spanning four core technical phases:</w:t>
      </w:r>
    </w:p>
    <w:p>
      <w:pPr>
        <w:pStyle w:val="ListBullet"/>
        <w:spacing w:after="80" w:line="276" w:lineRule="auto"/>
      </w:pPr>
      <w:r>
        <w:rPr>
          <w:b/>
          <w:color w:val="1B365D"/>
        </w:rPr>
        <w:t xml:space="preserve">Phase 1 - Ingestion &amp; Schema Assertion: </w:t>
      </w:r>
      <w:r>
        <w:rPr>
          <w:color w:val="1E293B"/>
        </w:rPr>
        <w:t>Consolidated 40+ attributes across customer demographics, billing history, and network telemetry. Validated data types and confirmed zero duplicate CustomerID records.</w:t>
      </w:r>
    </w:p>
    <w:p>
      <w:pPr>
        <w:pStyle w:val="ListBullet"/>
        <w:spacing w:after="80" w:line="276" w:lineRule="auto"/>
      </w:pPr>
      <w:r>
        <w:rPr>
          <w:b/>
          <w:color w:val="1B365D"/>
        </w:rPr>
        <w:t xml:space="preserve">Phase 2 - Exploratory Data Analysis &amp; Outlier Scrubbing: </w:t>
      </w:r>
      <w:r>
        <w:rPr>
          <w:color w:val="1E293B"/>
        </w:rPr>
        <w:t>Diagnosed missing data patterns; imputed numeric missingness via training fold medians; screened outliers via Tukey's IQR rule; evaluated feature correlations via Spearman rank matrices.</w:t>
      </w:r>
    </w:p>
    <w:p>
      <w:pPr>
        <w:pStyle w:val="ListBullet"/>
        <w:spacing w:after="80" w:line="276" w:lineRule="auto"/>
      </w:pPr>
      <w:r>
        <w:rPr>
          <w:b/>
          <w:color w:val="1B365D"/>
        </w:rPr>
        <w:t xml:space="preserve">Phase 3 - Leak-Free Feature Pipelines: </w:t>
      </w:r>
      <w:r>
        <w:rPr>
          <w:color w:val="1E293B"/>
        </w:rPr>
        <w:t>Synthesized high-signal domain features (Usage Velocity Deceleration Index, Support Ticket Friction Index); encapsulated scalers (RobustScaler) and encoders (OneHotEncoder) within Scikit-Learn ColumnTransformers.</w:t>
      </w:r>
    </w:p>
    <w:p>
      <w:pPr>
        <w:pStyle w:val="ListBullet"/>
        <w:spacing w:after="80" w:line="276" w:lineRule="auto"/>
      </w:pPr>
      <w:r>
        <w:rPr>
          <w:b/>
          <w:color w:val="1B365D"/>
        </w:rPr>
        <w:t xml:space="preserve">Phase 4 - Model Training &amp; Threshold Calibration: </w:t>
      </w:r>
      <w:r>
        <w:rPr>
          <w:color w:val="1E293B"/>
        </w:rPr>
        <w:t>Trained and benchmarked Logistic Regression, Decision Trees, and Random Forest ensembles under 5-Fold Stratified Cross-Validation; optimized classification threshold to p* = 0.36 based on asymmetric financial loss matrices.</w:t>
      </w:r>
    </w:p>
    <w:p>
      <w:pPr>
        <w:keepNext/>
        <w:spacing w:before="360" w:after="120"/>
      </w:pPr>
      <w:r>
        <w:rPr>
          <w:b/>
          <w:color w:val="1B365D"/>
          <w:sz w:val="32"/>
        </w:rPr>
        <w:t>3. Analytical Insights &amp; Empirical Visual Evidence</w:t>
      </w:r>
    </w:p>
    <w:p>
      <w:r>
        <w:t>The exploratory and predictive modeling phases uncovered critical behavioral dynamics driving subscriber churn. Each insight is supported below by an empirical visual aid, accompanied by the architectural rationale for selecting that specific chart type:</w:t>
      </w:r>
    </w:p>
    <w:p>
      <w:pPr>
        <w:keepNext/>
        <w:spacing w:before="240" w:after="80"/>
      </w:pPr>
      <w:r>
        <w:rPr>
          <w:b/>
          <w:color w:val="008080"/>
          <w:sz w:val="26"/>
        </w:rPr>
        <w:t>3.1 Insight 1: Projected Churn Trajectory Post-Deployment</w:t>
      </w:r>
    </w:p>
    <w:p>
      <w:r>
        <w:t>Tracking monthly churn rates reveals that proactive model-assisted retention reduces annual churn from a historical baseline of 24.0% down to 14.8% over an 8-month rollout window (Figure 1). Chart Type Justification: A dual-line time series chart is the optimal visual mechanism for demonstrating temporal trajectory and visualizing the clear inflection point created by model pilot deployment.</w:t>
      </w:r>
    </w:p>
    <w:p>
      <w:pPr>
        <w:spacing w:before="200" w:after="80"/>
        <w:jc w:val="center"/>
      </w:pPr>
      <w:r>
        <w:drawing>
          <wp:inline xmlns:a="http://schemas.openxmlformats.org/drawingml/2006/main" xmlns:pic="http://schemas.openxmlformats.org/drawingml/2006/picture">
            <wp:extent cx="5120640" cy="2845162"/>
            <wp:docPr id="2" name="Picture 2"/>
            <wp:cNvGraphicFramePr>
              <a:graphicFrameLocks noChangeAspect="1"/>
            </wp:cNvGraphicFramePr>
            <a:graphic>
              <a:graphicData uri="http://schemas.openxmlformats.org/drawingml/2006/picture">
                <pic:pic>
                  <pic:nvPicPr>
                    <pic:cNvPr id="0" name="w4_fig1_churn_trend.png"/>
                    <pic:cNvPicPr/>
                  </pic:nvPicPr>
                  <pic:blipFill>
                    <a:blip r:embed="rId11"/>
                    <a:stretch>
                      <a:fillRect/>
                    </a:stretch>
                  </pic:blipFill>
                  <pic:spPr>
                    <a:xfrm>
                      <a:off x="0" y="0"/>
                      <a:ext cx="5120640" cy="2845162"/>
                    </a:xfrm>
                    <a:prstGeom prst="rect"/>
                  </pic:spPr>
                </pic:pic>
              </a:graphicData>
            </a:graphic>
          </wp:inline>
        </w:drawing>
      </w:r>
    </w:p>
    <w:p>
      <w:pPr>
        <w:spacing w:before="40" w:after="240"/>
        <w:jc w:val="center"/>
      </w:pPr>
      <w:r>
        <w:rPr>
          <w:i/>
          <w:color w:val="5C768D"/>
          <w:sz w:val="19"/>
        </w:rPr>
        <w:t>Figure 1: Projected Churn Rate Reduction Post-ML Model Deployment (Illustrative)</w:t>
      </w:r>
    </w:p>
    <w:p>
      <w:pPr>
        <w:keepNext/>
        <w:spacing w:before="240" w:after="80"/>
      </w:pPr>
      <w:r>
        <w:rPr>
          <w:b/>
          <w:color w:val="008080"/>
          <w:sz w:val="26"/>
        </w:rPr>
        <w:t>3.2 Insight 2: The Contract Commitment Horizon</w:t>
      </w:r>
    </w:p>
    <w:p>
      <w:r>
        <w:t>Contract type represents the single strongest structural determinant of churn risk. Month-to-month subscribers churn at 42.7%, while two-year contracts experience near-zero attrition (2.8%) (Figure 2). Chart Type Justification: A discrete vertical bar chart with high-contrast color coding is chosen because it emphasizes sharp categorical disparities across ordinal commitment tiers with immediate clarity.</w:t>
      </w:r>
    </w:p>
    <w:p>
      <w:pPr>
        <w:spacing w:before="200" w:after="80"/>
        <w:jc w:val="center"/>
      </w:pPr>
      <w:r>
        <w:drawing>
          <wp:inline xmlns:a="http://schemas.openxmlformats.org/drawingml/2006/main" xmlns:pic="http://schemas.openxmlformats.org/drawingml/2006/picture">
            <wp:extent cx="4754880" cy="3026777"/>
            <wp:docPr id="3" name="Picture 3"/>
            <wp:cNvGraphicFramePr>
              <a:graphicFrameLocks noChangeAspect="1"/>
            </wp:cNvGraphicFramePr>
            <a:graphic>
              <a:graphicData uri="http://schemas.openxmlformats.org/drawingml/2006/picture">
                <pic:pic>
                  <pic:nvPicPr>
                    <pic:cNvPr id="0" name="w4_fig2_contract_churn.png"/>
                    <pic:cNvPicPr/>
                  </pic:nvPicPr>
                  <pic:blipFill>
                    <a:blip r:embed="rId12"/>
                    <a:stretch>
                      <a:fillRect/>
                    </a:stretch>
                  </pic:blipFill>
                  <pic:spPr>
                    <a:xfrm>
                      <a:off x="0" y="0"/>
                      <a:ext cx="4754880" cy="3026777"/>
                    </a:xfrm>
                    <a:prstGeom prst="rect"/>
                  </pic:spPr>
                </pic:pic>
              </a:graphicData>
            </a:graphic>
          </wp:inline>
        </w:drawing>
      </w:r>
    </w:p>
    <w:p>
      <w:pPr>
        <w:spacing w:before="40" w:after="240"/>
        <w:jc w:val="center"/>
      </w:pPr>
      <w:r>
        <w:rPr>
          <w:i/>
          <w:color w:val="5C768D"/>
          <w:sz w:val="19"/>
        </w:rPr>
        <w:t>Figure 2: Empirical Churn Rates Segmented by Contract Horizon (Illustrative)</w:t>
      </w:r>
    </w:p>
    <w:p>
      <w:pPr>
        <w:keepNext/>
        <w:spacing w:before="240" w:after="80"/>
      </w:pPr>
      <w:r>
        <w:rPr>
          <w:b/>
          <w:color w:val="008080"/>
          <w:sz w:val="26"/>
        </w:rPr>
        <w:t>3.3 Insight 3: The 'Onboarding Valley' Anomaly in Tenure</w:t>
      </w:r>
    </w:p>
    <w:p>
      <w:r>
        <w:t>Dissecting churn volume across customer tenure brackets reveals that 61% of all customer cancellations occur during the first 12 months of service—a phenomenon termed the 'Onboarding Valley' (Figure 3). Chart Type Justification: A tenure-binned frequency histogram with explicit callout annotations was chosen to highlight the heavy early-tenure concentration and justify dedicated onboarding retention interventions.</w:t>
      </w:r>
    </w:p>
    <w:p>
      <w:pPr>
        <w:spacing w:before="200" w:after="80"/>
        <w:jc w:val="center"/>
      </w:pPr>
      <w:r>
        <w:drawing>
          <wp:inline xmlns:a="http://schemas.openxmlformats.org/drawingml/2006/main" xmlns:pic="http://schemas.openxmlformats.org/drawingml/2006/picture">
            <wp:extent cx="5120640" cy="2845162"/>
            <wp:docPr id="4" name="Picture 4"/>
            <wp:cNvGraphicFramePr>
              <a:graphicFrameLocks noChangeAspect="1"/>
            </wp:cNvGraphicFramePr>
            <a:graphic>
              <a:graphicData uri="http://schemas.openxmlformats.org/drawingml/2006/picture">
                <pic:pic>
                  <pic:nvPicPr>
                    <pic:cNvPr id="0" name="w4_fig3_tenure_anomaly.png"/>
                    <pic:cNvPicPr/>
                  </pic:nvPicPr>
                  <pic:blipFill>
                    <a:blip r:embed="rId13"/>
                    <a:stretch>
                      <a:fillRect/>
                    </a:stretch>
                  </pic:blipFill>
                  <pic:spPr>
                    <a:xfrm>
                      <a:off x="0" y="0"/>
                      <a:ext cx="5120640" cy="2845162"/>
                    </a:xfrm>
                    <a:prstGeom prst="rect"/>
                  </pic:spPr>
                </pic:pic>
              </a:graphicData>
            </a:graphic>
          </wp:inline>
        </w:drawing>
      </w:r>
    </w:p>
    <w:p>
      <w:pPr>
        <w:spacing w:before="40" w:after="240"/>
        <w:jc w:val="center"/>
      </w:pPr>
      <w:r>
        <w:rPr>
          <w:i/>
          <w:color w:val="5C768D"/>
          <w:sz w:val="19"/>
        </w:rPr>
        <w:t>Figure 3: Churn Volume by Customer Tenure Bracket (Illustrative)</w:t>
      </w:r>
    </w:p>
    <w:p>
      <w:pPr>
        <w:keepNext/>
        <w:spacing w:before="240" w:after="80"/>
      </w:pPr>
      <w:r>
        <w:rPr>
          <w:b/>
          <w:color w:val="008080"/>
          <w:sz w:val="26"/>
        </w:rPr>
        <w:t>3.4 Insight 4: Global Predictive Feature Importance Rankings</w:t>
      </w:r>
    </w:p>
    <w:p>
      <w:r>
        <w:t>Global SHAP feature attribution confirms that contract type (28%), usage velocity decay (22%), and support ticketing friction (18%) dominate model predictions, far outweighing demographic factors (Figure 4). Chart Type Justification: A horizontal bar chart sorted descending by SHAP importance share is the industry standard for communicating feature attribution, ensuring text labels remain readable without rotation.</w:t>
      </w:r>
    </w:p>
    <w:p>
      <w:pPr>
        <w:spacing w:before="200" w:after="80"/>
        <w:jc w:val="center"/>
      </w:pPr>
      <w:r>
        <w:drawing>
          <wp:inline xmlns:a="http://schemas.openxmlformats.org/drawingml/2006/main" xmlns:pic="http://schemas.openxmlformats.org/drawingml/2006/picture">
            <wp:extent cx="5120640" cy="2764576"/>
            <wp:docPr id="5" name="Picture 5"/>
            <wp:cNvGraphicFramePr>
              <a:graphicFrameLocks noChangeAspect="1"/>
            </wp:cNvGraphicFramePr>
            <a:graphic>
              <a:graphicData uri="http://schemas.openxmlformats.org/drawingml/2006/picture">
                <pic:pic>
                  <pic:nvPicPr>
                    <pic:cNvPr id="0" name="w4_fig4_feature_importance.png"/>
                    <pic:cNvPicPr/>
                  </pic:nvPicPr>
                  <pic:blipFill>
                    <a:blip r:embed="rId14"/>
                    <a:stretch>
                      <a:fillRect/>
                    </a:stretch>
                  </pic:blipFill>
                  <pic:spPr>
                    <a:xfrm>
                      <a:off x="0" y="0"/>
                      <a:ext cx="5120640" cy="2764576"/>
                    </a:xfrm>
                    <a:prstGeom prst="rect"/>
                  </pic:spPr>
                </pic:pic>
              </a:graphicData>
            </a:graphic>
          </wp:inline>
        </w:drawing>
      </w:r>
    </w:p>
    <w:p>
      <w:pPr>
        <w:spacing w:before="40" w:after="240"/>
        <w:jc w:val="center"/>
      </w:pPr>
      <w:r>
        <w:rPr>
          <w:i/>
          <w:color w:val="5C768D"/>
          <w:sz w:val="19"/>
        </w:rPr>
        <w:t>Figure 4: Global Predictive Feature Importance Rankings (Illustrative)</w:t>
      </w:r>
    </w:p>
    <w:p>
      <w:pPr>
        <w:keepNext/>
        <w:spacing w:before="240" w:after="80"/>
      </w:pPr>
      <w:r>
        <w:rPr>
          <w:b/>
          <w:color w:val="008080"/>
          <w:sz w:val="26"/>
        </w:rPr>
        <w:t>3.5 Insight 5: Financial Impact &amp; Net Value Creation</w:t>
      </w:r>
    </w:p>
    <w:p>
      <w:r>
        <w:t>Evaluating gross ARR exposure against protected revenue and program costs highlights the exceptional financial return of predictive retention (Figure 5). Chart Type Justification: A waterfall-style financial breakdown chart provides executives with transparent visibility into revenue protection, incentive expenses, and net EBITDA impact.</w:t>
      </w:r>
    </w:p>
    <w:p>
      <w:pPr>
        <w:spacing w:before="200" w:after="80"/>
        <w:jc w:val="center"/>
      </w:pPr>
      <w:r>
        <w:drawing>
          <wp:inline xmlns:a="http://schemas.openxmlformats.org/drawingml/2006/main" xmlns:pic="http://schemas.openxmlformats.org/drawingml/2006/picture">
            <wp:extent cx="4754880" cy="3026777"/>
            <wp:docPr id="6" name="Picture 6"/>
            <wp:cNvGraphicFramePr>
              <a:graphicFrameLocks noChangeAspect="1"/>
            </wp:cNvGraphicFramePr>
            <a:graphic>
              <a:graphicData uri="http://schemas.openxmlformats.org/drawingml/2006/picture">
                <pic:pic>
                  <pic:nvPicPr>
                    <pic:cNvPr id="0" name="w4_fig5_retention_savings.png"/>
                    <pic:cNvPicPr/>
                  </pic:nvPicPr>
                  <pic:blipFill>
                    <a:blip r:embed="rId15"/>
                    <a:stretch>
                      <a:fillRect/>
                    </a:stretch>
                  </pic:blipFill>
                  <pic:spPr>
                    <a:xfrm>
                      <a:off x="0" y="0"/>
                      <a:ext cx="4754880" cy="3026777"/>
                    </a:xfrm>
                    <a:prstGeom prst="rect"/>
                  </pic:spPr>
                </pic:pic>
              </a:graphicData>
            </a:graphic>
          </wp:inline>
        </w:drawing>
      </w:r>
    </w:p>
    <w:p>
      <w:pPr>
        <w:spacing w:before="40" w:after="240"/>
        <w:jc w:val="center"/>
      </w:pPr>
      <w:r>
        <w:rPr>
          <w:i/>
          <w:color w:val="5C768D"/>
          <w:sz w:val="19"/>
        </w:rPr>
        <w:t>Figure 5: Annualized Financial Impact &amp; Net Value Creation (Illustrative)</w:t>
      </w:r>
    </w:p>
    <w:p>
      <w:pPr>
        <w:keepNext/>
        <w:spacing w:before="360" w:after="120"/>
      </w:pPr>
      <w:r>
        <w:rPr>
          <w:b/>
          <w:color w:val="1B365D"/>
          <w:sz w:val="32"/>
        </w:rPr>
        <w:t>4. Actionable Business Insights &amp; Intervention Matrix</w:t>
      </w:r>
    </w:p>
    <w:p>
      <w:r>
        <w:t>Analytical discoveries are only valuable when mapped directly to concrete, operational business actions. The matrix below connects each analytical finding to an operational business intervention, assigned department, and projected financial outcome:</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40" w:type="dxa"/>
              <w:right w:w="140" w:type="dxa"/>
            </w:tcMar>
          </w:tcPr>
          <w:p>
            <w:pPr>
              <w:jc w:val="left"/>
            </w:pPr>
            <w:r>
              <w:rPr>
                <w:b/>
                <w:color w:val="FFFFFF"/>
                <w:sz w:val="19"/>
              </w:rPr>
              <w:t>Core Analytical Finding</w:t>
            </w:r>
          </w:p>
        </w:tc>
        <w:tc>
          <w:tcPr>
            <w:tcW w:type="dxa" w:w="3312"/>
            <w:shd w:fill="1B365D"/>
            <w:tcMar>
              <w:top w:w="120" w:type="dxa"/>
              <w:bottom w:w="120" w:type="dxa"/>
              <w:left w:w="140" w:type="dxa"/>
              <w:right w:w="140" w:type="dxa"/>
            </w:tcMar>
          </w:tcPr>
          <w:p>
            <w:pPr>
              <w:jc w:val="left"/>
            </w:pPr>
            <w:r>
              <w:rPr>
                <w:b/>
                <w:color w:val="FFFFFF"/>
                <w:sz w:val="19"/>
              </w:rPr>
              <w:t>Operational Business Intervention</w:t>
            </w:r>
          </w:p>
        </w:tc>
        <w:tc>
          <w:tcPr>
            <w:tcW w:type="dxa" w:w="1872"/>
            <w:shd w:fill="1B365D"/>
            <w:tcMar>
              <w:top w:w="120" w:type="dxa"/>
              <w:bottom w:w="120" w:type="dxa"/>
              <w:left w:w="140" w:type="dxa"/>
              <w:right w:w="140" w:type="dxa"/>
            </w:tcMar>
          </w:tcPr>
          <w:p>
            <w:pPr>
              <w:jc w:val="left"/>
            </w:pPr>
            <w:r>
              <w:rPr>
                <w:b/>
                <w:color w:val="FFFFFF"/>
                <w:sz w:val="19"/>
              </w:rPr>
              <w:t>Owner Department</w:t>
            </w:r>
          </w:p>
        </w:tc>
        <w:tc>
          <w:tcPr>
            <w:tcW w:type="dxa" w:w="2160"/>
            <w:shd w:fill="1B365D"/>
            <w:tcMar>
              <w:top w:w="120" w:type="dxa"/>
              <w:bottom w:w="120" w:type="dxa"/>
              <w:left w:w="140" w:type="dxa"/>
              <w:right w:w="140" w:type="dxa"/>
            </w:tcMar>
          </w:tcPr>
          <w:p>
            <w:pPr>
              <w:jc w:val="left"/>
            </w:pPr>
            <w:r>
              <w:rPr>
                <w:b/>
                <w:color w:val="FFFFFF"/>
                <w:sz w:val="19"/>
              </w:rPr>
              <w:t>Expected Business Impact</w:t>
            </w:r>
          </w:p>
        </w:tc>
      </w:tr>
      <w:tr>
        <w:tc>
          <w:tcPr>
            <w:tcW w:type="dxa" w:w="2016"/>
            <w:shd w:fill="FFFFFF"/>
            <w:tcMar>
              <w:top w:w="100" w:type="dxa"/>
              <w:bottom w:w="100" w:type="dxa"/>
              <w:left w:w="140" w:type="dxa"/>
              <w:right w:w="140" w:type="dxa"/>
            </w:tcMar>
          </w:tcPr>
          <w:p>
            <w:pPr>
              <w:jc w:val="left"/>
            </w:pPr>
            <w:r>
              <w:rPr>
                <w:color w:val="1E293B"/>
                <w:sz w:val="18"/>
              </w:rPr>
              <w:t>Month-to-month contracts account for 78% of all churn volume.</w:t>
            </w:r>
          </w:p>
        </w:tc>
        <w:tc>
          <w:tcPr>
            <w:tcW w:type="dxa" w:w="3312"/>
            <w:shd w:fill="FFFFFF"/>
            <w:tcMar>
              <w:top w:w="100" w:type="dxa"/>
              <w:bottom w:w="100" w:type="dxa"/>
              <w:left w:w="140" w:type="dxa"/>
              <w:right w:w="140" w:type="dxa"/>
            </w:tcMar>
          </w:tcPr>
          <w:p>
            <w:pPr>
              <w:jc w:val="left"/>
            </w:pPr>
            <w:r>
              <w:rPr>
                <w:color w:val="1E293B"/>
                <w:sz w:val="18"/>
              </w:rPr>
              <w:t>Deploy automated contract migration incentives (15% annual discount or hardware upgrade) at Month 6-9 tenure.</w:t>
            </w:r>
          </w:p>
        </w:tc>
        <w:tc>
          <w:tcPr>
            <w:tcW w:type="dxa" w:w="1872"/>
            <w:shd w:fill="FFFFFF"/>
            <w:tcMar>
              <w:top w:w="100" w:type="dxa"/>
              <w:bottom w:w="100" w:type="dxa"/>
              <w:left w:w="140" w:type="dxa"/>
              <w:right w:w="140" w:type="dxa"/>
            </w:tcMar>
          </w:tcPr>
          <w:p>
            <w:pPr>
              <w:jc w:val="left"/>
            </w:pPr>
            <w:r>
              <w:rPr>
                <w:color w:val="1E293B"/>
                <w:sz w:val="18"/>
              </w:rPr>
              <w:t>Marketing &amp; Retention</w:t>
            </w:r>
          </w:p>
        </w:tc>
        <w:tc>
          <w:tcPr>
            <w:tcW w:type="dxa" w:w="2160"/>
            <w:shd w:fill="FFFFFF"/>
            <w:tcMar>
              <w:top w:w="100" w:type="dxa"/>
              <w:bottom w:w="100" w:type="dxa"/>
              <w:left w:w="140" w:type="dxa"/>
              <w:right w:w="140" w:type="dxa"/>
            </w:tcMar>
          </w:tcPr>
          <w:p>
            <w:pPr>
              <w:jc w:val="left"/>
            </w:pPr>
            <w:r>
              <w:rPr>
                <w:color w:val="1E293B"/>
                <w:sz w:val="18"/>
              </w:rPr>
              <w:t>Projected to reduce contract-driven churn by 18%, preserving ~$85,000 ARR.</w:t>
            </w:r>
          </w:p>
        </w:tc>
      </w:tr>
      <w:tr>
        <w:tc>
          <w:tcPr>
            <w:tcW w:type="dxa" w:w="2016"/>
            <w:shd w:fill="F8FAFC"/>
            <w:tcMar>
              <w:top w:w="100" w:type="dxa"/>
              <w:bottom w:w="100" w:type="dxa"/>
              <w:left w:w="140" w:type="dxa"/>
              <w:right w:w="140" w:type="dxa"/>
            </w:tcMar>
          </w:tcPr>
          <w:p>
            <w:pPr>
              <w:jc w:val="left"/>
            </w:pPr>
            <w:r>
              <w:rPr>
                <w:color w:val="1E293B"/>
                <w:sz w:val="18"/>
              </w:rPr>
              <w:t>Support tickets &gt;= 3 within 30 days trigger a 68% churn spike.</w:t>
            </w:r>
          </w:p>
        </w:tc>
        <w:tc>
          <w:tcPr>
            <w:tcW w:type="dxa" w:w="3312"/>
            <w:shd w:fill="F8FAFC"/>
            <w:tcMar>
              <w:top w:w="100" w:type="dxa"/>
              <w:bottom w:w="100" w:type="dxa"/>
              <w:left w:w="140" w:type="dxa"/>
              <w:right w:w="140" w:type="dxa"/>
            </w:tcMar>
          </w:tcPr>
          <w:p>
            <w:pPr>
              <w:jc w:val="left"/>
            </w:pPr>
            <w:r>
              <w:rPr>
                <w:color w:val="1E293B"/>
                <w:sz w:val="18"/>
              </w:rPr>
              <w:t>Configure automated high-priority routing in ticketing system; dispatch VIP care supervisor for ticket 2+.</w:t>
            </w:r>
          </w:p>
        </w:tc>
        <w:tc>
          <w:tcPr>
            <w:tcW w:type="dxa" w:w="1872"/>
            <w:shd w:fill="F8FAFC"/>
            <w:tcMar>
              <w:top w:w="100" w:type="dxa"/>
              <w:bottom w:w="100" w:type="dxa"/>
              <w:left w:w="140" w:type="dxa"/>
              <w:right w:w="140" w:type="dxa"/>
            </w:tcMar>
          </w:tcPr>
          <w:p>
            <w:pPr>
              <w:jc w:val="left"/>
            </w:pPr>
            <w:r>
              <w:rPr>
                <w:color w:val="1E293B"/>
                <w:sz w:val="18"/>
              </w:rPr>
              <w:t>Customer Support Operations</w:t>
            </w:r>
          </w:p>
        </w:tc>
        <w:tc>
          <w:tcPr>
            <w:tcW w:type="dxa" w:w="2160"/>
            <w:shd w:fill="F8FAFC"/>
            <w:tcMar>
              <w:top w:w="100" w:type="dxa"/>
              <w:bottom w:w="100" w:type="dxa"/>
              <w:left w:w="140" w:type="dxa"/>
              <w:right w:w="140" w:type="dxa"/>
            </w:tcMar>
          </w:tcPr>
          <w:p>
            <w:pPr>
              <w:jc w:val="left"/>
            </w:pPr>
            <w:r>
              <w:rPr>
                <w:color w:val="1E293B"/>
                <w:sz w:val="18"/>
              </w:rPr>
              <w:t>Lowers support friction attrition by 25%, saving ~60 accounts annually.</w:t>
            </w:r>
          </w:p>
        </w:tc>
      </w:tr>
      <w:tr>
        <w:tc>
          <w:tcPr>
            <w:tcW w:type="dxa" w:w="2016"/>
            <w:shd w:fill="FFFFFF"/>
            <w:tcMar>
              <w:top w:w="100" w:type="dxa"/>
              <w:bottom w:w="100" w:type="dxa"/>
              <w:left w:w="140" w:type="dxa"/>
              <w:right w:w="140" w:type="dxa"/>
            </w:tcMar>
          </w:tcPr>
          <w:p>
            <w:pPr>
              <w:jc w:val="left"/>
            </w:pPr>
            <w:r>
              <w:rPr>
                <w:color w:val="1E293B"/>
                <w:sz w:val="18"/>
              </w:rPr>
              <w:t>A &gt;40% usage drop precedes cancellation by 38 days.</w:t>
            </w:r>
          </w:p>
        </w:tc>
        <w:tc>
          <w:tcPr>
            <w:tcW w:type="dxa" w:w="3312"/>
            <w:shd w:fill="FFFFFF"/>
            <w:tcMar>
              <w:top w:w="100" w:type="dxa"/>
              <w:bottom w:w="100" w:type="dxa"/>
              <w:left w:w="140" w:type="dxa"/>
              <w:right w:w="140" w:type="dxa"/>
            </w:tcMar>
          </w:tcPr>
          <w:p>
            <w:pPr>
              <w:jc w:val="left"/>
            </w:pPr>
            <w:r>
              <w:rPr>
                <w:color w:val="1E293B"/>
                <w:sz w:val="18"/>
              </w:rPr>
              <w:t>Trigger automated in-app re-engagement walkthroughs and personalized concierge check-in calls.</w:t>
            </w:r>
          </w:p>
        </w:tc>
        <w:tc>
          <w:tcPr>
            <w:tcW w:type="dxa" w:w="1872"/>
            <w:shd w:fill="FFFFFF"/>
            <w:tcMar>
              <w:top w:w="100" w:type="dxa"/>
              <w:bottom w:w="100" w:type="dxa"/>
              <w:left w:w="140" w:type="dxa"/>
              <w:right w:w="140" w:type="dxa"/>
            </w:tcMar>
          </w:tcPr>
          <w:p>
            <w:pPr>
              <w:jc w:val="left"/>
            </w:pPr>
            <w:r>
              <w:rPr>
                <w:color w:val="1E293B"/>
                <w:sz w:val="18"/>
              </w:rPr>
              <w:t>Customer Success Team</w:t>
            </w:r>
          </w:p>
        </w:tc>
        <w:tc>
          <w:tcPr>
            <w:tcW w:type="dxa" w:w="2160"/>
            <w:shd w:fill="FFFFFF"/>
            <w:tcMar>
              <w:top w:w="100" w:type="dxa"/>
              <w:bottom w:w="100" w:type="dxa"/>
              <w:left w:w="140" w:type="dxa"/>
              <w:right w:w="140" w:type="dxa"/>
            </w:tcMar>
          </w:tcPr>
          <w:p>
            <w:pPr>
              <w:jc w:val="left"/>
            </w:pPr>
            <w:r>
              <w:rPr>
                <w:color w:val="1E293B"/>
                <w:sz w:val="18"/>
              </w:rPr>
              <w:t>Recovers 20% of disengaged users before cancellation intent solidifies.</w:t>
            </w:r>
          </w:p>
        </w:tc>
      </w:tr>
      <w:tr>
        <w:tc>
          <w:tcPr>
            <w:tcW w:type="dxa" w:w="2016"/>
            <w:shd w:fill="F8FAFC"/>
            <w:tcMar>
              <w:top w:w="100" w:type="dxa"/>
              <w:bottom w:w="100" w:type="dxa"/>
              <w:left w:w="140" w:type="dxa"/>
              <w:right w:w="140" w:type="dxa"/>
            </w:tcMar>
          </w:tcPr>
          <w:p>
            <w:pPr>
              <w:jc w:val="left"/>
            </w:pPr>
            <w:r>
              <w:rPr>
                <w:color w:val="1E293B"/>
                <w:sz w:val="18"/>
              </w:rPr>
              <w:t>First-year tenure accounts for 61% of total churn.</w:t>
            </w:r>
          </w:p>
        </w:tc>
        <w:tc>
          <w:tcPr>
            <w:tcW w:type="dxa" w:w="3312"/>
            <w:shd w:fill="F8FAFC"/>
            <w:tcMar>
              <w:top w:w="100" w:type="dxa"/>
              <w:bottom w:w="100" w:type="dxa"/>
              <w:left w:w="140" w:type="dxa"/>
              <w:right w:w="140" w:type="dxa"/>
            </w:tcMar>
          </w:tcPr>
          <w:p>
            <w:pPr>
              <w:jc w:val="left"/>
            </w:pPr>
            <w:r>
              <w:rPr>
                <w:color w:val="1E293B"/>
                <w:sz w:val="18"/>
              </w:rPr>
              <w:t>Overhaul Day-1 to Day-90 onboarding cadence with automated milestone satisfaction surveys.</w:t>
            </w:r>
          </w:p>
        </w:tc>
        <w:tc>
          <w:tcPr>
            <w:tcW w:type="dxa" w:w="1872"/>
            <w:shd w:fill="F8FAFC"/>
            <w:tcMar>
              <w:top w:w="100" w:type="dxa"/>
              <w:bottom w:w="100" w:type="dxa"/>
              <w:left w:w="140" w:type="dxa"/>
              <w:right w:w="140" w:type="dxa"/>
            </w:tcMar>
          </w:tcPr>
          <w:p>
            <w:pPr>
              <w:jc w:val="left"/>
            </w:pPr>
            <w:r>
              <w:rPr>
                <w:color w:val="1E293B"/>
                <w:sz w:val="18"/>
              </w:rPr>
              <w:t>Onboarding &amp; Product Growth</w:t>
            </w:r>
          </w:p>
        </w:tc>
        <w:tc>
          <w:tcPr>
            <w:tcW w:type="dxa" w:w="2160"/>
            <w:shd w:fill="F8FAFC"/>
            <w:tcMar>
              <w:top w:w="100" w:type="dxa"/>
              <w:bottom w:w="100" w:type="dxa"/>
              <w:left w:w="140" w:type="dxa"/>
              <w:right w:w="140" w:type="dxa"/>
            </w:tcMar>
          </w:tcPr>
          <w:p>
            <w:pPr>
              <w:jc w:val="left"/>
            </w:pPr>
            <w:r>
              <w:rPr>
                <w:color w:val="1E293B"/>
                <w:sz w:val="18"/>
              </w:rPr>
              <w:t>Decreases Year-1 onboarding attrition by 12%, protecting ~$45,000 ARR.</w:t>
            </w:r>
          </w:p>
        </w:tc>
      </w:tr>
      <w:tr>
        <w:tc>
          <w:tcPr>
            <w:tcW w:type="dxa" w:w="2016"/>
            <w:shd w:fill="FFFFFF"/>
            <w:tcMar>
              <w:top w:w="100" w:type="dxa"/>
              <w:bottom w:w="100" w:type="dxa"/>
              <w:left w:w="140" w:type="dxa"/>
              <w:right w:w="140" w:type="dxa"/>
            </w:tcMar>
          </w:tcPr>
          <w:p>
            <w:pPr>
              <w:jc w:val="left"/>
            </w:pPr>
            <w:r>
              <w:rPr>
                <w:color w:val="1E293B"/>
                <w:sz w:val="18"/>
              </w:rPr>
              <w:t>Electronic check payment method correlates with 34% higher churn.</w:t>
            </w:r>
          </w:p>
        </w:tc>
        <w:tc>
          <w:tcPr>
            <w:tcW w:type="dxa" w:w="3312"/>
            <w:shd w:fill="FFFFFF"/>
            <w:tcMar>
              <w:top w:w="100" w:type="dxa"/>
              <w:bottom w:w="100" w:type="dxa"/>
              <w:left w:w="140" w:type="dxa"/>
              <w:right w:w="140" w:type="dxa"/>
            </w:tcMar>
          </w:tcPr>
          <w:p>
            <w:pPr>
              <w:jc w:val="left"/>
            </w:pPr>
            <w:r>
              <w:rPr>
                <w:color w:val="1E293B"/>
                <w:sz w:val="18"/>
              </w:rPr>
              <w:t>Offer a one-time $10 billing credit to incentivize migration to automated credit card / bank autopay.</w:t>
            </w:r>
          </w:p>
        </w:tc>
        <w:tc>
          <w:tcPr>
            <w:tcW w:type="dxa" w:w="1872"/>
            <w:shd w:fill="FFFFFF"/>
            <w:tcMar>
              <w:top w:w="100" w:type="dxa"/>
              <w:bottom w:w="100" w:type="dxa"/>
              <w:left w:w="140" w:type="dxa"/>
              <w:right w:w="140" w:type="dxa"/>
            </w:tcMar>
          </w:tcPr>
          <w:p>
            <w:pPr>
              <w:jc w:val="left"/>
            </w:pPr>
            <w:r>
              <w:rPr>
                <w:color w:val="1E293B"/>
                <w:sz w:val="18"/>
              </w:rPr>
              <w:t>Billing &amp; Finance Desk</w:t>
            </w:r>
          </w:p>
        </w:tc>
        <w:tc>
          <w:tcPr>
            <w:tcW w:type="dxa" w:w="2160"/>
            <w:shd w:fill="FFFFFF"/>
            <w:tcMar>
              <w:top w:w="100" w:type="dxa"/>
              <w:bottom w:w="100" w:type="dxa"/>
              <w:left w:w="140" w:type="dxa"/>
              <w:right w:w="140" w:type="dxa"/>
            </w:tcMar>
          </w:tcPr>
          <w:p>
            <w:pPr>
              <w:jc w:val="left"/>
            </w:pPr>
            <w:r>
              <w:rPr>
                <w:color w:val="1E293B"/>
                <w:sz w:val="18"/>
              </w:rPr>
              <w:t>Reduces involuntary billing churn and payment friction by 15%.</w:t>
            </w:r>
          </w:p>
        </w:tc>
      </w:tr>
    </w:tbl>
    <w:p>
      <w:pPr>
        <w:spacing w:before="80" w:after="160"/>
      </w:pPr>
    </w:p>
    <w:p>
      <w:pPr>
        <w:keepNext/>
        <w:spacing w:before="360" w:after="120"/>
      </w:pPr>
      <w:r>
        <w:rPr>
          <w:b/>
          <w:color w:val="1B365D"/>
          <w:sz w:val="32"/>
        </w:rPr>
        <w:t>5. Executive Presentation Strategy for Non-Technical Stakeholders</w:t>
      </w:r>
    </w:p>
    <w:p>
      <w:r>
        <w:t>To achieve executive buy-in across non-technical C-suite stakeholders, the presentation strategy relies on the Situation-Complication-Resolution (SCR) storytelling framework popularized by top-tier management consultancies. Figure 7 illustrates the narrative progression from current market realities to data-driven resolution.</w:t>
      </w:r>
    </w:p>
    <w:p>
      <w:pPr>
        <w:spacing w:before="200" w:after="80"/>
        <w:jc w:val="center"/>
      </w:pPr>
      <w:r>
        <w:drawing>
          <wp:inline xmlns:a="http://schemas.openxmlformats.org/drawingml/2006/main" xmlns:pic="http://schemas.openxmlformats.org/drawingml/2006/picture">
            <wp:extent cx="5303520" cy="2473467"/>
            <wp:docPr id="7" name="Picture 7"/>
            <wp:cNvGraphicFramePr>
              <a:graphicFrameLocks noChangeAspect="1"/>
            </wp:cNvGraphicFramePr>
            <a:graphic>
              <a:graphicData uri="http://schemas.openxmlformats.org/drawingml/2006/picture">
                <pic:pic>
                  <pic:nvPicPr>
                    <pic:cNvPr id="0" name="w4_fig7_storytelling_arc.png"/>
                    <pic:cNvPicPr/>
                  </pic:nvPicPr>
                  <pic:blipFill>
                    <a:blip r:embed="rId16"/>
                    <a:stretch>
                      <a:fillRect/>
                    </a:stretch>
                  </pic:blipFill>
                  <pic:spPr>
                    <a:xfrm>
                      <a:off x="0" y="0"/>
                      <a:ext cx="5303520" cy="2473467"/>
                    </a:xfrm>
                    <a:prstGeom prst="rect"/>
                  </pic:spPr>
                </pic:pic>
              </a:graphicData>
            </a:graphic>
          </wp:inline>
        </w:drawing>
      </w:r>
    </w:p>
    <w:p>
      <w:pPr>
        <w:spacing w:before="40" w:after="240"/>
        <w:jc w:val="center"/>
      </w:pPr>
      <w:r>
        <w:rPr>
          <w:i/>
          <w:color w:val="5C768D"/>
          <w:sz w:val="19"/>
        </w:rPr>
        <w:t>Figure 7: Executive Data Storytelling Arc (Situation-Complication-Resolution)</w:t>
      </w:r>
    </w:p>
    <w:p>
      <w:pPr>
        <w:keepNext/>
        <w:spacing w:before="240" w:after="80"/>
      </w:pPr>
      <w:r>
        <w:rPr>
          <w:b/>
          <w:color w:val="008080"/>
          <w:sz w:val="26"/>
        </w:rPr>
        <w:t>5.1 Slide-by-Slide Executive Deck Outline (10 Slides / 20 Minutes)</w:t>
      </w:r>
    </w:p>
    <w:p>
      <w:r>
        <w:t>The table below outlines the precise narrative architecture of the 10-slide executive presentation deck:</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Mar>
              <w:top w:w="120" w:type="dxa"/>
              <w:bottom w:w="120" w:type="dxa"/>
              <w:left w:w="140" w:type="dxa"/>
              <w:right w:w="140" w:type="dxa"/>
            </w:tcMar>
          </w:tcPr>
          <w:p>
            <w:pPr>
              <w:jc w:val="left"/>
            </w:pPr>
            <w:r>
              <w:rPr>
                <w:b/>
                <w:color w:val="FFFFFF"/>
                <w:sz w:val="19"/>
              </w:rPr>
              <w:t>Slide #</w:t>
            </w:r>
          </w:p>
        </w:tc>
        <w:tc>
          <w:tcPr>
            <w:tcW w:type="dxa" w:w="2592"/>
            <w:shd w:fill="1B365D"/>
            <w:tcMar>
              <w:top w:w="120" w:type="dxa"/>
              <w:bottom w:w="120" w:type="dxa"/>
              <w:left w:w="140" w:type="dxa"/>
              <w:right w:w="140" w:type="dxa"/>
            </w:tcMar>
          </w:tcPr>
          <w:p>
            <w:pPr>
              <w:jc w:val="left"/>
            </w:pPr>
            <w:r>
              <w:rPr>
                <w:b/>
                <w:color w:val="FFFFFF"/>
                <w:sz w:val="19"/>
              </w:rPr>
              <w:t>Slide Title</w:t>
            </w:r>
          </w:p>
        </w:tc>
        <w:tc>
          <w:tcPr>
            <w:tcW w:type="dxa" w:w="3600"/>
            <w:shd w:fill="1B365D"/>
            <w:tcMar>
              <w:top w:w="120" w:type="dxa"/>
              <w:bottom w:w="120" w:type="dxa"/>
              <w:left w:w="140" w:type="dxa"/>
              <w:right w:w="140" w:type="dxa"/>
            </w:tcMar>
          </w:tcPr>
          <w:p>
            <w:pPr>
              <w:jc w:val="left"/>
            </w:pPr>
            <w:r>
              <w:rPr>
                <w:b/>
                <w:color w:val="FFFFFF"/>
                <w:sz w:val="19"/>
              </w:rPr>
              <w:t>Core Executive Message</w:t>
            </w:r>
          </w:p>
        </w:tc>
        <w:tc>
          <w:tcPr>
            <w:tcW w:type="dxa" w:w="2016"/>
            <w:shd w:fill="1B365D"/>
            <w:tcMar>
              <w:top w:w="120" w:type="dxa"/>
              <w:bottom w:w="120" w:type="dxa"/>
              <w:left w:w="140" w:type="dxa"/>
              <w:right w:w="140" w:type="dxa"/>
            </w:tcMar>
          </w:tcPr>
          <w:p>
            <w:pPr>
              <w:jc w:val="left"/>
            </w:pPr>
            <w:r>
              <w:rPr>
                <w:b/>
                <w:color w:val="FFFFFF"/>
                <w:sz w:val="19"/>
              </w:rPr>
              <w:t>Primary Visual Anchor</w:t>
            </w:r>
          </w:p>
        </w:tc>
      </w:tr>
      <w:tr>
        <w:tc>
          <w:tcPr>
            <w:tcW w:type="dxa" w:w="1152"/>
            <w:shd w:fill="FFFFFF"/>
            <w:tcMar>
              <w:top w:w="100" w:type="dxa"/>
              <w:bottom w:w="100" w:type="dxa"/>
              <w:left w:w="140" w:type="dxa"/>
              <w:right w:w="140" w:type="dxa"/>
            </w:tcMar>
          </w:tcPr>
          <w:p>
            <w:pPr>
              <w:jc w:val="left"/>
            </w:pPr>
            <w:r>
              <w:rPr>
                <w:color w:val="1E293B"/>
                <w:sz w:val="18"/>
              </w:rPr>
              <w:t>Slide 1</w:t>
            </w:r>
          </w:p>
        </w:tc>
        <w:tc>
          <w:tcPr>
            <w:tcW w:type="dxa" w:w="2592"/>
            <w:shd w:fill="FFFFFF"/>
            <w:tcMar>
              <w:top w:w="100" w:type="dxa"/>
              <w:bottom w:w="100" w:type="dxa"/>
              <w:left w:w="140" w:type="dxa"/>
              <w:right w:w="140" w:type="dxa"/>
            </w:tcMar>
          </w:tcPr>
          <w:p>
            <w:pPr>
              <w:jc w:val="left"/>
            </w:pPr>
            <w:r>
              <w:rPr>
                <w:color w:val="1E293B"/>
                <w:sz w:val="18"/>
              </w:rPr>
              <w:t>Executive Briefing: Revenue Retention</w:t>
            </w:r>
          </w:p>
        </w:tc>
        <w:tc>
          <w:tcPr>
            <w:tcW w:type="dxa" w:w="3600"/>
            <w:shd w:fill="FFFFFF"/>
            <w:tcMar>
              <w:top w:w="100" w:type="dxa"/>
              <w:bottom w:w="100" w:type="dxa"/>
              <w:left w:w="140" w:type="dxa"/>
              <w:right w:w="140" w:type="dxa"/>
            </w:tcMar>
          </w:tcPr>
          <w:p>
            <w:pPr>
              <w:jc w:val="left"/>
            </w:pPr>
            <w:r>
              <w:rPr>
                <w:color w:val="1E293B"/>
                <w:sz w:val="18"/>
              </w:rPr>
              <w:t>Why customer retention is our highest-ROI profit lever this fiscal year.</w:t>
            </w:r>
          </w:p>
        </w:tc>
        <w:tc>
          <w:tcPr>
            <w:tcW w:type="dxa" w:w="2016"/>
            <w:shd w:fill="FFFFFF"/>
            <w:tcMar>
              <w:top w:w="100" w:type="dxa"/>
              <w:bottom w:w="100" w:type="dxa"/>
              <w:left w:w="140" w:type="dxa"/>
              <w:right w:w="140" w:type="dxa"/>
            </w:tcMar>
          </w:tcPr>
          <w:p>
            <w:pPr>
              <w:jc w:val="left"/>
            </w:pPr>
            <w:r>
              <w:rPr>
                <w:color w:val="1E293B"/>
                <w:sz w:val="18"/>
              </w:rPr>
              <w:t>Scorecard callout: $246.4K net ARR preserved.</w:t>
            </w:r>
          </w:p>
        </w:tc>
      </w:tr>
      <w:tr>
        <w:tc>
          <w:tcPr>
            <w:tcW w:type="dxa" w:w="1152"/>
            <w:shd w:fill="F8FAFC"/>
            <w:tcMar>
              <w:top w:w="100" w:type="dxa"/>
              <w:bottom w:w="100" w:type="dxa"/>
              <w:left w:w="140" w:type="dxa"/>
              <w:right w:w="140" w:type="dxa"/>
            </w:tcMar>
          </w:tcPr>
          <w:p>
            <w:pPr>
              <w:jc w:val="left"/>
            </w:pPr>
            <w:r>
              <w:rPr>
                <w:color w:val="1E293B"/>
                <w:sz w:val="18"/>
              </w:rPr>
              <w:t>Slide 2</w:t>
            </w:r>
          </w:p>
        </w:tc>
        <w:tc>
          <w:tcPr>
            <w:tcW w:type="dxa" w:w="2592"/>
            <w:shd w:fill="F8FAFC"/>
            <w:tcMar>
              <w:top w:w="100" w:type="dxa"/>
              <w:bottom w:w="100" w:type="dxa"/>
              <w:left w:w="140" w:type="dxa"/>
              <w:right w:w="140" w:type="dxa"/>
            </w:tcMar>
          </w:tcPr>
          <w:p>
            <w:pPr>
              <w:jc w:val="left"/>
            </w:pPr>
            <w:r>
              <w:rPr>
                <w:color w:val="1E293B"/>
                <w:sz w:val="18"/>
              </w:rPr>
              <w:t>The Situation: Market &amp; CAC Dynamics</w:t>
            </w:r>
          </w:p>
        </w:tc>
        <w:tc>
          <w:tcPr>
            <w:tcW w:type="dxa" w:w="3600"/>
            <w:shd w:fill="F8FAFC"/>
            <w:tcMar>
              <w:top w:w="100" w:type="dxa"/>
              <w:bottom w:w="100" w:type="dxa"/>
              <w:left w:w="140" w:type="dxa"/>
              <w:right w:w="140" w:type="dxa"/>
            </w:tcMar>
          </w:tcPr>
          <w:p>
            <w:pPr>
              <w:jc w:val="left"/>
            </w:pPr>
            <w:r>
              <w:rPr>
                <w:color w:val="1E293B"/>
                <w:sz w:val="18"/>
              </w:rPr>
              <w:t>Customer acquisition costs are rising; retaining existing subscribers is critical.</w:t>
            </w:r>
          </w:p>
        </w:tc>
        <w:tc>
          <w:tcPr>
            <w:tcW w:type="dxa" w:w="2016"/>
            <w:shd w:fill="F8FAFC"/>
            <w:tcMar>
              <w:top w:w="100" w:type="dxa"/>
              <w:bottom w:w="100" w:type="dxa"/>
              <w:left w:w="140" w:type="dxa"/>
              <w:right w:w="140" w:type="dxa"/>
            </w:tcMar>
          </w:tcPr>
          <w:p>
            <w:pPr>
              <w:jc w:val="left"/>
            </w:pPr>
            <w:r>
              <w:rPr>
                <w:color w:val="1E293B"/>
                <w:sz w:val="18"/>
              </w:rPr>
              <w:t>3-year historical CAC vs. CLV chart.</w:t>
            </w:r>
          </w:p>
        </w:tc>
      </w:tr>
      <w:tr>
        <w:tc>
          <w:tcPr>
            <w:tcW w:type="dxa" w:w="1152"/>
            <w:shd w:fill="FFFFFF"/>
            <w:tcMar>
              <w:top w:w="100" w:type="dxa"/>
              <w:bottom w:w="100" w:type="dxa"/>
              <w:left w:w="140" w:type="dxa"/>
              <w:right w:w="140" w:type="dxa"/>
            </w:tcMar>
          </w:tcPr>
          <w:p>
            <w:pPr>
              <w:jc w:val="left"/>
            </w:pPr>
            <w:r>
              <w:rPr>
                <w:color w:val="1E293B"/>
                <w:sz w:val="18"/>
              </w:rPr>
              <w:t>Slide 3</w:t>
            </w:r>
          </w:p>
        </w:tc>
        <w:tc>
          <w:tcPr>
            <w:tcW w:type="dxa" w:w="2592"/>
            <w:shd w:fill="FFFFFF"/>
            <w:tcMar>
              <w:top w:w="100" w:type="dxa"/>
              <w:bottom w:w="100" w:type="dxa"/>
              <w:left w:w="140" w:type="dxa"/>
              <w:right w:w="140" w:type="dxa"/>
            </w:tcMar>
          </w:tcPr>
          <w:p>
            <w:pPr>
              <w:jc w:val="left"/>
            </w:pPr>
            <w:r>
              <w:rPr>
                <w:color w:val="1E293B"/>
                <w:sz w:val="18"/>
              </w:rPr>
              <w:t>The Complication: The Hidden Leak</w:t>
            </w:r>
          </w:p>
        </w:tc>
        <w:tc>
          <w:tcPr>
            <w:tcW w:type="dxa" w:w="3600"/>
            <w:shd w:fill="FFFFFF"/>
            <w:tcMar>
              <w:top w:w="100" w:type="dxa"/>
              <w:bottom w:w="100" w:type="dxa"/>
              <w:left w:w="140" w:type="dxa"/>
              <w:right w:w="140" w:type="dxa"/>
            </w:tcMar>
          </w:tcPr>
          <w:p>
            <w:pPr>
              <w:jc w:val="left"/>
            </w:pPr>
            <w:r>
              <w:rPr>
                <w:color w:val="1E293B"/>
                <w:sz w:val="18"/>
              </w:rPr>
              <w:t>A 24% annual churn rate erodes $1.87M in ARR; reactive outreach arrives too late.</w:t>
            </w:r>
          </w:p>
        </w:tc>
        <w:tc>
          <w:tcPr>
            <w:tcW w:type="dxa" w:w="2016"/>
            <w:shd w:fill="FFFFFF"/>
            <w:tcMar>
              <w:top w:w="100" w:type="dxa"/>
              <w:bottom w:w="100" w:type="dxa"/>
              <w:left w:w="140" w:type="dxa"/>
              <w:right w:w="140" w:type="dxa"/>
            </w:tcMar>
          </w:tcPr>
          <w:p>
            <w:pPr>
              <w:jc w:val="left"/>
            </w:pPr>
            <w:r>
              <w:rPr>
                <w:color w:val="1E293B"/>
                <w:sz w:val="18"/>
              </w:rPr>
              <w:t>Waterfall chart showing revenue leakage.</w:t>
            </w:r>
          </w:p>
        </w:tc>
      </w:tr>
      <w:tr>
        <w:tc>
          <w:tcPr>
            <w:tcW w:type="dxa" w:w="1152"/>
            <w:shd w:fill="F8FAFC"/>
            <w:tcMar>
              <w:top w:w="100" w:type="dxa"/>
              <w:bottom w:w="100" w:type="dxa"/>
              <w:left w:w="140" w:type="dxa"/>
              <w:right w:w="140" w:type="dxa"/>
            </w:tcMar>
          </w:tcPr>
          <w:p>
            <w:pPr>
              <w:jc w:val="left"/>
            </w:pPr>
            <w:r>
              <w:rPr>
                <w:color w:val="1E293B"/>
                <w:sz w:val="18"/>
              </w:rPr>
              <w:t>Slide 4</w:t>
            </w:r>
          </w:p>
        </w:tc>
        <w:tc>
          <w:tcPr>
            <w:tcW w:type="dxa" w:w="2592"/>
            <w:shd w:fill="F8FAFC"/>
            <w:tcMar>
              <w:top w:w="100" w:type="dxa"/>
              <w:bottom w:w="100" w:type="dxa"/>
              <w:left w:w="140" w:type="dxa"/>
              <w:right w:w="140" w:type="dxa"/>
            </w:tcMar>
          </w:tcPr>
          <w:p>
            <w:pPr>
              <w:jc w:val="left"/>
            </w:pPr>
            <w:r>
              <w:rPr>
                <w:color w:val="1E293B"/>
                <w:sz w:val="18"/>
              </w:rPr>
              <w:t>The Anatomy of Churn: Root Drivers</w:t>
            </w:r>
          </w:p>
        </w:tc>
        <w:tc>
          <w:tcPr>
            <w:tcW w:type="dxa" w:w="3600"/>
            <w:shd w:fill="F8FAFC"/>
            <w:tcMar>
              <w:top w:w="100" w:type="dxa"/>
              <w:bottom w:w="100" w:type="dxa"/>
              <w:left w:w="140" w:type="dxa"/>
              <w:right w:w="140" w:type="dxa"/>
            </w:tcMar>
          </w:tcPr>
          <w:p>
            <w:pPr>
              <w:jc w:val="left"/>
            </w:pPr>
            <w:r>
              <w:rPr>
                <w:color w:val="1E293B"/>
                <w:sz w:val="18"/>
              </w:rPr>
              <w:t>Churn is preceded by clear behavioral indicators: contract type, ticket volume, usage drops.</w:t>
            </w:r>
          </w:p>
        </w:tc>
        <w:tc>
          <w:tcPr>
            <w:tcW w:type="dxa" w:w="2016"/>
            <w:shd w:fill="F8FAFC"/>
            <w:tcMar>
              <w:top w:w="100" w:type="dxa"/>
              <w:bottom w:w="100" w:type="dxa"/>
              <w:left w:w="140" w:type="dxa"/>
              <w:right w:w="140" w:type="dxa"/>
            </w:tcMar>
          </w:tcPr>
          <w:p>
            <w:pPr>
              <w:jc w:val="left"/>
            </w:pPr>
            <w:r>
              <w:rPr>
                <w:color w:val="1E293B"/>
                <w:sz w:val="18"/>
              </w:rPr>
              <w:t>Top 5 SHAP feature importance plot.</w:t>
            </w:r>
          </w:p>
        </w:tc>
      </w:tr>
      <w:tr>
        <w:tc>
          <w:tcPr>
            <w:tcW w:type="dxa" w:w="1152"/>
            <w:shd w:fill="FFFFFF"/>
            <w:tcMar>
              <w:top w:w="100" w:type="dxa"/>
              <w:bottom w:w="100" w:type="dxa"/>
              <w:left w:w="140" w:type="dxa"/>
              <w:right w:w="140" w:type="dxa"/>
            </w:tcMar>
          </w:tcPr>
          <w:p>
            <w:pPr>
              <w:jc w:val="left"/>
            </w:pPr>
            <w:r>
              <w:rPr>
                <w:color w:val="1E293B"/>
                <w:sz w:val="18"/>
              </w:rPr>
              <w:t>Slide 5</w:t>
            </w:r>
          </w:p>
        </w:tc>
        <w:tc>
          <w:tcPr>
            <w:tcW w:type="dxa" w:w="2592"/>
            <w:shd w:fill="FFFFFF"/>
            <w:tcMar>
              <w:top w:w="100" w:type="dxa"/>
              <w:bottom w:w="100" w:type="dxa"/>
              <w:left w:w="140" w:type="dxa"/>
              <w:right w:w="140" w:type="dxa"/>
            </w:tcMar>
          </w:tcPr>
          <w:p>
            <w:pPr>
              <w:jc w:val="left"/>
            </w:pPr>
            <w:r>
              <w:rPr>
                <w:color w:val="1E293B"/>
                <w:sz w:val="18"/>
              </w:rPr>
              <w:t>The Solution: Predictive Churn Engine</w:t>
            </w:r>
          </w:p>
        </w:tc>
        <w:tc>
          <w:tcPr>
            <w:tcW w:type="dxa" w:w="3600"/>
            <w:shd w:fill="FFFFFF"/>
            <w:tcMar>
              <w:top w:w="100" w:type="dxa"/>
              <w:bottom w:w="100" w:type="dxa"/>
              <w:left w:w="140" w:type="dxa"/>
              <w:right w:w="140" w:type="dxa"/>
            </w:tcMar>
          </w:tcPr>
          <w:p>
            <w:pPr>
              <w:jc w:val="left"/>
            </w:pPr>
            <w:r>
              <w:rPr>
                <w:color w:val="1E293B"/>
                <w:sz w:val="18"/>
              </w:rPr>
              <w:t>Introducing a machine learning pipeline that flags churn risk 45 days in advance.</w:t>
            </w:r>
          </w:p>
        </w:tc>
        <w:tc>
          <w:tcPr>
            <w:tcW w:type="dxa" w:w="2016"/>
            <w:shd w:fill="FFFFFF"/>
            <w:tcMar>
              <w:top w:w="100" w:type="dxa"/>
              <w:bottom w:w="100" w:type="dxa"/>
              <w:left w:w="140" w:type="dxa"/>
              <w:right w:w="140" w:type="dxa"/>
            </w:tcMar>
          </w:tcPr>
          <w:p>
            <w:pPr>
              <w:jc w:val="left"/>
            </w:pPr>
            <w:r>
              <w:rPr>
                <w:color w:val="1E293B"/>
                <w:sz w:val="18"/>
              </w:rPr>
              <w:t>High-level system architecture flowchart.</w:t>
            </w:r>
          </w:p>
        </w:tc>
      </w:tr>
      <w:tr>
        <w:tc>
          <w:tcPr>
            <w:tcW w:type="dxa" w:w="1152"/>
            <w:shd w:fill="F8FAFC"/>
            <w:tcMar>
              <w:top w:w="100" w:type="dxa"/>
              <w:bottom w:w="100" w:type="dxa"/>
              <w:left w:w="140" w:type="dxa"/>
              <w:right w:w="140" w:type="dxa"/>
            </w:tcMar>
          </w:tcPr>
          <w:p>
            <w:pPr>
              <w:jc w:val="left"/>
            </w:pPr>
            <w:r>
              <w:rPr>
                <w:color w:val="1E293B"/>
                <w:sz w:val="18"/>
              </w:rPr>
              <w:t>Slide 6</w:t>
            </w:r>
          </w:p>
        </w:tc>
        <w:tc>
          <w:tcPr>
            <w:tcW w:type="dxa" w:w="2592"/>
            <w:shd w:fill="F8FAFC"/>
            <w:tcMar>
              <w:top w:w="100" w:type="dxa"/>
              <w:bottom w:w="100" w:type="dxa"/>
              <w:left w:w="140" w:type="dxa"/>
              <w:right w:w="140" w:type="dxa"/>
            </w:tcMar>
          </w:tcPr>
          <w:p>
            <w:pPr>
              <w:jc w:val="left"/>
            </w:pPr>
            <w:r>
              <w:rPr>
                <w:color w:val="1E293B"/>
                <w:sz w:val="18"/>
              </w:rPr>
              <w:t>Model Accuracy &amp; Validation Rigor</w:t>
            </w:r>
          </w:p>
        </w:tc>
        <w:tc>
          <w:tcPr>
            <w:tcW w:type="dxa" w:w="3600"/>
            <w:shd w:fill="F8FAFC"/>
            <w:tcMar>
              <w:top w:w="100" w:type="dxa"/>
              <w:bottom w:w="100" w:type="dxa"/>
              <w:left w:w="140" w:type="dxa"/>
              <w:right w:w="140" w:type="dxa"/>
            </w:tcMar>
          </w:tcPr>
          <w:p>
            <w:pPr>
              <w:jc w:val="left"/>
            </w:pPr>
            <w:r>
              <w:rPr>
                <w:color w:val="1E293B"/>
                <w:sz w:val="18"/>
              </w:rPr>
              <w:t>Random Forest ensemble achieves 0.865 ROC-AUC; captures 73.4% of at-risk users in top decile.</w:t>
            </w:r>
          </w:p>
        </w:tc>
        <w:tc>
          <w:tcPr>
            <w:tcW w:type="dxa" w:w="2016"/>
            <w:shd w:fill="F8FAFC"/>
            <w:tcMar>
              <w:top w:w="100" w:type="dxa"/>
              <w:bottom w:w="100" w:type="dxa"/>
              <w:left w:w="140" w:type="dxa"/>
              <w:right w:w="140" w:type="dxa"/>
            </w:tcMar>
          </w:tcPr>
          <w:p>
            <w:pPr>
              <w:jc w:val="left"/>
            </w:pPr>
            <w:r>
              <w:rPr>
                <w:color w:val="1E293B"/>
                <w:sz w:val="18"/>
              </w:rPr>
              <w:t>Cumulative gains / Lift chart.</w:t>
            </w:r>
          </w:p>
        </w:tc>
      </w:tr>
      <w:tr>
        <w:tc>
          <w:tcPr>
            <w:tcW w:type="dxa" w:w="1152"/>
            <w:shd w:fill="FFFFFF"/>
            <w:tcMar>
              <w:top w:w="100" w:type="dxa"/>
              <w:bottom w:w="100" w:type="dxa"/>
              <w:left w:w="140" w:type="dxa"/>
              <w:right w:w="140" w:type="dxa"/>
            </w:tcMar>
          </w:tcPr>
          <w:p>
            <w:pPr>
              <w:jc w:val="left"/>
            </w:pPr>
            <w:r>
              <w:rPr>
                <w:color w:val="1E293B"/>
                <w:sz w:val="18"/>
              </w:rPr>
              <w:t>Slide 7</w:t>
            </w:r>
          </w:p>
        </w:tc>
        <w:tc>
          <w:tcPr>
            <w:tcW w:type="dxa" w:w="2592"/>
            <w:shd w:fill="FFFFFF"/>
            <w:tcMar>
              <w:top w:w="100" w:type="dxa"/>
              <w:bottom w:w="100" w:type="dxa"/>
              <w:left w:w="140" w:type="dxa"/>
              <w:right w:w="140" w:type="dxa"/>
            </w:tcMar>
          </w:tcPr>
          <w:p>
            <w:pPr>
              <w:jc w:val="left"/>
            </w:pPr>
            <w:r>
              <w:rPr>
                <w:color w:val="1E293B"/>
                <w:sz w:val="18"/>
              </w:rPr>
              <w:t>Threshold Optimization: Balancing Risk</w:t>
            </w:r>
          </w:p>
        </w:tc>
        <w:tc>
          <w:tcPr>
            <w:tcW w:type="dxa" w:w="3600"/>
            <w:shd w:fill="FFFFFF"/>
            <w:tcMar>
              <w:top w:w="100" w:type="dxa"/>
              <w:bottom w:w="100" w:type="dxa"/>
              <w:left w:w="140" w:type="dxa"/>
              <w:right w:w="140" w:type="dxa"/>
            </w:tcMar>
          </w:tcPr>
          <w:p>
            <w:pPr>
              <w:jc w:val="left"/>
            </w:pPr>
            <w:r>
              <w:rPr>
                <w:color w:val="1E293B"/>
                <w:sz w:val="18"/>
              </w:rPr>
              <w:t>Decision boundary adjusted to minimize business costs ($C_fn vs. $C_fp).</w:t>
            </w:r>
          </w:p>
        </w:tc>
        <w:tc>
          <w:tcPr>
            <w:tcW w:type="dxa" w:w="2016"/>
            <w:shd w:fill="FFFFFF"/>
            <w:tcMar>
              <w:top w:w="100" w:type="dxa"/>
              <w:bottom w:w="100" w:type="dxa"/>
              <w:left w:w="140" w:type="dxa"/>
              <w:right w:w="140" w:type="dxa"/>
            </w:tcMar>
          </w:tcPr>
          <w:p>
            <w:pPr>
              <w:jc w:val="left"/>
            </w:pPr>
            <w:r>
              <w:rPr>
                <w:color w:val="1E293B"/>
                <w:sz w:val="18"/>
              </w:rPr>
              <w:t>Cost-loss curve vs. probability threshold.</w:t>
            </w:r>
          </w:p>
        </w:tc>
      </w:tr>
      <w:tr>
        <w:tc>
          <w:tcPr>
            <w:tcW w:type="dxa" w:w="1152"/>
            <w:shd w:fill="F8FAFC"/>
            <w:tcMar>
              <w:top w:w="100" w:type="dxa"/>
              <w:bottom w:w="100" w:type="dxa"/>
              <w:left w:w="140" w:type="dxa"/>
              <w:right w:w="140" w:type="dxa"/>
            </w:tcMar>
          </w:tcPr>
          <w:p>
            <w:pPr>
              <w:jc w:val="left"/>
            </w:pPr>
            <w:r>
              <w:rPr>
                <w:color w:val="1E293B"/>
                <w:sz w:val="18"/>
              </w:rPr>
              <w:t>Slide 8</w:t>
            </w:r>
          </w:p>
        </w:tc>
        <w:tc>
          <w:tcPr>
            <w:tcW w:type="dxa" w:w="2592"/>
            <w:shd w:fill="F8FAFC"/>
            <w:tcMar>
              <w:top w:w="100" w:type="dxa"/>
              <w:bottom w:w="100" w:type="dxa"/>
              <w:left w:w="140" w:type="dxa"/>
              <w:right w:w="140" w:type="dxa"/>
            </w:tcMar>
          </w:tcPr>
          <w:p>
            <w:pPr>
              <w:jc w:val="left"/>
            </w:pPr>
            <w:r>
              <w:rPr>
                <w:color w:val="1E293B"/>
                <w:sz w:val="18"/>
              </w:rPr>
              <w:t>Operational Blueprint: CRM Actioning</w:t>
            </w:r>
          </w:p>
        </w:tc>
        <w:tc>
          <w:tcPr>
            <w:tcW w:type="dxa" w:w="3600"/>
            <w:shd w:fill="F8FAFC"/>
            <w:tcMar>
              <w:top w:w="100" w:type="dxa"/>
              <w:bottom w:w="100" w:type="dxa"/>
              <w:left w:w="140" w:type="dxa"/>
              <w:right w:w="140" w:type="dxa"/>
            </w:tcMar>
          </w:tcPr>
          <w:p>
            <w:pPr>
              <w:jc w:val="left"/>
            </w:pPr>
            <w:r>
              <w:rPr>
                <w:color w:val="1E293B"/>
                <w:sz w:val="18"/>
              </w:rPr>
              <w:t>How Customer Success teams will use automated risk scores and SHAP reason codes.</w:t>
            </w:r>
          </w:p>
        </w:tc>
        <w:tc>
          <w:tcPr>
            <w:tcW w:type="dxa" w:w="2016"/>
            <w:shd w:fill="F8FAFC"/>
            <w:tcMar>
              <w:top w:w="100" w:type="dxa"/>
              <w:bottom w:w="100" w:type="dxa"/>
              <w:left w:w="140" w:type="dxa"/>
              <w:right w:w="140" w:type="dxa"/>
            </w:tcMar>
          </w:tcPr>
          <w:p>
            <w:pPr>
              <w:jc w:val="left"/>
            </w:pPr>
            <w:r>
              <w:rPr>
                <w:color w:val="1E293B"/>
                <w:sz w:val="18"/>
              </w:rPr>
              <w:t>Mockup of Customer Success CRM card.</w:t>
            </w:r>
          </w:p>
        </w:tc>
      </w:tr>
      <w:tr>
        <w:tc>
          <w:tcPr>
            <w:tcW w:type="dxa" w:w="1152"/>
            <w:shd w:fill="FFFFFF"/>
            <w:tcMar>
              <w:top w:w="100" w:type="dxa"/>
              <w:bottom w:w="100" w:type="dxa"/>
              <w:left w:w="140" w:type="dxa"/>
              <w:right w:w="140" w:type="dxa"/>
            </w:tcMar>
          </w:tcPr>
          <w:p>
            <w:pPr>
              <w:jc w:val="left"/>
            </w:pPr>
            <w:r>
              <w:rPr>
                <w:color w:val="1E293B"/>
                <w:sz w:val="18"/>
              </w:rPr>
              <w:t>Slide 9</w:t>
            </w:r>
          </w:p>
        </w:tc>
        <w:tc>
          <w:tcPr>
            <w:tcW w:type="dxa" w:w="2592"/>
            <w:shd w:fill="FFFFFF"/>
            <w:tcMar>
              <w:top w:w="100" w:type="dxa"/>
              <w:bottom w:w="100" w:type="dxa"/>
              <w:left w:w="140" w:type="dxa"/>
              <w:right w:w="140" w:type="dxa"/>
            </w:tcMar>
          </w:tcPr>
          <w:p>
            <w:pPr>
              <w:jc w:val="left"/>
            </w:pPr>
            <w:r>
              <w:rPr>
                <w:color w:val="1E293B"/>
                <w:sz w:val="18"/>
              </w:rPr>
              <w:t>Financial ROI &amp; Business Case</w:t>
            </w:r>
          </w:p>
        </w:tc>
        <w:tc>
          <w:tcPr>
            <w:tcW w:type="dxa" w:w="3600"/>
            <w:shd w:fill="FFFFFF"/>
            <w:tcMar>
              <w:top w:w="100" w:type="dxa"/>
              <w:bottom w:w="100" w:type="dxa"/>
              <w:left w:w="140" w:type="dxa"/>
              <w:right w:w="140" w:type="dxa"/>
            </w:tcMar>
          </w:tcPr>
          <w:p>
            <w:pPr>
              <w:jc w:val="left"/>
            </w:pPr>
            <w:r>
              <w:rPr>
                <w:color w:val="1E293B"/>
                <w:sz w:val="18"/>
              </w:rPr>
              <w:t>Preserving 352 accounts yields $274.5K in preserved ARR with an 875% program ROI.</w:t>
            </w:r>
          </w:p>
        </w:tc>
        <w:tc>
          <w:tcPr>
            <w:tcW w:type="dxa" w:w="2016"/>
            <w:shd w:fill="FFFFFF"/>
            <w:tcMar>
              <w:top w:w="100" w:type="dxa"/>
              <w:bottom w:w="100" w:type="dxa"/>
              <w:left w:w="140" w:type="dxa"/>
              <w:right w:w="140" w:type="dxa"/>
            </w:tcMar>
          </w:tcPr>
          <w:p>
            <w:pPr>
              <w:jc w:val="left"/>
            </w:pPr>
            <w:r>
              <w:rPr>
                <w:color w:val="1E293B"/>
                <w:sz w:val="18"/>
              </w:rPr>
              <w:t>Cost-benefit comparison bar chart.</w:t>
            </w:r>
          </w:p>
        </w:tc>
      </w:tr>
      <w:tr>
        <w:tc>
          <w:tcPr>
            <w:tcW w:type="dxa" w:w="1152"/>
            <w:shd w:fill="F8FAFC"/>
            <w:tcMar>
              <w:top w:w="100" w:type="dxa"/>
              <w:bottom w:w="100" w:type="dxa"/>
              <w:left w:w="140" w:type="dxa"/>
              <w:right w:w="140" w:type="dxa"/>
            </w:tcMar>
          </w:tcPr>
          <w:p>
            <w:pPr>
              <w:jc w:val="left"/>
            </w:pPr>
            <w:r>
              <w:rPr>
                <w:color w:val="1E293B"/>
                <w:sz w:val="18"/>
              </w:rPr>
              <w:t>Slide 10</w:t>
            </w:r>
          </w:p>
        </w:tc>
        <w:tc>
          <w:tcPr>
            <w:tcW w:type="dxa" w:w="2592"/>
            <w:shd w:fill="F8FAFC"/>
            <w:tcMar>
              <w:top w:w="100" w:type="dxa"/>
              <w:bottom w:w="100" w:type="dxa"/>
              <w:left w:w="140" w:type="dxa"/>
              <w:right w:w="140" w:type="dxa"/>
            </w:tcMar>
          </w:tcPr>
          <w:p>
            <w:pPr>
              <w:jc w:val="left"/>
            </w:pPr>
            <w:r>
              <w:rPr>
                <w:color w:val="1E293B"/>
                <w:sz w:val="18"/>
              </w:rPr>
              <w:t>Strategic Roadmap &amp; Decision Gate</w:t>
            </w:r>
          </w:p>
        </w:tc>
        <w:tc>
          <w:tcPr>
            <w:tcW w:type="dxa" w:w="3600"/>
            <w:shd w:fill="F8FAFC"/>
            <w:tcMar>
              <w:top w:w="100" w:type="dxa"/>
              <w:bottom w:w="100" w:type="dxa"/>
              <w:left w:w="140" w:type="dxa"/>
              <w:right w:w="140" w:type="dxa"/>
            </w:tcMar>
          </w:tcPr>
          <w:p>
            <w:pPr>
              <w:jc w:val="left"/>
            </w:pPr>
            <w:r>
              <w:rPr>
                <w:color w:val="1E293B"/>
                <w:sz w:val="18"/>
              </w:rPr>
              <w:t>Phased 90-day rollout plan: Pilot, CRM integration, full automated scoring.</w:t>
            </w:r>
          </w:p>
        </w:tc>
        <w:tc>
          <w:tcPr>
            <w:tcW w:type="dxa" w:w="2016"/>
            <w:shd w:fill="F8FAFC"/>
            <w:tcMar>
              <w:top w:w="100" w:type="dxa"/>
              <w:bottom w:w="100" w:type="dxa"/>
              <w:left w:w="140" w:type="dxa"/>
              <w:right w:w="140" w:type="dxa"/>
            </w:tcMar>
          </w:tcPr>
          <w:p>
            <w:pPr>
              <w:jc w:val="left"/>
            </w:pPr>
            <w:r>
              <w:rPr>
                <w:color w:val="1E293B"/>
                <w:sz w:val="18"/>
              </w:rPr>
              <w:t>3-phase Gantt timeline &amp; sign-off gate.</w:t>
            </w:r>
          </w:p>
        </w:tc>
      </w:tr>
    </w:tbl>
    <w:p>
      <w:pPr>
        <w:spacing w:before="80" w:after="160"/>
      </w:pPr>
    </w:p>
    <w:p>
      <w:pPr>
        <w:keepNext/>
        <w:spacing w:before="240" w:after="80"/>
      </w:pPr>
      <w:r>
        <w:rPr>
          <w:b/>
          <w:color w:val="008080"/>
          <w:sz w:val="26"/>
        </w:rPr>
        <w:t>5.2 Executive Communication Guidelines: Do's and Don'ts</w:t>
      </w:r>
    </w:p>
    <w:p>
      <w:pPr>
        <w:pStyle w:val="ListBullet"/>
        <w:spacing w:after="80" w:line="276" w:lineRule="auto"/>
      </w:pPr>
      <w:r>
        <w:rPr>
          <w:b/>
          <w:color w:val="1B365D"/>
        </w:rPr>
        <w:t xml:space="preserve">DO Focus on Financial &amp; Strategic Impact: </w:t>
      </w:r>
      <w:r>
        <w:rPr>
          <w:color w:val="1E293B"/>
        </w:rPr>
        <w:t>Frame every analytical discovery in terms of protected revenue, customer lifetime value, and operational margin expansion.</w:t>
      </w:r>
    </w:p>
    <w:p>
      <w:pPr>
        <w:pStyle w:val="ListBullet"/>
        <w:spacing w:after="80" w:line="276" w:lineRule="auto"/>
      </w:pPr>
      <w:r>
        <w:rPr>
          <w:b/>
          <w:color w:val="1B365D"/>
        </w:rPr>
        <w:t xml:space="preserve">DO Use Intuitive Business Analogies: </w:t>
      </w:r>
      <w:r>
        <w:rPr>
          <w:color w:val="1E293B"/>
        </w:rPr>
        <w:t>Describe ROC-AUC as 'the model's ability to rank an at-risk subscriber above a happy subscriber 87 times out of 100.'</w:t>
      </w:r>
    </w:p>
    <w:p>
      <w:pPr>
        <w:pStyle w:val="ListBullet"/>
        <w:spacing w:after="80" w:line="276" w:lineRule="auto"/>
      </w:pPr>
      <w:r>
        <w:rPr>
          <w:b/>
          <w:color w:val="1B365D"/>
        </w:rPr>
        <w:t xml:space="preserve">DON'T Overwhelm with Algorithmic Mechanics: </w:t>
      </w:r>
      <w:r>
        <w:rPr>
          <w:color w:val="1E293B"/>
        </w:rPr>
        <w:t>Avoid lecturing the C-suite on Gini impurity, gradient boosting loss functions, or hyperparameter regularization math.</w:t>
      </w:r>
    </w:p>
    <w:p>
      <w:pPr>
        <w:pStyle w:val="ListBullet"/>
        <w:spacing w:after="80" w:line="276" w:lineRule="auto"/>
      </w:pPr>
      <w:r>
        <w:rPr>
          <w:b/>
          <w:color w:val="1B365D"/>
        </w:rPr>
        <w:t xml:space="preserve">DON'T Present Raw Accuracy Metrics: </w:t>
      </w:r>
      <w:r>
        <w:rPr>
          <w:color w:val="1E293B"/>
        </w:rPr>
        <w:t>Always clarify why an 80% accuracy score is deceptive in an imbalanced churn environment, using concrete cost examples.</w:t>
      </w:r>
    </w:p>
    <w:p>
      <w:pPr>
        <w:keepNext/>
        <w:spacing w:before="240" w:after="80"/>
      </w:pPr>
      <w:r>
        <w:rPr>
          <w:b/>
          <w:color w:val="008080"/>
          <w:sz w:val="26"/>
        </w:rPr>
        <w:t>5.3 Jargon-to-Plain-Language Translation Matrix</w:t>
      </w:r>
    </w:p>
    <w:p>
      <w:r>
        <w:t>To ensure seamless communication between data science teams and executive leadership, technical jargon must be translated into plain business terms:</w:t>
      </w:r>
    </w:p>
    <w:tbl>
      <w:tblPr>
        <w:tblW w:type="auto" w:w="0"/>
        <w:jc w:val="center"/>
        <w:tblLook w:firstColumn="1" w:firstRow="1" w:lastColumn="0" w:lastRow="0" w:noHBand="0" w:noVBand="1" w:val="04A0"/>
      </w:tblPr>
      <w:tblGrid>
        <w:gridCol w:w="3120"/>
        <w:gridCol w:w="3120"/>
        <w:gridCol w:w="3120"/>
      </w:tblGrid>
      <w:tr>
        <w:tc>
          <w:tcPr>
            <w:tcW w:type="dxa" w:w="2304"/>
            <w:shd w:fill="1B365D"/>
            <w:tcMar>
              <w:top w:w="120" w:type="dxa"/>
              <w:bottom w:w="120" w:type="dxa"/>
              <w:left w:w="140" w:type="dxa"/>
              <w:right w:w="140" w:type="dxa"/>
            </w:tcMar>
          </w:tcPr>
          <w:p>
            <w:pPr>
              <w:jc w:val="left"/>
            </w:pPr>
            <w:r>
              <w:rPr>
                <w:b/>
                <w:color w:val="FFFFFF"/>
                <w:sz w:val="19"/>
              </w:rPr>
              <w:t>Technical Machine Learning Term</w:t>
            </w:r>
          </w:p>
        </w:tc>
        <w:tc>
          <w:tcPr>
            <w:tcW w:type="dxa" w:w="2880"/>
            <w:shd w:fill="1B365D"/>
            <w:tcMar>
              <w:top w:w="120" w:type="dxa"/>
              <w:bottom w:w="120" w:type="dxa"/>
              <w:left w:w="140" w:type="dxa"/>
              <w:right w:w="140" w:type="dxa"/>
            </w:tcMar>
          </w:tcPr>
          <w:p>
            <w:pPr>
              <w:jc w:val="left"/>
            </w:pPr>
            <w:r>
              <w:rPr>
                <w:b/>
                <w:color w:val="FFFFFF"/>
                <w:sz w:val="19"/>
              </w:rPr>
              <w:t>Executive Plain-Language Translation</w:t>
            </w:r>
          </w:p>
        </w:tc>
        <w:tc>
          <w:tcPr>
            <w:tcW w:type="dxa" w:w="4176"/>
            <w:shd w:fill="1B365D"/>
            <w:tcMar>
              <w:top w:w="120" w:type="dxa"/>
              <w:bottom w:w="120" w:type="dxa"/>
              <w:left w:w="140" w:type="dxa"/>
              <w:right w:w="140" w:type="dxa"/>
            </w:tcMar>
          </w:tcPr>
          <w:p>
            <w:pPr>
              <w:jc w:val="left"/>
            </w:pPr>
            <w:r>
              <w:rPr>
                <w:b/>
                <w:color w:val="FFFFFF"/>
                <w:sz w:val="19"/>
              </w:rPr>
              <w:t>Business Context Example</w:t>
            </w:r>
          </w:p>
        </w:tc>
      </w:tr>
      <w:tr>
        <w:tc>
          <w:tcPr>
            <w:tcW w:type="dxa" w:w="2304"/>
            <w:shd w:fill="FFFFFF"/>
            <w:tcMar>
              <w:top w:w="100" w:type="dxa"/>
              <w:bottom w:w="100" w:type="dxa"/>
              <w:left w:w="140" w:type="dxa"/>
              <w:right w:w="140" w:type="dxa"/>
            </w:tcMar>
          </w:tcPr>
          <w:p>
            <w:pPr>
              <w:jc w:val="left"/>
            </w:pPr>
            <w:r>
              <w:rPr>
                <w:color w:val="1E293B"/>
                <w:sz w:val="18"/>
              </w:rPr>
              <w:t>ROC-AUC = 0.865</w:t>
            </w:r>
          </w:p>
        </w:tc>
        <w:tc>
          <w:tcPr>
            <w:tcW w:type="dxa" w:w="2880"/>
            <w:shd w:fill="FFFFFF"/>
            <w:tcMar>
              <w:top w:w="100" w:type="dxa"/>
              <w:bottom w:w="100" w:type="dxa"/>
              <w:left w:w="140" w:type="dxa"/>
              <w:right w:w="140" w:type="dxa"/>
            </w:tcMar>
          </w:tcPr>
          <w:p>
            <w:pPr>
              <w:jc w:val="left"/>
            </w:pPr>
            <w:r>
              <w:rPr>
                <w:color w:val="1E293B"/>
                <w:sz w:val="18"/>
              </w:rPr>
              <w:t>Discrimination Accuracy Score</w:t>
            </w:r>
          </w:p>
        </w:tc>
        <w:tc>
          <w:tcPr>
            <w:tcW w:type="dxa" w:w="4176"/>
            <w:shd w:fill="FFFFFF"/>
            <w:tcMar>
              <w:top w:w="100" w:type="dxa"/>
              <w:bottom w:w="100" w:type="dxa"/>
              <w:left w:w="140" w:type="dxa"/>
              <w:right w:w="140" w:type="dxa"/>
            </w:tcMar>
          </w:tcPr>
          <w:p>
            <w:pPr>
              <w:jc w:val="left"/>
            </w:pPr>
            <w:r>
              <w:rPr>
                <w:color w:val="1E293B"/>
                <w:sz w:val="18"/>
              </w:rPr>
              <w:t>'The model correctly ranks an at-risk customer ahead of a retained customer 86.5% of the time.'</w:t>
            </w:r>
          </w:p>
        </w:tc>
      </w:tr>
      <w:tr>
        <w:tc>
          <w:tcPr>
            <w:tcW w:type="dxa" w:w="2304"/>
            <w:shd w:fill="F8FAFC"/>
            <w:tcMar>
              <w:top w:w="100" w:type="dxa"/>
              <w:bottom w:w="100" w:type="dxa"/>
              <w:left w:w="140" w:type="dxa"/>
              <w:right w:w="140" w:type="dxa"/>
            </w:tcMar>
          </w:tcPr>
          <w:p>
            <w:pPr>
              <w:jc w:val="left"/>
            </w:pPr>
            <w:r>
              <w:rPr>
                <w:color w:val="1E293B"/>
                <w:sz w:val="18"/>
              </w:rPr>
              <w:t>Top Decile Recall = 73.4%</w:t>
            </w:r>
          </w:p>
        </w:tc>
        <w:tc>
          <w:tcPr>
            <w:tcW w:type="dxa" w:w="2880"/>
            <w:shd w:fill="F8FAFC"/>
            <w:tcMar>
              <w:top w:w="100" w:type="dxa"/>
              <w:bottom w:w="100" w:type="dxa"/>
              <w:left w:w="140" w:type="dxa"/>
              <w:right w:w="140" w:type="dxa"/>
            </w:tcMar>
          </w:tcPr>
          <w:p>
            <w:pPr>
              <w:jc w:val="left"/>
            </w:pPr>
            <w:r>
              <w:rPr>
                <w:color w:val="1E293B"/>
                <w:sz w:val="18"/>
              </w:rPr>
              <w:t>High-Risk Capture Rate</w:t>
            </w:r>
          </w:p>
        </w:tc>
        <w:tc>
          <w:tcPr>
            <w:tcW w:type="dxa" w:w="4176"/>
            <w:shd w:fill="F8FAFC"/>
            <w:tcMar>
              <w:top w:w="100" w:type="dxa"/>
              <w:bottom w:w="100" w:type="dxa"/>
              <w:left w:w="140" w:type="dxa"/>
              <w:right w:w="140" w:type="dxa"/>
            </w:tcMar>
          </w:tcPr>
          <w:p>
            <w:pPr>
              <w:jc w:val="left"/>
            </w:pPr>
            <w:r>
              <w:rPr>
                <w:color w:val="1E293B"/>
                <w:sz w:val="18"/>
              </w:rPr>
              <w:t>'Focusing on our top 20% highest-risk accounts successfully catches 73.4% of all future cancellations.'</w:t>
            </w:r>
          </w:p>
        </w:tc>
      </w:tr>
      <w:tr>
        <w:tc>
          <w:tcPr>
            <w:tcW w:type="dxa" w:w="2304"/>
            <w:shd w:fill="FFFFFF"/>
            <w:tcMar>
              <w:top w:w="100" w:type="dxa"/>
              <w:bottom w:w="100" w:type="dxa"/>
              <w:left w:w="140" w:type="dxa"/>
              <w:right w:w="140" w:type="dxa"/>
            </w:tcMar>
          </w:tcPr>
          <w:p>
            <w:pPr>
              <w:jc w:val="left"/>
            </w:pPr>
            <w:r>
              <w:rPr>
                <w:color w:val="1E293B"/>
                <w:sz w:val="18"/>
              </w:rPr>
              <w:t>Stratified 5-Fold Cross-Validation</w:t>
            </w:r>
          </w:p>
        </w:tc>
        <w:tc>
          <w:tcPr>
            <w:tcW w:type="dxa" w:w="2880"/>
            <w:shd w:fill="FFFFFF"/>
            <w:tcMar>
              <w:top w:w="100" w:type="dxa"/>
              <w:bottom w:w="100" w:type="dxa"/>
              <w:left w:w="140" w:type="dxa"/>
              <w:right w:w="140" w:type="dxa"/>
            </w:tcMar>
          </w:tcPr>
          <w:p>
            <w:pPr>
              <w:jc w:val="left"/>
            </w:pPr>
            <w:r>
              <w:rPr>
                <w:color w:val="1E293B"/>
                <w:sz w:val="18"/>
              </w:rPr>
              <w:t>Stress-Testing across Data Slices</w:t>
            </w:r>
          </w:p>
        </w:tc>
        <w:tc>
          <w:tcPr>
            <w:tcW w:type="dxa" w:w="4176"/>
            <w:shd w:fill="FFFFFF"/>
            <w:tcMar>
              <w:top w:w="100" w:type="dxa"/>
              <w:bottom w:w="100" w:type="dxa"/>
              <w:left w:w="140" w:type="dxa"/>
              <w:right w:w="140" w:type="dxa"/>
            </w:tcMar>
          </w:tcPr>
          <w:p>
            <w:pPr>
              <w:jc w:val="left"/>
            </w:pPr>
            <w:r>
              <w:rPr>
                <w:color w:val="1E293B"/>
                <w:sz w:val="18"/>
              </w:rPr>
              <w:t>'We validated the model across 5 independent customer segments to ensure it generalizes to future subscribers.'</w:t>
            </w:r>
          </w:p>
        </w:tc>
      </w:tr>
      <w:tr>
        <w:tc>
          <w:tcPr>
            <w:tcW w:type="dxa" w:w="2304"/>
            <w:shd w:fill="F8FAFC"/>
            <w:tcMar>
              <w:top w:w="100" w:type="dxa"/>
              <w:bottom w:w="100" w:type="dxa"/>
              <w:left w:w="140" w:type="dxa"/>
              <w:right w:w="140" w:type="dxa"/>
            </w:tcMar>
          </w:tcPr>
          <w:p>
            <w:pPr>
              <w:jc w:val="left"/>
            </w:pPr>
            <w:r>
              <w:rPr>
                <w:color w:val="1E293B"/>
                <w:sz w:val="18"/>
              </w:rPr>
              <w:t>SHAP Feature Attribution</w:t>
            </w:r>
          </w:p>
        </w:tc>
        <w:tc>
          <w:tcPr>
            <w:tcW w:type="dxa" w:w="2880"/>
            <w:shd w:fill="F8FAFC"/>
            <w:tcMar>
              <w:top w:w="100" w:type="dxa"/>
              <w:bottom w:w="100" w:type="dxa"/>
              <w:left w:w="140" w:type="dxa"/>
              <w:right w:w="140" w:type="dxa"/>
            </w:tcMar>
          </w:tcPr>
          <w:p>
            <w:pPr>
              <w:jc w:val="left"/>
            </w:pPr>
            <w:r>
              <w:rPr>
                <w:color w:val="1E293B"/>
                <w:sz w:val="18"/>
              </w:rPr>
              <w:t>Customer 'Why' Reason Codes</w:t>
            </w:r>
          </w:p>
        </w:tc>
        <w:tc>
          <w:tcPr>
            <w:tcW w:type="dxa" w:w="4176"/>
            <w:shd w:fill="F8FAFC"/>
            <w:tcMar>
              <w:top w:w="100" w:type="dxa"/>
              <w:bottom w:w="100" w:type="dxa"/>
              <w:left w:w="140" w:type="dxa"/>
              <w:right w:w="140" w:type="dxa"/>
            </w:tcMar>
          </w:tcPr>
          <w:p>
            <w:pPr>
              <w:jc w:val="left"/>
            </w:pPr>
            <w:r>
              <w:rPr>
                <w:color w:val="1E293B"/>
                <w:sz w:val="18"/>
              </w:rPr>
              <w:t>'The system provides frontline agents with the top 3 specific reasons a subscriber was flagged as at-risk.'</w:t>
            </w:r>
          </w:p>
        </w:tc>
      </w:tr>
      <w:tr>
        <w:tc>
          <w:tcPr>
            <w:tcW w:type="dxa" w:w="2304"/>
            <w:shd w:fill="FFFFFF"/>
            <w:tcMar>
              <w:top w:w="100" w:type="dxa"/>
              <w:bottom w:w="100" w:type="dxa"/>
              <w:left w:w="140" w:type="dxa"/>
              <w:right w:w="140" w:type="dxa"/>
            </w:tcMar>
          </w:tcPr>
          <w:p>
            <w:pPr>
              <w:jc w:val="left"/>
            </w:pPr>
            <w:r>
              <w:rPr>
                <w:color w:val="1E293B"/>
                <w:sz w:val="18"/>
              </w:rPr>
              <w:t>Cost-Weighted Threshold (p* = 0.36)</w:t>
            </w:r>
          </w:p>
        </w:tc>
        <w:tc>
          <w:tcPr>
            <w:tcW w:type="dxa" w:w="2880"/>
            <w:shd w:fill="FFFFFF"/>
            <w:tcMar>
              <w:top w:w="100" w:type="dxa"/>
              <w:bottom w:w="100" w:type="dxa"/>
              <w:left w:w="140" w:type="dxa"/>
              <w:right w:w="140" w:type="dxa"/>
            </w:tcMar>
          </w:tcPr>
          <w:p>
            <w:pPr>
              <w:jc w:val="left"/>
            </w:pPr>
            <w:r>
              <w:rPr>
                <w:color w:val="1E293B"/>
                <w:sz w:val="18"/>
              </w:rPr>
              <w:t>Profit-Maximizing Sensitivity Trigger</w:t>
            </w:r>
          </w:p>
        </w:tc>
        <w:tc>
          <w:tcPr>
            <w:tcW w:type="dxa" w:w="4176"/>
            <w:shd w:fill="FFFFFF"/>
            <w:tcMar>
              <w:top w:w="100" w:type="dxa"/>
              <w:bottom w:w="100" w:type="dxa"/>
              <w:left w:w="140" w:type="dxa"/>
              <w:right w:w="140" w:type="dxa"/>
            </w:tcMar>
          </w:tcPr>
          <w:p>
            <w:pPr>
              <w:jc w:val="left"/>
            </w:pPr>
            <w:r>
              <w:rPr>
                <w:color w:val="1E293B"/>
                <w:sz w:val="18"/>
              </w:rPr>
              <w:t>'We calibrated the model trigger so we never risk losing a $500 customer just to save a $35 retention offer.'</w:t>
            </w:r>
          </w:p>
        </w:tc>
      </w:tr>
      <w:tr>
        <w:tc>
          <w:tcPr>
            <w:tcW w:type="dxa" w:w="2304"/>
            <w:shd w:fill="F8FAFC"/>
            <w:tcMar>
              <w:top w:w="100" w:type="dxa"/>
              <w:bottom w:w="100" w:type="dxa"/>
              <w:left w:w="140" w:type="dxa"/>
              <w:right w:w="140" w:type="dxa"/>
            </w:tcMar>
          </w:tcPr>
          <w:p>
            <w:pPr>
              <w:jc w:val="left"/>
            </w:pPr>
            <w:r>
              <w:rPr>
                <w:color w:val="1E293B"/>
                <w:sz w:val="18"/>
              </w:rPr>
              <w:t>Population Stability Index (PSI)</w:t>
            </w:r>
          </w:p>
        </w:tc>
        <w:tc>
          <w:tcPr>
            <w:tcW w:type="dxa" w:w="2880"/>
            <w:shd w:fill="F8FAFC"/>
            <w:tcMar>
              <w:top w:w="100" w:type="dxa"/>
              <w:bottom w:w="100" w:type="dxa"/>
              <w:left w:w="140" w:type="dxa"/>
              <w:right w:w="140" w:type="dxa"/>
            </w:tcMar>
          </w:tcPr>
          <w:p>
            <w:pPr>
              <w:jc w:val="left"/>
            </w:pPr>
            <w:r>
              <w:rPr>
                <w:color w:val="1E293B"/>
                <w:sz w:val="18"/>
              </w:rPr>
              <w:t>Model Health &amp; Trend Drift Detector</w:t>
            </w:r>
          </w:p>
        </w:tc>
        <w:tc>
          <w:tcPr>
            <w:tcW w:type="dxa" w:w="4176"/>
            <w:shd w:fill="F8FAFC"/>
            <w:tcMar>
              <w:top w:w="100" w:type="dxa"/>
              <w:bottom w:w="100" w:type="dxa"/>
              <w:left w:w="140" w:type="dxa"/>
              <w:right w:w="140" w:type="dxa"/>
            </w:tcMar>
          </w:tcPr>
          <w:p>
            <w:pPr>
              <w:jc w:val="left"/>
            </w:pPr>
            <w:r>
              <w:rPr>
                <w:color w:val="1E293B"/>
                <w:sz w:val="18"/>
              </w:rPr>
              <w:t>'An automated alarm that alerts our engineers if customer behavior changes significantly over time.'</w:t>
            </w:r>
          </w:p>
        </w:tc>
      </w:tr>
    </w:tbl>
    <w:p>
      <w:pPr>
        <w:spacing w:before="80" w:after="160"/>
      </w:pPr>
    </w:p>
    <w:p>
      <w:pPr>
        <w:keepNext/>
        <w:spacing w:before="360" w:after="120"/>
      </w:pPr>
      <w:r>
        <w:rPr>
          <w:b/>
          <w:color w:val="1B365D"/>
          <w:sz w:val="32"/>
        </w:rPr>
        <w:t>6. Strategic Recommendations &amp; 90-Day Implementation Roadmap</w:t>
      </w:r>
    </w:p>
    <w:p>
      <w:r>
        <w:t>To ensure successful operational adoption and realize the projected $246,400 net ARR value creation, the deployment is structured into a disciplined 90-day phased execution roadmap:</w:t>
      </w:r>
    </w:p>
    <w:p>
      <w:pPr>
        <w:keepNext/>
        <w:spacing w:before="240" w:after="80"/>
      </w:pPr>
      <w:r>
        <w:rPr>
          <w:b/>
          <w:color w:val="008080"/>
          <w:sz w:val="26"/>
        </w:rPr>
        <w:t>6.1 Phase 1: Controlled Pilot &amp; CS Alignment (Days 1–30)</w:t>
      </w:r>
    </w:p>
    <w:p>
      <w:pPr>
        <w:pStyle w:val="ListBullet"/>
        <w:spacing w:after="80" w:line="276" w:lineRule="auto"/>
      </w:pPr>
      <w:r>
        <w:rPr>
          <w:b/>
          <w:color w:val="1B365D"/>
        </w:rPr>
        <w:t xml:space="preserve">Pilot Deployment: </w:t>
      </w:r>
      <w:r>
        <w:rPr>
          <w:color w:val="1E293B"/>
        </w:rPr>
        <w:t>Deploy daily batch scoring output to a 10-person dedicated Customer Success pilot squad.</w:t>
      </w:r>
    </w:p>
    <w:p>
      <w:pPr>
        <w:pStyle w:val="ListBullet"/>
        <w:spacing w:after="80" w:line="276" w:lineRule="auto"/>
      </w:pPr>
      <w:r>
        <w:rPr>
          <w:b/>
          <w:color w:val="1B365D"/>
        </w:rPr>
        <w:t xml:space="preserve">Surgical Targeting: </w:t>
      </w:r>
      <w:r>
        <w:rPr>
          <w:color w:val="1E293B"/>
        </w:rPr>
        <w:t>Target accounts falling into Risk Deciles 1 and 2 (top 20% risk), deploying personalized contract migration offers.</w:t>
      </w:r>
    </w:p>
    <w:p>
      <w:pPr>
        <w:pStyle w:val="ListBullet"/>
        <w:spacing w:after="80" w:line="276" w:lineRule="auto"/>
      </w:pPr>
      <w:r>
        <w:rPr>
          <w:b/>
          <w:color w:val="1B365D"/>
        </w:rPr>
        <w:t xml:space="preserve">Feedback Loop: </w:t>
      </w:r>
      <w:r>
        <w:rPr>
          <w:color w:val="1E293B"/>
        </w:rPr>
        <w:t>Track daily outreach logs, customer response rates, and intervention conversion efficiency to calibrate outreach messaging.</w:t>
      </w:r>
    </w:p>
    <w:p>
      <w:pPr>
        <w:keepNext/>
        <w:spacing w:before="240" w:after="80"/>
      </w:pPr>
      <w:r>
        <w:rPr>
          <w:b/>
          <w:color w:val="008080"/>
          <w:sz w:val="26"/>
        </w:rPr>
        <w:t>6.2 Phase 2: CRM &amp; Enterprise Systems Integration (Days 31–60)</w:t>
      </w:r>
    </w:p>
    <w:p>
      <w:pPr>
        <w:pStyle w:val="ListBullet"/>
        <w:spacing w:after="80" w:line="276" w:lineRule="auto"/>
      </w:pPr>
      <w:r>
        <w:rPr>
          <w:b/>
          <w:color w:val="1B365D"/>
        </w:rPr>
        <w:t xml:space="preserve">Automated Ingestion Pipeline: </w:t>
      </w:r>
      <w:r>
        <w:rPr>
          <w:color w:val="1E293B"/>
        </w:rPr>
        <w:t>Automate daily data ingestion from billing, usage, and ticketing databases via scheduled Airflow DAGs.</w:t>
      </w:r>
    </w:p>
    <w:p>
      <w:pPr>
        <w:pStyle w:val="ListBullet"/>
        <w:spacing w:after="80" w:line="276" w:lineRule="auto"/>
      </w:pPr>
      <w:r>
        <w:rPr>
          <w:b/>
          <w:color w:val="1B365D"/>
        </w:rPr>
        <w:t xml:space="preserve">CRM Native Integration: </w:t>
      </w:r>
      <w:r>
        <w:rPr>
          <w:color w:val="1E293B"/>
        </w:rPr>
        <w:t>Write churn risk probabilities and the top 3 localized SHAP drivers directly into Salesforce and HubSpot contact cards.</w:t>
      </w:r>
    </w:p>
    <w:p>
      <w:pPr>
        <w:pStyle w:val="ListBullet"/>
        <w:spacing w:after="80" w:line="276" w:lineRule="auto"/>
      </w:pPr>
      <w:r>
        <w:rPr>
          <w:b/>
          <w:color w:val="1B365D"/>
        </w:rPr>
        <w:t xml:space="preserve">Frontline Training: </w:t>
      </w:r>
      <w:r>
        <w:rPr>
          <w:color w:val="1E293B"/>
        </w:rPr>
        <w:t>Conduct mandatory enablement workshops for all customer success managers, teaching interpretation of risk scores.</w:t>
      </w:r>
    </w:p>
    <w:p>
      <w:pPr>
        <w:keepNext/>
        <w:spacing w:before="240" w:after="80"/>
      </w:pPr>
      <w:r>
        <w:rPr>
          <w:b/>
          <w:color w:val="008080"/>
          <w:sz w:val="26"/>
        </w:rPr>
        <w:t>6.3 Phase 3: Real-Time Serving &amp; Continuous MLOps (Days 61–90)</w:t>
      </w:r>
    </w:p>
    <w:p>
      <w:pPr>
        <w:pStyle w:val="ListBullet"/>
        <w:spacing w:after="80" w:line="276" w:lineRule="auto"/>
      </w:pPr>
      <w:r>
        <w:rPr>
          <w:b/>
          <w:color w:val="1B365D"/>
        </w:rPr>
        <w:t xml:space="preserve">Containerized REST API: </w:t>
      </w:r>
      <w:r>
        <w:rPr>
          <w:color w:val="1E293B"/>
        </w:rPr>
        <w:t>Launch the containerized FastAPI microservice delivering sub-50ms inference for web portal and customer care calls.</w:t>
      </w:r>
    </w:p>
    <w:p>
      <w:pPr>
        <w:pStyle w:val="ListBullet"/>
        <w:spacing w:after="80" w:line="276" w:lineRule="auto"/>
      </w:pPr>
      <w:r>
        <w:rPr>
          <w:b/>
          <w:color w:val="1B365D"/>
        </w:rPr>
        <w:t xml:space="preserve">Automated Drift Monitoring: </w:t>
      </w:r>
      <w:r>
        <w:rPr>
          <w:color w:val="1E293B"/>
        </w:rPr>
        <w:t>Deploy automated Population Stability Index (PSI) and Kolmogorov-Smirnov monitoring dashboards.</w:t>
      </w:r>
    </w:p>
    <w:p>
      <w:pPr>
        <w:pStyle w:val="ListBullet"/>
        <w:spacing w:after="80" w:line="276" w:lineRule="auto"/>
      </w:pPr>
      <w:r>
        <w:rPr>
          <w:b/>
          <w:color w:val="1B365D"/>
        </w:rPr>
        <w:t xml:space="preserve">Champion-Challenger Retraining: </w:t>
      </w:r>
      <w:r>
        <w:rPr>
          <w:color w:val="1E293B"/>
        </w:rPr>
        <w:t>Establish bi-monthly automated retraining schedules with 14-day shadow validation before production promotion.</w:t>
      </w:r>
    </w:p>
    <w:p>
      <w:pPr>
        <w:keepNext/>
        <w:spacing w:before="360" w:after="120"/>
      </w:pPr>
      <w:r>
        <w:rPr>
          <w:b/>
          <w:color w:val="1B365D"/>
          <w:sz w:val="32"/>
        </w:rPr>
        <w:t>7. Conclusion &amp; Long-Term Strategic Outlook</w:t>
      </w:r>
    </w:p>
    <w:p>
      <w:r>
        <w:t>This capstone report proves that an enterprise-grade, machine learning-powered predictive retention system delivers transformational operational and financial value to subscription telecommunications providers. By replacing slow, reactive damage-control processes with automated, probabilistic early warning signals 45 days in advance, the enterprise safeguards over $274,560 in Annual Recurring Revenue, captures 73.4% of all future churn events, and delivers an exceptional 875% program return on investment.</w:t>
      </w:r>
    </w:p>
    <w:p>
      <w:r>
        <w:t>The methodology, architectural flowcharts, and executive presentation framework established in this report provide a complete, scientifically sound, and boardroom-ready blueprint. Executive leadership is respectfully requested to approve the 90-day operational implementation roadmap and authorize Phase 1 pilot execution.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768D"/>
        <w:sz w:val="18"/>
      </w:rPr>
      <w:t>Virtual Data Science Explorer Internship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