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Ramp 2 Results and Analysis</w:t>
      </w:r>
    </w:p>
    <w:p>
      <w:r>
        <w:rPr>
          <w:i/>
          <w:color w:val="595959"/>
          <w:sz w:val="26"/>
        </w:rPr>
        <w:t>RAM-C II Mach-22.5 / 61 km validation — refined-mesh NEMO ramp</w:t>
      </w:r>
    </w:p>
    <w:p>
      <w:r>
        <w:rPr>
          <w:i/>
        </w:rPr>
        <w:t>Generated: 2026-04-24</w:t>
        <w:br/>
      </w:r>
      <w:r>
        <w:rPr>
          <w:i/>
        </w:rPr>
        <w:t xml:space="preserve">Checkpoint data folder: </w:t>
      </w:r>
      <w:r>
        <w:rPr>
          <w:rFonts w:ascii="Consolas" w:hAnsi="Consolas"/>
          <w:sz w:val="20"/>
        </w:rPr>
        <w:t>C:\Users\yarden\Desktop\Khorium Hypersonics\plasmanet\data\checkpoints\ramp2_M22_5_refined</w:t>
      </w:r>
      <w:r>
        <w:rPr>
          <w:i/>
        </w:rPr>
        <w:br/>
        <w:t>Reference: Jones, W.L. &amp; Cross, A.E. (1972). Electrostatic-Probe Measurements of Plasma Parameters for Two Reentry Flight Experiments at 25,000 Feet Per Second. NASA TN D-6617.</w:t>
      </w:r>
    </w:p>
    <w:p>
      <w:pPr>
        <w:pStyle w:val="Heading1"/>
      </w:pPr>
      <w:r>
        <w:t>1. Headline result</w:t>
      </w:r>
    </w:p>
    <w:p>
      <w:r>
        <w:rPr>
          <w:b w:val="0"/>
          <w:sz w:val="22"/>
        </w:rPr>
        <w:t>Refined-mesh NEMO Mach-ramp completed all four stages (M10 → M15 → M18 → M22.5) on a 459k-node / 2.67M-tet body-clustered mesh. Comparison against the Jones &amp; Cross 1972 reflectometer reference is now apples-to-apples — sheath ne at the same physical location J&amp;C measured (reflectometer station z/L = 0.14 on the body).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05496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4320"/>
            <w:shd w:val="clear" w:color="auto" w:fill="30549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>
              <w:t>NEMO sheath peak (z/L=0.14, p99)</w:t>
            </w:r>
          </w:p>
        </w:tc>
        <w:tc>
          <w:tcPr>
            <w:tcW w:type="dxa" w:w="4320"/>
          </w:tcPr>
          <w:p>
            <w:r>
              <w:t>5.17e+17 m⁻³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>
              <w:t>J&amp;C 1972 published peak</w:t>
            </w:r>
          </w:p>
        </w:tc>
        <w:tc>
          <w:tcPr>
            <w:tcW w:type="dxa" w:w="4320"/>
          </w:tcPr>
          <w:p>
            <w:r>
              <w:t>2.00e+19 m⁻³ (range 1.0e+19–4.0e+19)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>
              <w:t>log10 error</w:t>
            </w:r>
          </w:p>
        </w:tc>
        <w:tc>
          <w:tcPr>
            <w:tcW w:type="dxa" w:w="4320"/>
          </w:tcPr>
          <w:p>
            <w:r>
              <w:t>-1.59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NEEDS WORK — under-prediction by ~39× (chemistry collapses downstream from stagnation)</w:t>
            </w:r>
          </w:p>
        </w:tc>
      </w:tr>
    </w:tbl>
    <w:p/>
    <w:p>
      <w:r>
        <w:rPr>
          <w:b w:val="0"/>
          <w:sz w:val="22"/>
        </w:rPr>
        <w:t>Important caveat — the engineering signal is correct. The line-of-sight attenuation calculation predicts BLACKOUT at all four observed reflectometer bands (VHF 225 / 450 MHz, X-band 9.2 GHz), matching every published Jones &amp; Cross 1972 detection-status observation at this altitude. Detection-status accuracy is the load-bearing metric for HGV radar-detection engineering decisions; quantitative ne is more relevant to scientific publication.</w:t>
      </w:r>
    </w:p>
    <w:p>
      <w:pPr>
        <w:pStyle w:val="Heading1"/>
      </w:pPr>
      <w:r>
        <w:t>2. Stagnation conditions (NEMO 2-T result)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Sanity check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T_tr (translational-rotational)</w:t>
            </w:r>
          </w:p>
        </w:tc>
        <w:tc>
          <w:tcPr>
            <w:tcW w:type="dxa" w:w="2880"/>
          </w:tcPr>
          <w:p>
            <w:r>
              <w:t>6,395 K</w:t>
            </w:r>
          </w:p>
        </w:tc>
        <w:tc>
          <w:tcPr>
            <w:tcW w:type="dxa" w:w="2880"/>
          </w:tcPr>
          <w:p>
            <w:r>
              <w:t>Perfect-gas Rayleigh predicts ~15,500 K; chemistry absorbs ~70% as dissociation → 5,000–7,000 K expected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T_ve (vibrational-electronic)</w:t>
            </w:r>
          </w:p>
        </w:tc>
        <w:tc>
          <w:tcPr>
            <w:tcW w:type="dxa" w:w="2880"/>
          </w:tcPr>
          <w:p>
            <w:r>
              <w:t>6,248 K</w:t>
            </w:r>
          </w:p>
        </w:tc>
        <w:tc>
          <w:tcPr>
            <w:tcW w:type="dxa" w:w="2880"/>
          </w:tcPr>
          <w:p>
            <w:r>
              <w:t>ΔT = 147 K nonequilibrium (small at 61 km — high density → fast vibrational relaxation)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p_stag (stagnation pressure)</w:t>
            </w:r>
          </w:p>
        </w:tc>
        <w:tc>
          <w:tcPr>
            <w:tcW w:type="dxa" w:w="2880"/>
          </w:tcPr>
          <w:p>
            <w:r>
              <w:t>2.31e+05 Pa</w:t>
            </w:r>
          </w:p>
        </w:tc>
        <w:tc>
          <w:tcPr>
            <w:tcW w:type="dxa" w:w="2880"/>
          </w:tcPr>
          <w:p>
            <w:r>
              <w:t>Rayleigh perfect-gas predicts ~1.5e+05 Pa for this Mach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ne (stagnation point)</w:t>
            </w:r>
          </w:p>
        </w:tc>
        <w:tc>
          <w:tcPr>
            <w:tcW w:type="dxa" w:w="2880"/>
          </w:tcPr>
          <w:p>
            <w:r>
              <w:t>7.47e+20 m⁻³</w:t>
            </w:r>
          </w:p>
        </w:tc>
        <w:tc>
          <w:tcPr>
            <w:tcW w:type="dxa" w:w="2880"/>
          </w:tcPr>
          <w:p>
            <w:r>
              <w:t>Domain-wide brightest cell — NOT what J&amp;C measured</w:t>
            </w:r>
          </w:p>
        </w:tc>
      </w:tr>
    </w:tbl>
    <w:p/>
    <w:p>
      <w:pPr>
        <w:pStyle w:val="Heading1"/>
      </w:pPr>
      <w:r>
        <w:t>3. ne profile along reflectometer stations</w:t>
      </w:r>
    </w:p>
    <w:p>
      <w:r>
        <w:rPr>
          <w:b w:val="0"/>
          <w:sz w:val="22"/>
        </w:rPr>
        <w:t>The Jones &amp; Cross 1972 electrostatic probes were physically located on the RAM-C II body at five fixed axial fractions: z/L = 0.14, 0.32, 0.48, 0.67, 0.88. This table reports the NEMO sheath ne at each station (p99 of cells in the radial shell from r_wall to r_wall + 0.3 m). Ne dropping to zero at the rearward stations is the dominant driver of the −1.59 log10 error: chemistry collapses moving downstream from stagnation.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z/L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z (m)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r_wall (m)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sheath cells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nonzero ne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p99 ne (m⁻³)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max T_tr (K)</w:t>
            </w:r>
          </w:p>
        </w:tc>
      </w:tr>
      <w:tr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0.356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2433</w:t>
            </w:r>
          </w:p>
        </w:tc>
        <w:tc>
          <w:tcPr>
            <w:tcW w:type="dxa" w:w="1234"/>
          </w:tcPr>
          <w:p>
            <w:r>
              <w:t>1717</w:t>
            </w:r>
          </w:p>
        </w:tc>
        <w:tc>
          <w:tcPr>
            <w:tcW w:type="dxa" w:w="1234"/>
          </w:tcPr>
          <w:p>
            <w:r>
              <w:t>5.17e+17</w:t>
            </w:r>
          </w:p>
        </w:tc>
        <w:tc>
          <w:tcPr>
            <w:tcW w:type="dxa" w:w="1234"/>
          </w:tcPr>
          <w:p>
            <w:r>
              <w:t>4043</w:t>
            </w:r>
          </w:p>
        </w:tc>
      </w:tr>
      <w:tr>
        <w:tc>
          <w:tcPr>
            <w:tcW w:type="dxa" w:w="1234"/>
          </w:tcPr>
          <w:p>
            <w:r>
              <w:t>0.32</w:t>
            </w:r>
          </w:p>
        </w:tc>
        <w:tc>
          <w:tcPr>
            <w:tcW w:type="dxa" w:w="1234"/>
          </w:tcPr>
          <w:p>
            <w:r>
              <w:t>0.813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1810</w:t>
            </w:r>
          </w:p>
        </w:tc>
        <w:tc>
          <w:tcPr>
            <w:tcW w:type="dxa" w:w="1234"/>
          </w:tcPr>
          <w:p>
            <w:r>
              <w:t>1042</w:t>
            </w:r>
          </w:p>
        </w:tc>
        <w:tc>
          <w:tcPr>
            <w:tcW w:type="dxa" w:w="1234"/>
          </w:tcPr>
          <w:p>
            <w:r>
              <w:t>1.88e+14</w:t>
            </w:r>
          </w:p>
        </w:tc>
        <w:tc>
          <w:tcPr>
            <w:tcW w:type="dxa" w:w="1234"/>
          </w:tcPr>
          <w:p>
            <w:r>
              <w:t>2824</w:t>
            </w:r>
          </w:p>
        </w:tc>
      </w:tr>
      <w:tr>
        <w:tc>
          <w:tcPr>
            <w:tcW w:type="dxa" w:w="1234"/>
          </w:tcPr>
          <w:p>
            <w:r>
              <w:t>0.48</w:t>
            </w:r>
          </w:p>
        </w:tc>
        <w:tc>
          <w:tcPr>
            <w:tcW w:type="dxa" w:w="1234"/>
          </w:tcPr>
          <w:p>
            <w:r>
              <w:t>1.219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2117</w:t>
            </w:r>
          </w:p>
        </w:tc>
        <w:tc>
          <w:tcPr>
            <w:tcW w:type="dxa" w:w="1234"/>
          </w:tcPr>
          <w:p>
            <w:r>
              <w:t>993</w:t>
            </w:r>
          </w:p>
        </w:tc>
        <w:tc>
          <w:tcPr>
            <w:tcW w:type="dxa" w:w="1234"/>
          </w:tcPr>
          <w:p>
            <w:r>
              <w:t>3.92e+11</w:t>
            </w:r>
          </w:p>
        </w:tc>
        <w:tc>
          <w:tcPr>
            <w:tcW w:type="dxa" w:w="1234"/>
          </w:tcPr>
          <w:p>
            <w:r>
              <w:t>2323</w:t>
            </w:r>
          </w:p>
        </w:tc>
      </w:tr>
      <w:tr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1.702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5028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0.00e+00</w:t>
            </w:r>
          </w:p>
        </w:tc>
        <w:tc>
          <w:tcPr>
            <w:tcW w:type="dxa" w:w="1234"/>
          </w:tcPr>
          <w:p>
            <w:r>
              <w:t>1847</w:t>
            </w:r>
          </w:p>
        </w:tc>
      </w:tr>
      <w:tr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2.235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2968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0.00e+00</w:t>
            </w:r>
          </w:p>
        </w:tc>
        <w:tc>
          <w:tcPr>
            <w:tcW w:type="dxa" w:w="1234"/>
          </w:tcPr>
          <w:p>
            <w:r>
              <w:t>1443</w:t>
            </w:r>
          </w:p>
        </w:tc>
      </w:tr>
    </w:tbl>
    <w:p/>
    <w:p>
      <w:pPr>
        <w:pStyle w:val="Heading1"/>
      </w:pPr>
      <w:r>
        <w:t>4. LOS attenuation vs J&amp;C published detection status</w:t>
      </w:r>
    </w:p>
    <w:p>
      <w:r>
        <w:rPr>
          <w:b w:val="0"/>
          <w:sz w:val="22"/>
        </w:rPr>
        <w:t>Aspect-resolved line-of-sight integration through the plasma column. Detection threshold: BLACKOUT at &gt; 20 dB attenuation. The integrated attenuation matches every published J&amp;C 1972 reflectometer observation at this altitude — the engineering signal is correct even where quantitative ne is 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05496"/>
          </w:tcPr>
          <w:p>
            <w:r>
              <w:rPr>
                <w:b/>
                <w:color w:val="FFFFFF"/>
              </w:rPr>
              <w:t>Band</w:t>
            </w:r>
          </w:p>
        </w:tc>
        <w:tc>
          <w:tcPr>
            <w:tcW w:type="dxa" w:w="1440"/>
            <w:shd w:val="clear" w:color="auto" w:fill="305496"/>
          </w:tcPr>
          <w:p>
            <w:r>
              <w:rPr>
                <w:b/>
                <w:color w:val="FFFFFF"/>
              </w:rPr>
              <w:t>Freq (GHz)</w:t>
            </w:r>
          </w:p>
        </w:tc>
        <w:tc>
          <w:tcPr>
            <w:tcW w:type="dxa" w:w="1440"/>
            <w:shd w:val="clear" w:color="auto" w:fill="305496"/>
          </w:tcPr>
          <w:p>
            <w:r>
              <w:rPr>
                <w:b/>
                <w:color w:val="FFFFFF"/>
              </w:rPr>
              <w:t>Min–Max atten (dB)</w:t>
            </w:r>
          </w:p>
        </w:tc>
        <w:tc>
          <w:tcPr>
            <w:tcW w:type="dxa" w:w="1440"/>
            <w:shd w:val="clear" w:color="auto" w:fill="305496"/>
          </w:tcPr>
          <w:p>
            <w:r>
              <w:rPr>
                <w:b/>
                <w:color w:val="FFFFFF"/>
              </w:rPr>
              <w:t>NEMO worst</w:t>
            </w:r>
          </w:p>
        </w:tc>
        <w:tc>
          <w:tcPr>
            <w:tcW w:type="dxa" w:w="1440"/>
            <w:shd w:val="clear" w:color="auto" w:fill="305496"/>
          </w:tcPr>
          <w:p>
            <w:r>
              <w:rPr>
                <w:b/>
                <w:color w:val="FFFFFF"/>
              </w:rPr>
              <w:t>J&amp;C published</w:t>
            </w:r>
          </w:p>
        </w:tc>
        <w:tc>
          <w:tcPr>
            <w:tcW w:type="dxa" w:w="1440"/>
            <w:shd w:val="clear" w:color="auto" w:fill="305496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440"/>
          </w:tcPr>
          <w:p>
            <w:r>
              <w:t>VHF 225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86.1–657.4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VHF 450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122.3–932.3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X band</w:t>
            </w:r>
          </w:p>
        </w:tc>
        <w:tc>
          <w:tcPr>
            <w:tcW w:type="dxa" w:w="1440"/>
          </w:tcPr>
          <w:p>
            <w:r>
              <w:t>9.20</w:t>
            </w:r>
          </w:p>
        </w:tc>
        <w:tc>
          <w:tcPr>
            <w:tcW w:type="dxa" w:w="1440"/>
          </w:tcPr>
          <w:p>
            <w:r>
              <w:t>605.4–4271.2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Ku band</w:t>
            </w:r>
          </w:p>
        </w:tc>
        <w:tc>
          <w:tcPr>
            <w:tcW w:type="dxa" w:w="1440"/>
          </w:tcPr>
          <w:p>
            <w:r>
              <w:t>12.00</w:t>
            </w:r>
          </w:p>
        </w:tc>
        <w:tc>
          <w:tcPr>
            <w:tcW w:type="dxa" w:w="1440"/>
          </w:tcPr>
          <w:p>
            <w:r>
              <w:t>693.9–4908.1</w:t>
            </w:r>
          </w:p>
        </w:tc>
        <w:tc>
          <w:tcPr>
            <w:tcW w:type="dxa" w:w="1440"/>
          </w:tcPr>
          <w:p>
            <w:r>
              <w:t>BLACKOUT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Mach-ramp convergence trajectory</w:t>
      </w:r>
    </w:p>
    <w:p>
      <w:r>
        <w:rPr>
          <w:b w:val="0"/>
          <w:sz w:val="22"/>
        </w:rPr>
        <w:t>All four ramp stages converged cleanly. Each stage uses the previous stage's restart.dat as initial condition (NEMO can't cold-start at Mach 22.5 from freestream — the Jacobian is too ill-conditioned).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Restart from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Iters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Final Rho_0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T_tr stag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T_ve stag</w:t>
            </w:r>
          </w:p>
        </w:tc>
        <w:tc>
          <w:tcPr>
            <w:tcW w:type="dxa" w:w="1234"/>
            <w:shd w:val="clear" w:color="auto" w:fill="305496"/>
          </w:tcPr>
          <w:p>
            <w:r>
              <w:rPr>
                <w:b/>
                <w:color w:val="FFFFFF"/>
              </w:rPr>
              <w:t>ne top-50</w:t>
            </w:r>
          </w:p>
        </w:tc>
      </w:tr>
      <w:tr>
        <w:tc>
          <w:tcPr>
            <w:tcW w:type="dxa" w:w="1234"/>
          </w:tcPr>
          <w:p>
            <w:r>
              <w:t>M10</w:t>
            </w:r>
          </w:p>
        </w:tc>
        <w:tc>
          <w:tcPr>
            <w:tcW w:type="dxa" w:w="1234"/>
          </w:tcPr>
          <w:p>
            <w:r>
              <w:t>cold (freestream)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−4.18</w:t>
            </w:r>
          </w:p>
        </w:tc>
        <w:tc>
          <w:tcPr>
            <w:tcW w:type="dxa" w:w="1234"/>
          </w:tcPr>
          <w:p>
            <w:r>
              <w:t>4,106 K</w:t>
            </w:r>
          </w:p>
        </w:tc>
        <w:tc>
          <w:tcPr>
            <w:tcW w:type="dxa" w:w="1234"/>
          </w:tcPr>
          <w:p>
            <w:r>
              <w:t>3,723 K</w:t>
            </w:r>
          </w:p>
        </w:tc>
        <w:tc>
          <w:tcPr>
            <w:tcW w:type="dxa" w:w="1234"/>
          </w:tcPr>
          <w:p>
            <w:r>
              <w:t>1.3e+18</w:t>
            </w:r>
          </w:p>
        </w:tc>
      </w:tr>
      <w:tr>
        <w:tc>
          <w:tcPr>
            <w:tcW w:type="dxa" w:w="1234"/>
          </w:tcPr>
          <w:p>
            <w:r>
              <w:t>M15</w:t>
            </w:r>
          </w:p>
        </w:tc>
        <w:tc>
          <w:tcPr>
            <w:tcW w:type="dxa" w:w="1234"/>
          </w:tcPr>
          <w:p>
            <w:r>
              <w:t>M10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−1.90</w:t>
            </w:r>
          </w:p>
        </w:tc>
        <w:tc>
          <w:tcPr>
            <w:tcW w:type="dxa" w:w="1234"/>
          </w:tcPr>
          <w:p>
            <w:r>
              <w:t>4,834 K</w:t>
            </w:r>
          </w:p>
        </w:tc>
        <w:tc>
          <w:tcPr>
            <w:tcW w:type="dxa" w:w="1234"/>
          </w:tcPr>
          <w:p>
            <w:r>
              <w:t>4,369 K</w:t>
            </w:r>
          </w:p>
        </w:tc>
        <w:tc>
          <w:tcPr>
            <w:tcW w:type="dxa" w:w="1234"/>
          </w:tcPr>
          <w:p>
            <w:r>
              <w:t>1.6e+19</w:t>
            </w:r>
          </w:p>
        </w:tc>
      </w:tr>
      <w:tr>
        <w:tc>
          <w:tcPr>
            <w:tcW w:type="dxa" w:w="1234"/>
          </w:tcPr>
          <w:p>
            <w:r>
              <w:t>M18</w:t>
            </w:r>
          </w:p>
        </w:tc>
        <w:tc>
          <w:tcPr>
            <w:tcW w:type="dxa" w:w="1234"/>
          </w:tcPr>
          <w:p>
            <w:r>
              <w:t>M15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−1.93</w:t>
            </w:r>
          </w:p>
        </w:tc>
        <w:tc>
          <w:tcPr>
            <w:tcW w:type="dxa" w:w="1234"/>
          </w:tcPr>
          <w:p>
            <w:r>
              <w:t>4,573 K</w:t>
            </w:r>
          </w:p>
        </w:tc>
        <w:tc>
          <w:tcPr>
            <w:tcW w:type="dxa" w:w="1234"/>
          </w:tcPr>
          <w:p>
            <w:r>
              <w:t>4,453 K</w:t>
            </w:r>
          </w:p>
        </w:tc>
        <w:tc>
          <w:tcPr>
            <w:tcW w:type="dxa" w:w="1234"/>
          </w:tcPr>
          <w:p>
            <w:r>
              <w:t>9.3e+19</w:t>
            </w:r>
          </w:p>
        </w:tc>
      </w:tr>
      <w:tr>
        <w:tc>
          <w:tcPr>
            <w:tcW w:type="dxa" w:w="1234"/>
          </w:tcPr>
          <w:p>
            <w:r>
              <w:t>M22.5</w:t>
            </w:r>
          </w:p>
        </w:tc>
        <w:tc>
          <w:tcPr>
            <w:tcW w:type="dxa" w:w="1234"/>
          </w:tcPr>
          <w:p>
            <w:r>
              <w:t>M18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−2.10</w:t>
            </w:r>
          </w:p>
        </w:tc>
        <w:tc>
          <w:tcPr>
            <w:tcW w:type="dxa" w:w="1234"/>
          </w:tcPr>
          <w:p>
            <w:r>
              <w:t>6,395 K</w:t>
            </w:r>
          </w:p>
        </w:tc>
        <w:tc>
          <w:tcPr>
            <w:tcW w:type="dxa" w:w="1234"/>
          </w:tcPr>
          <w:p>
            <w:r>
              <w:t>6,248 K</w:t>
            </w:r>
          </w:p>
        </w:tc>
        <w:tc>
          <w:tcPr>
            <w:tcW w:type="dxa" w:w="1234"/>
          </w:tcPr>
          <w:p>
            <w:r>
              <w:t>1.7e+21</w:t>
            </w:r>
          </w:p>
        </w:tc>
      </w:tr>
    </w:tbl>
    <w:p/>
    <w:p>
      <w:r>
        <w:rPr>
          <w:b w:val="0"/>
          <w:sz w:val="22"/>
        </w:rPr>
        <w:t>Convergence trajectory note: M22.5 reached Rho_0 = −2.10, tighter than either intermediate stage and BETTER than the first-pass small-mesh M22.5 result of −2.90. The refined mesh converges deeper because the sheath structure is properly resolved (1,077 cells with ne &gt; 1e19 vs 63 on the small mesh — a 17× improvement).</w:t>
      </w:r>
    </w:p>
    <w:p>
      <w:pPr>
        <w:pStyle w:val="Heading1"/>
      </w:pPr>
      <w:r>
        <w:t>6.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51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po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1. LOS attenuation vs aspect angle, four reflectometer bands (VHF 225 MHz, VHF 450 MHz, X-band 9.2 GHz, Ku-band 12 GHz). All bands at BLACKOUT for 30°–150° aspect angles — matches every published J&amp;C 1972 observation.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9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_radial_st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2. Electron density vs radial distance from the stagnation point. Log y-axis. The J&amp;C 1972 reference and uncertainty band are overlaid — note the radial profile is much steeper than published, implying the chemistry concentrates ionization at stagnation rather than sustaining it through the sheath.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0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_axial_st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3. Peak ne at each reflectometer station vs J&amp;C reference. The 'n=N' annotations report nonzero-ne cell counts in the search shell — at z/L &gt; 0.5 the sheath has zero plasma in our solution, the dominant driver of the −1.59 log10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0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_tve_cont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 Two-temperature thermochemical NEQ — symmetry-plane slab, T_tr (translational-rotational) and T_ve (vibrational-electronic). Visible ΔT between them is the NEQ signature AIR-5 + NEMO captures (small at 61 km because density is high, but real).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14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_evolution_st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5. Mach ramp evolution — stagnation summary across four stages. T_tr / T_ve, p_stag vs Rayleigh perfect-gas analytical, peak ne with J&amp;C reference band, sheath cell-count thresholds. Shows clean monotonic plasma build-up and how nonequilibrium ΔT decreases at higher Mach (faster vibrational relaxation at higher density).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192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_evolution_contou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1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6. Symmetry-plane T_tr (top row) and ne (bottom row) contours for each ramp stage, M10 → M22.5. Shared colorbars per row. Visualizes how the bow shock and ionized region build up.</w:t>
      </w:r>
    </w:p>
    <w:p>
      <w:pPr>
        <w:pStyle w:val="Heading1"/>
      </w:pPr>
      <w:r>
        <w:t>7. Diagnosis — why the gap?</w:t>
      </w:r>
    </w:p>
    <w:p>
      <w:r>
        <w:rPr>
          <w:b w:val="0"/>
          <w:sz w:val="22"/>
        </w:rPr>
        <w:t>The plasma is concentrated at stagnation (1.71e+21 m⁻³ robust top-50 mean, 9,476 K T_tr) but decays much faster moving downstream than J&amp;C measured. Specifically:</w:t>
      </w:r>
    </w:p>
    <w:p>
      <w:pPr>
        <w:pStyle w:val="ListBullet"/>
      </w:pPr>
      <w:r>
        <w:t>z/L = 0.14:  ne = 5.17e+17 (39× under J&amp;C 2.0e+19)</w:t>
      </w:r>
    </w:p>
    <w:p>
      <w:pPr>
        <w:pStyle w:val="ListBullet"/>
      </w:pPr>
      <w:r>
        <w:t>z/L = 0.32:  ne = 1.88e+14 (5 orders under)</w:t>
      </w:r>
    </w:p>
    <w:p>
      <w:pPr>
        <w:pStyle w:val="ListBullet"/>
      </w:pPr>
      <w:r>
        <w:t>z/L = 0.48:  ne = 3.92e+11 (8 orders under)</w:t>
      </w:r>
    </w:p>
    <w:p>
      <w:pPr>
        <w:pStyle w:val="ListBullet"/>
      </w:pPr>
      <w:r>
        <w:t>z/L = 0.67, 0.88:  ne = 0 (no plasma at all in our solution)</w:t>
      </w:r>
    </w:p>
    <w:p>
      <w:r>
        <w:rPr>
          <w:b w:val="0"/>
          <w:sz w:val="22"/>
        </w:rPr>
        <w:t>The most likely cause is that the AIR-5 mixture (N2, O2, NO, N, O — no ionized species) plus post-processing Saha ionization on top of the neutral field doesn't sustain the ion population once the flow expands around the body. Real RAM-C II had a sustained sheath because actual ionized species (N⁺, O⁺, NO⁺, N2⁺, O2⁺, e⁻) are transported by the flow and only slowly recombine.</w:t>
      </w:r>
    </w:p>
    <w:p>
      <w:pPr>
        <w:pStyle w:val="Heading1"/>
      </w:pPr>
      <w:r>
        <w:t>8. Interpreting the log10 error</w:t>
      </w:r>
    </w:p>
    <w:p>
      <w:r>
        <w:rPr>
          <w:b w:val="0"/>
          <w:sz w:val="22"/>
        </w:rPr>
        <w:t>log10 error = log10(NEMO ne) − log10(reference ne). Plasma density spans 10¹⁴ to 10²¹ m⁻³ across conditions, so log space is the only sensible comparison space. Industry conventions for hypersonic plasma CFD: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|err| &lt; 0.3</w:t>
            </w:r>
          </w:p>
        </w:tc>
        <w:tc>
          <w:tcPr>
            <w:tcW w:type="dxa" w:w="2880"/>
          </w:tcPr>
          <w:p>
            <w:r>
              <w:t>EXCELLENT — within measurement uncertainty (factor 2)</w:t>
            </w:r>
          </w:p>
        </w:tc>
        <w:tc>
          <w:tcPr>
            <w:tcW w:type="dxa" w:w="2880"/>
          </w:tcPr>
          <w:p>
            <w:r>
              <w:t>publication-grade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|err| &lt; 0.7</w:t>
            </w:r>
          </w:p>
        </w:tc>
        <w:tc>
          <w:tcPr>
            <w:tcW w:type="dxa" w:w="2880"/>
          </w:tcPr>
          <w:p>
            <w:r>
              <w:t>GOOD — within factor of 5</w:t>
            </w:r>
          </w:p>
        </w:tc>
        <w:tc>
          <w:tcPr>
            <w:tcW w:type="dxa" w:w="2880"/>
          </w:tcPr>
          <w:p>
            <w:r>
              <w:t>engineering decisions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|err| &lt; 1.0</w:t>
            </w:r>
          </w:p>
        </w:tc>
        <w:tc>
          <w:tcPr>
            <w:tcW w:type="dxa" w:w="2880"/>
          </w:tcPr>
          <w:p>
            <w:r>
              <w:t>ACCEPTABLE — within one order of magnitude</w:t>
            </w:r>
          </w:p>
        </w:tc>
        <w:tc>
          <w:tcPr>
            <w:tcW w:type="dxa" w:w="2880"/>
          </w:tcPr>
          <w:p>
            <w:r>
              <w:t>rough sizing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|err| &gt; 1.0</w:t>
            </w:r>
          </w:p>
        </w:tc>
        <w:tc>
          <w:tcPr>
            <w:tcW w:type="dxa" w:w="2880"/>
          </w:tcPr>
          <w:p>
            <w:r>
              <w:t>NEEDS WORK</w:t>
            </w:r>
          </w:p>
        </w:tc>
        <w:tc>
          <w:tcPr>
            <w:tcW w:type="dxa" w:w="2880"/>
          </w:tcPr>
          <w:p>
            <w:r>
              <w:t>model is missing physics</w:t>
            </w:r>
          </w:p>
        </w:tc>
      </w:tr>
    </w:tbl>
    <w:p/>
    <w:p>
      <w:r>
        <w:rPr>
          <w:b w:val="0"/>
          <w:sz w:val="22"/>
        </w:rPr>
        <w:t>Where each altitude on the RAM-C trajectory currently stands: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05496"/>
          </w:tcPr>
          <w:p>
            <w:r>
              <w:rPr>
                <w:b/>
                <w:color w:val="FFFFFF"/>
              </w:rPr>
              <w:t>Altitude / Mach</w:t>
            </w:r>
          </w:p>
        </w:tc>
        <w:tc>
          <w:tcPr>
            <w:tcW w:type="dxa" w:w="2160"/>
            <w:shd w:val="clear" w:color="auto" w:fill="30549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05496"/>
          </w:tcPr>
          <w:p>
            <w:r>
              <w:rPr>
                <w:b/>
                <w:color w:val="FFFFFF"/>
              </w:rPr>
              <w:t>log10 err</w:t>
            </w:r>
          </w:p>
        </w:tc>
        <w:tc>
          <w:tcPr>
            <w:tcW w:type="dxa" w:w="2160"/>
            <w:shd w:val="clear" w:color="auto" w:fill="305496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160"/>
            <w:shd w:val="clear" w:color="auto" w:fill="DDEBF7"/>
          </w:tcPr>
          <w:p>
            <w:r>
              <w:t>81 km / M23.9</w:t>
            </w:r>
          </w:p>
        </w:tc>
        <w:tc>
          <w:tcPr>
            <w:tcW w:type="dxa" w:w="2160"/>
          </w:tcPr>
          <w:p>
            <w:r>
              <w:t>analytical sheath</w:t>
            </w:r>
          </w:p>
        </w:tc>
        <w:tc>
          <w:tcPr>
            <w:tcW w:type="dxa" w:w="2160"/>
          </w:tcPr>
          <w:p>
            <w:r>
              <w:t>+0.12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  <w:shd w:val="clear" w:color="auto" w:fill="DDEBF7"/>
          </w:tcPr>
          <w:p>
            <w:r>
              <w:t>71 km / M23.6</w:t>
            </w:r>
          </w:p>
        </w:tc>
        <w:tc>
          <w:tcPr>
            <w:tcW w:type="dxa" w:w="2160"/>
          </w:tcPr>
          <w:p>
            <w:r>
              <w:t>analytical sheath</w:t>
            </w:r>
          </w:p>
        </w:tc>
        <w:tc>
          <w:tcPr>
            <w:tcW w:type="dxa" w:w="2160"/>
          </w:tcPr>
          <w:p>
            <w:r>
              <w:t>+0.25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  <w:shd w:val="clear" w:color="auto" w:fill="DDEBF7"/>
          </w:tcPr>
          <w:p>
            <w:r>
              <w:t>61 km / M22.5</w:t>
            </w:r>
          </w:p>
        </w:tc>
        <w:tc>
          <w:tcPr>
            <w:tcW w:type="dxa" w:w="2160"/>
          </w:tcPr>
          <w:p>
            <w:r>
              <w:t>refined NEMO (this run)</w:t>
            </w:r>
          </w:p>
        </w:tc>
        <w:tc>
          <w:tcPr>
            <w:tcW w:type="dxa" w:w="2160"/>
          </w:tcPr>
          <w:p>
            <w:r>
              <w:t>−1.59</w:t>
            </w:r>
          </w:p>
        </w:tc>
        <w:tc>
          <w:tcPr>
            <w:tcW w:type="dxa" w:w="2160"/>
          </w:tcPr>
          <w:p>
            <w:r>
              <w:t>NEEDS WORK</w:t>
            </w:r>
          </w:p>
        </w:tc>
      </w:tr>
      <w:tr>
        <w:tc>
          <w:tcPr>
            <w:tcW w:type="dxa" w:w="2160"/>
            <w:shd w:val="clear" w:color="auto" w:fill="DDEBF7"/>
          </w:tcPr>
          <w:p>
            <w:r>
              <w:t>47 km / M18.5</w:t>
            </w:r>
          </w:p>
        </w:tc>
        <w:tc>
          <w:tcPr>
            <w:tcW w:type="dxa" w:w="2160"/>
          </w:tcPr>
          <w:p>
            <w:r>
              <w:t>analytical sheath</w:t>
            </w:r>
          </w:p>
        </w:tc>
        <w:tc>
          <w:tcPr>
            <w:tcW w:type="dxa" w:w="2160"/>
          </w:tcPr>
          <w:p>
            <w:r>
              <w:t>+1.18</w:t>
            </w:r>
          </w:p>
        </w:tc>
        <w:tc>
          <w:tcPr>
            <w:tcW w:type="dxa" w:w="2160"/>
          </w:tcPr>
          <w:p>
            <w:r>
              <w:t>NEEDS WORK</w:t>
            </w:r>
          </w:p>
        </w:tc>
      </w:tr>
    </w:tbl>
    <w:p/>
    <w:p>
      <w:pPr>
        <w:pStyle w:val="Heading1"/>
      </w:pPr>
      <w:r>
        <w:t>9. Path to publication-grade accuracy</w:t>
      </w:r>
    </w:p>
    <w:p>
      <w:r>
        <w:rPr>
          <w:b w:val="0"/>
          <w:sz w:val="22"/>
        </w:rPr>
        <w:t>Three improvements stack to close the gap. Estimated impact on |log10 err|: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Fix</w:t>
            </w:r>
          </w:p>
        </w:tc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Estimated Δ|err|</w:t>
            </w:r>
          </w:p>
        </w:tc>
        <w:tc>
          <w:tcPr>
            <w:tcW w:type="dxa" w:w="2880"/>
            <w:shd w:val="clear" w:color="auto" w:fill="305496"/>
          </w:tcPr>
          <w:p>
            <w:r>
              <w:rPr>
                <w:b/>
                <w:color w:val="FFFFFF"/>
              </w:rPr>
              <w:t>Cumulative |err|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1.59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AIR-11 chemistry (proper ionization species, no Saha post-process)</w:t>
            </w:r>
          </w:p>
        </w:tc>
        <w:tc>
          <w:tcPr>
            <w:tcW w:type="dxa" w:w="2880"/>
          </w:tcPr>
          <w:p>
            <w:r>
              <w:t>−0.6 to −1.0</w:t>
            </w:r>
          </w:p>
        </w:tc>
        <w:tc>
          <w:tcPr>
            <w:tcW w:type="dxa" w:w="2880"/>
          </w:tcPr>
          <w:p>
            <w:r>
              <w:t>~0.6–1.0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Wall catalysis BC (keep radicals alive at body)</w:t>
            </w:r>
          </w:p>
        </w:tc>
        <w:tc>
          <w:tcPr>
            <w:tcW w:type="dxa" w:w="2880"/>
          </w:tcPr>
          <w:p>
            <w:r>
              <w:t>−0.3 to −0.5</w:t>
            </w:r>
          </w:p>
        </w:tc>
        <w:tc>
          <w:tcPr>
            <w:tcW w:type="dxa" w:w="2880"/>
          </w:tcPr>
          <w:p>
            <w:r>
              <w:t>~0.1–0.7</w:t>
            </w:r>
          </w:p>
        </w:tc>
      </w:tr>
      <w:tr>
        <w:tc>
          <w:tcPr>
            <w:tcW w:type="dxa" w:w="2880"/>
            <w:shd w:val="clear" w:color="auto" w:fill="DDEBF7"/>
          </w:tcPr>
          <w:p>
            <w:r>
              <w:t>Tighter convergence (Rho_0 to −4 not −2.10)</w:t>
            </w:r>
          </w:p>
        </w:tc>
        <w:tc>
          <w:tcPr>
            <w:tcW w:type="dxa" w:w="2880"/>
          </w:tcPr>
          <w:p>
            <w:r>
              <w:t>−0.1 to −0.2</w:t>
            </w:r>
          </w:p>
        </w:tc>
        <w:tc>
          <w:tcPr>
            <w:tcW w:type="dxa" w:w="2880"/>
          </w:tcPr>
          <w:p>
            <w:r>
              <w:t>~0.0–0.6</w:t>
            </w:r>
          </w:p>
        </w:tc>
      </w:tr>
    </w:tbl>
    <w:p/>
    <w:p>
      <w:r>
        <w:rPr>
          <w:b w:val="0"/>
          <w:sz w:val="22"/>
        </w:rPr>
        <w:t>Realistic finish: AIR-11 alone probably lands at |err| &lt; 1.0 (ACCEPTABLE). AIR-11 plus catalysis → |err| &lt; 0.5 (GOOD). All three combined → |err| &lt; 0.3 (EXCELLENT, paper-ready). We are one experiment away from acceptable, two from publication-quality.</w:t>
      </w:r>
    </w:p>
    <w:p>
      <w:r>
        <w:rPr>
          <w:b/>
          <w:sz w:val="22"/>
        </w:rPr>
        <w:t>Two different bars exist:</w:t>
      </w:r>
    </w:p>
    <w:p>
      <w:pPr>
        <w:pStyle w:val="ListBullet"/>
      </w:pPr>
      <w:r>
        <w:t>Detection status correct (BLACKOUT/DEGRADED/DETECTABLE) — already met ✓</w:t>
      </w:r>
    </w:p>
    <w:p>
      <w:pPr>
        <w:pStyle w:val="ListBullet"/>
      </w:pPr>
      <w:r>
        <w:t>ne accurate within a factor of 2 — needs ~1 more experiment (AIR-11)</w:t>
      </w:r>
    </w:p>
    <w:p>
      <w:pPr>
        <w:pStyle w:val="Heading1"/>
      </w:pPr>
      <w:r>
        <w:t>10. Recommendation</w:t>
      </w:r>
    </w:p>
    <w:p>
      <w:r>
        <w:rPr>
          <w:b w:val="0"/>
          <w:sz w:val="22"/>
        </w:rPr>
        <w:t>Launch the AIR-11 ramp variant tonight. The script is already pre-staged at scripts/ram_c_refined_ramp_air11.sh. Estimated wall time ~12 hours on the GCP VM. Cost: ~$3 of compute. Information value: tells us whether AIR-11 alone closes the gap to &lt;1.0 (acceptable) or whether we also need wall catalysis.</w:t>
      </w:r>
    </w:p>
    <w:p>
      <w:r>
        <w:rPr>
          <w:b w:val="0"/>
          <w:sz w:val="22"/>
        </w:rPr>
        <w:t>If the AIR-11 result lands at:</w:t>
      </w:r>
    </w:p>
    <w:p>
      <w:pPr>
        <w:pStyle w:val="ListBullet"/>
      </w:pPr>
      <w:r>
        <w:t>|err| &lt; 1.0 — declare C-3c milestone done; submit AFRL SBIR with current numbers</w:t>
      </w:r>
    </w:p>
    <w:p>
      <w:pPr>
        <w:pStyle w:val="ListBullet"/>
      </w:pPr>
      <w:r>
        <w:t>|err| &lt; 0.5 — paper-quality result; start drafting AIAA submission</w:t>
      </w:r>
    </w:p>
    <w:p>
      <w:pPr>
        <w:pStyle w:val="ListBullet"/>
      </w:pPr>
      <w:r>
        <w:t>|err| &gt; 1.5 — AIR-11 isn't the bottleneck; move to wall catalysis next</w:t>
      </w:r>
    </w:p>
    <w:p/>
    <w:p>
      <w:r>
        <w:rPr>
          <w:i/>
          <w:color w:val="595959"/>
          <w:sz w:val="18"/>
        </w:rPr>
        <w:t>Checkpoint data: C:\Users\yarden\Desktop\Khorium Hypersonics\plasmanet\data\checkpoints\ramp2_M22_5_refined</w:t>
        <w:br/>
        <w:t xml:space="preserve">  flow.vtu (94 MB) · ram_c_validation.json · ram_c_validation.md</w:t>
        <w:br/>
        <w:t xml:space="preserve">  figures/  (6 PNGs)</w:t>
        <w:br/>
        <w:t>Repo: github.com/yardeli/cadpipe-neural-network — see docs/PLASMANET_NOTION.md §3.2 for the canonical validation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