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buglist assistant 使用说明</w:t>
      </w:r>
    </w:p>
    <w:p>
      <w:pPr>
        <w:keepNext/>
        <w:spacing w:after="140"/>
        <w:shd w:fill="EAF0F6"/>
      </w:pPr>
      <w:r>
        <w:rPr>
          <w:rFonts w:ascii="Noto Sans CJK SC" w:hAnsi="Noto Sans CJK SC" w:eastAsia="Noto Sans CJK SC"/>
          <w:b/>
          <w:color w:val="1E568B"/>
          <w:sz w:val="19"/>
        </w:rPr>
        <w:t>使用前：将整个 buglist-assistant 目录放到目标项目根目录的 .codex/skills/ 下，并在该项目中使用 Codex。Skill 只分析该项目根目录及子目录中的代码。</w:t>
      </w:r>
    </w:p>
    <w:p>
      <w:r>
        <w:rPr>
          <w:color w:val="5B6670"/>
          <w:sz w:val="17"/>
        </w:rPr>
        <w:t>适用范围  Skill 所在项目代码  |  示例  F710SSW-19355  |  更新  2026 年 9 月 28 日</w:t>
      </w:r>
    </w:p>
    <w:p>
      <w:r>
        <w:t>用这个 skill 可以从你给的 Buglist 筛选页找到待处理 Bug，下载相关日志和视频，结合缺陷描述与当前项目代码形成原因分析及修改建议。代码分析和修改建议只涉及 skill 所在项目根目录及其子目录；本次示例项目是仪表代码。真正修改代码交给 model-skill。</w:t>
      </w:r>
    </w:p>
    <w:p>
      <w:pPr>
        <w:pStyle w:val="Heading1"/>
        <w:keepNext/>
      </w:pPr>
      <w:r>
        <w:t>一 如何提问</w:t>
      </w:r>
    </w:p>
    <w:p>
      <w:pPr>
        <w:pStyle w:val="Heading2"/>
        <w:keepNext/>
      </w:pPr>
      <w:r>
        <w:t>首次使用</w:t>
      </w:r>
    </w:p>
    <w:p>
      <w:r>
        <w:t>同时给出 Buglist 链接和“附件文件名关键字”。关键字用于找日志附件，例如 cluster 表示优先关注名称以 cluster 开头或包含 cluster 的日志文件，不是日志内容搜索词。</w:t>
      </w:r>
    </w:p>
    <w:p>
      <w:pPr>
        <w:pStyle w:val="Example"/>
        <w:shd w:fill="F3F6F9"/>
      </w:pPr>
      <w:r>
        <w:rPr>
          <w:rFonts w:ascii="Noto Sans CJK SC" w:hAnsi="Noto Sans CJK SC" w:eastAsia="Noto Sans CJK SC"/>
          <w:sz w:val="18"/>
        </w:rPr>
        <w:t>请使用 buglist-assistant。Buglist 链接：&lt;粘贴筛选页 URL&gt;。请查找我名下待处理的 Bug，分析 F710SSW-19355；重点看 cluster 开头的日志。只分析当前项目中的代码，先给修改建议，不修改代码。</w:t>
      </w:r>
    </w:p>
    <w:p>
      <w:pPr>
        <w:pStyle w:val="Heading2"/>
        <w:keepNext/>
      </w:pPr>
      <w:r>
        <w:t>后续使用与更新配置</w:t>
      </w:r>
    </w:p>
    <w:p>
      <w:pPr>
        <w:pStyle w:val="Example"/>
        <w:shd w:fill="F3F6F9"/>
      </w:pPr>
      <w:r>
        <w:t>使用 buglist-assistant 分析 F710SSW-19355。</w:t>
      </w:r>
    </w:p>
    <w:p>
      <w:r>
        <w:t>第二次起可以沿用保存的链接和关键字。若换了筛选页或日志命名，直接在新提问中给出新的链接或关键字；skill 会更新保存的配置。也可以只要求列出当前筛选结果，或指定某几个单号。每次执行前会回显当前链接、关键字和处理范围。</w:t>
      </w:r>
    </w:p>
    <w:p>
      <w:pPr>
        <w:pStyle w:val="Example"/>
        <w:shd w:fill="F3F6F9"/>
      </w:pPr>
      <w:r>
        <w:t>把 Buglist 链接换成 &lt;新 URL&gt;，日志文件名关键字改为 instrument_log；分析我名下尚未完成的 Bug。</w:t>
      </w:r>
    </w:p>
    <w:p>
      <w:pPr>
        <w:pStyle w:val="Heading1"/>
        <w:keepNext/>
        <w:pageBreakBefore/>
      </w:pPr>
      <w:r>
        <w:t>二 这次示例做了什么</w:t>
      </w:r>
    </w:p>
    <w:p>
      <w:r>
        <w:t>本次调用使用了你给的 Jira 筛选页和关键字 cluster。Browser Harness 复用已登录浏览器读取页面，筛出 4 条分配给你的待处理 Bug；只对指定的 F710SSW-19355 做深入分析。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</w:trPr>
        <w:tc>
          <w:tcPr>
            <w:tcW w:type="dxa" w:w="1701"/>
            <w:shd w:fill="EAF0F6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sz w:val="17"/>
              </w:rPr>
              <w:t>步骤</w:t>
            </w:r>
          </w:p>
        </w:tc>
        <w:tc>
          <w:tcPr>
            <w:tcW w:type="dxa" w:w="7710"/>
            <w:shd w:fill="EAF0F6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sz w:val="17"/>
              </w:rPr>
              <w:t>本次实际处理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读取缺陷</w:t>
            </w:r>
          </w:p>
        </w:tc>
        <w:tc>
          <w:tcPr>
            <w:tcW w:type="dxa" w:w="771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记录标题、复现条件、预期与实际、版本、状态、附件和视频。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7F9FB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收集证据</w:t>
            </w:r>
          </w:p>
        </w:tc>
        <w:tc>
          <w:tcPr>
            <w:tcW w:type="dxa" w:w="7710"/>
            <w:vAlign w:val="center"/>
            <w:shd w:fill="F7F9FB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下载 cluster_20260915172131.zip、问题视频和相关 log.zip；安全解压 39 个仪表日志。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分析与复核</w:t>
            </w:r>
          </w:p>
        </w:tc>
        <w:tc>
          <w:tcPr>
            <w:tcW w:type="dxa" w:w="771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对齐仪表日志、视频画面和仪表代码；可用时实际调用 TypeSafe Jev API，再由 GPT 综合原始证据。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7F9FB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输出结论</w:t>
            </w:r>
          </w:p>
        </w:tc>
        <w:tc>
          <w:tcPr>
            <w:tcW w:type="dxa" w:w="7710"/>
            <w:vAlign w:val="center"/>
            <w:shd w:fill="F7F9FB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生成来源索引与分析报告。看门狗复位已得到证实；复位前的具体卡点仍缺证据，报告标记“待补充信息”。</w:t>
            </w:r>
          </w:p>
        </w:tc>
      </w:tr>
    </w:tbl>
    <w:p>
      <w:pPr>
        <w:spacing w:after="0"/>
      </w:pPr>
    </w:p>
    <w:p>
      <w:r>
        <w:t>Browser Harness 缺失时 skill 会尝试自动安装；不走 Buglist MCP。Jev 或密钥不可用时跳过 Jev，仍继续能成立的分析。已标记“已完成”的 Bug 会直接跳过；仅有草稿或“待补充信息”的 Bug 可继续补证据。</w:t>
      </w:r>
    </w:p>
    <w:p>
      <w:pPr>
        <w:pStyle w:val="Heading1"/>
        <w:keepNext/>
      </w:pPr>
      <w:r>
        <w:t>三 生成物放在哪里</w:t>
      </w:r>
    </w:p>
    <w:p>
      <w:r>
        <w:t>每个 Bug 使用独立目录：&lt;项目根&gt;/.evospec/output/bug-log/&lt;Bug单号&gt;/。这次的目录是 .evospec/output/bug-log/F710SSW-19355/。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</w:trPr>
        <w:tc>
          <w:tcPr>
            <w:tcW w:type="dxa" w:w="2891"/>
            <w:shd w:fill="EAF0F6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sz w:val="17"/>
              </w:rPr>
              <w:t>文件或目录</w:t>
            </w:r>
          </w:p>
        </w:tc>
        <w:tc>
          <w:tcPr>
            <w:tcW w:type="dxa" w:w="6520"/>
            <w:shd w:fill="EAF0F6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b/>
                <w:sz w:val="17"/>
              </w:rPr>
              <w:t>作用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analysis.md</w:t>
            </w:r>
          </w:p>
        </w:tc>
        <w:tc>
          <w:tcPr>
            <w:tcW w:type="dxa" w:w="652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最终分析：时间线、证据引用、结论与信心、未知点、当前项目代码的修改建议（本例为仪表侧）、验证方法、Jev 结果。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7F9FB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sources.md</w:t>
            </w:r>
          </w:p>
        </w:tc>
        <w:tc>
          <w:tcPr>
            <w:tcW w:type="dxa" w:w="6520"/>
            <w:vAlign w:val="center"/>
            <w:shd w:fill="F7F9FB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页面和附件来源索引、下载状态、哈希与分析范围。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cluster_*.zip 与 cluster/</w:t>
            </w:r>
          </w:p>
        </w:tc>
        <w:tc>
          <w:tcPr>
            <w:tcW w:type="dxa" w:w="652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原始仪表日志压缩包，以及解压后的 instrument_log_*.txt。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7F9FB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20260915-174736.mp4 与 video-frame-*.png</w:t>
            </w:r>
          </w:p>
        </w:tc>
        <w:tc>
          <w:tcPr>
            <w:tcW w:type="dxa" w:w="6520"/>
            <w:vAlign w:val="center"/>
            <w:shd w:fill="F7F9FB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原始问题视频和供复核的关键帧。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log.zip 与 soc-selected/</w:t>
            </w:r>
          </w:p>
        </w:tc>
        <w:tc>
          <w:tcPr>
            <w:tcW w:type="dxa" w:w="652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辅助时间线证据；本次只用于交叉核对仪表断连及重连，不检索项目外代码。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7F9FB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jev-state.json、jev-request.json、jev-response.json</w:t>
            </w:r>
          </w:p>
        </w:tc>
        <w:tc>
          <w:tcPr>
            <w:tcW w:type="dxa" w:w="6520"/>
            <w:vAlign w:val="center"/>
            <w:shd w:fill="F7F9FB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实际送入 Jev 的证据摘要、API 请求和响应；Jev 可用时生成。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.evospec/buglist-assistant.json</w:t>
            </w:r>
          </w:p>
        </w:tc>
        <w:tc>
          <w:tcPr>
            <w:tcW w:type="dxa" w:w="6520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项目级记忆：Buglist URL 与日志文件名关键字。</w:t>
            </w:r>
          </w:p>
        </w:tc>
      </w:tr>
    </w:tbl>
    <w:p>
      <w:pPr>
        <w:spacing w:after="0"/>
      </w:pPr>
    </w:p>
    <w:p>
      <w:pPr>
        <w:pStyle w:val="Heading1"/>
        <w:keepNext/>
        <w:pageBreakBefore/>
      </w:pPr>
      <w:r>
        <w:t>四 同类问题如何归档</w:t>
      </w:r>
    </w:p>
    <w:p>
      <w:pPr>
        <w:spacing w:after="100"/>
      </w:pPr>
      <w:r>
        <w:t>按复现条件、现象和日志证据分组，不因“黑屏”等宽泛词并组。根因未明时暂按现象归类，group.md 记录依据、成员和差异。同类文件在 .evospec/output/bug-log/groups/&lt;类别&gt;/&lt;单号&gt;/；原单号路径保留为链接。本例类别为 power-cycle-animation-replay（暂归类）。</w:t>
      </w:r>
    </w:p>
    <w:p>
      <w:pPr>
        <w:pStyle w:val="Heading1"/>
        <w:keepNext/>
        <w:pageBreakBefore w:val="0"/>
      </w:pPr>
      <w:r>
        <w:t>五 日志 视频和描述是怎样一起分析的</w:t>
      </w:r>
    </w:p>
    <w:p>
      <w:pPr>
        <w:pStyle w:val="Heading2"/>
        <w:keepNext/>
      </w:pPr>
      <w:r>
        <w:t>先读缺陷描述</w:t>
      </w:r>
    </w:p>
    <w:p>
      <w:r>
        <w:t>从描述中提取复现条件、操作步骤、预期结果、实际结果、发生概率、问题时间和固件版本。描述提出要解释的现象，但“备份页面”等词要再用画面或日志核实，不能直接当作已经证实的内部机制。</w:t>
      </w:r>
    </w:p>
    <w:p>
      <w:pPr>
        <w:pStyle w:val="Heading2"/>
        <w:keepNext/>
      </w:pPr>
      <w:r>
        <w:t>再查日志</w:t>
      </w:r>
    </w:p>
    <w:p>
      <w:r>
        <w:t>先按关键字找到相关附件，保留原包与来源。确认压缩格式后安全解压，用时间戳、状态变化、错误码、重启记录和前后文建立时间线；引用到具体文件与行号，再去项目代码核对状态机、回调与看门狗逻辑。</w:t>
      </w:r>
    </w:p>
    <w:p>
      <w:r>
        <w:t>本例中，旧仪表日志在 16:54:05 结束；16:54:32 的新启动日志保留了 Watch Dog Reboot!!!，16:54:36 再次进入开机层。因此“复位后动画重播”有较强证据。关键的复位前区间没有连续仪表日志，不能进一步指认某个卡死函数。</w:t>
      </w:r>
    </w:p>
    <w:p>
      <w:pPr>
        <w:pStyle w:val="Heading2"/>
        <w:keepNext/>
      </w:pPr>
      <w:r>
        <w:t>最后核对视频</w:t>
      </w:r>
    </w:p>
    <w:p>
      <w:r>
        <w:t>通过 Browser Harness 播放视频，记录相对进度上的关键画面；必要时保存关键帧复核。本例可见开机画面和 WULING 标志停留，随后画面变空，约 26 秒再次出现开机标志，最后回到主页面。视频进度不是设备绝对时钟，只能与日志做谨慎对照。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891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85058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ideo-frame-20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8505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约 20 秒  标志停留</w:t>
            </w:r>
          </w:p>
        </w:tc>
        <w:tc>
          <w:tcPr>
            <w:tcW w:type="dxa" w:w="2891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850581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ideo-frame-24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8505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约 24 秒  浅色空白</w:t>
            </w:r>
          </w:p>
        </w:tc>
        <w:tc>
          <w:tcPr>
            <w:tcW w:type="dxa" w:w="2891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850581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ideo-frame-2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8505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约 26 秒  动画再现</w:t>
            </w:r>
          </w:p>
        </w:tc>
      </w:tr>
    </w:tbl>
    <w:p>
      <w:r>
        <w:t>Jev 给出的概率用于辅助判断证据是否匹配、是否充分，不能替代原始日志或当作故障发生概率。最终报告区分“已观察事实”“原因假设”和“尚缺资料”。</w:t>
      </w:r>
    </w:p>
    <w:p>
      <w:pPr>
        <w:pStyle w:val="Heading1"/>
        <w:keepNext/>
      </w:pPr>
      <w:r>
        <w:t>六 何时需要补充资料</w:t>
      </w:r>
    </w:p>
    <w:p>
      <w:r>
        <w:t>若页面、视频或日志缺少关键区间，skill 会说明缺什么以及为什么需要。本例要确定看门狗前具体仪表函数，需要与 F610M0610SD0230014 完全匹配的 ELF/map，以及复现时仪表侧 16:54:05 到复位前的连续串口或任务现场记录。现阶段只给仪表侧定位和防护建议，不提交未经证实的代码修复。</w:t>
      </w:r>
    </w:p>
    <w:p>
      <w:r>
        <w:t>完整示例结论见该 Bug 目录下的 analysis.md；后续使用 model-skill 可依据报告实施并验证仪表代码修改。</w:t>
      </w:r>
    </w:p>
    <w:sectPr w:rsidR="00FC693F" w:rsidRPr="0006063C" w:rsidSect="00034616">
      <w:pgSz w:w="11906" w:h="16838"/>
      <w:pgMar w:top="964" w:right="1247" w:bottom="90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1" w:lineRule="auto"/>
    </w:pPr>
    <w:rPr>
      <w:rFonts w:ascii="Noto Sans CJK SC" w:hAnsi="Noto Sans CJK SC" w:eastAsia="Noto Sans CJK SC" w:cs="Noto Sans CJK SC"/>
      <w:b w:val="0"/>
      <w:color w:val="222B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color w:val="1E568B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color w:val="222B33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color w:val="222B33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xample">
    <w:name w:val="Example"/>
    <w:pPr>
      <w:spacing w:before="60" w:after="120"/>
      <w:ind w:left="255" w:right="142"/>
    </w:pPr>
    <w:rPr>
      <w:rFonts w:ascii="Noto Sans CJK SC" w:hAnsi="Noto Sans CJK SC" w:eastAsia="Noto Sans CJK SC" w:cs="Noto Sans CJK SC"/>
      <w:b w:val="0"/>
      <w:color w:val="222B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